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PROTOCOLO DE REVISIÓN SISTEMÁTICA CON METAANÁLISIS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Registro PROSPERO</w:t>
      </w:r>
    </w:p>
    <w:p>
      <w:pPr>
        <w:spacing w:after="360"/>
        <w:jc w:val="center"/>
      </w:pPr>
      <w:r>
        <w:rPr>
          <w:sz w:val="24"/>
          <w:szCs w:val="24"/>
        </w:rPr>
        <w:t xml:space="preserve">Validez predictiva de las clasificaciones AO Spine subaxial cervical y toracolumbar sobre recuperación neurológica, complicaciones y tasa de revisión: revisión sistemática y metaanálisis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Versión del protocolo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Fecha de elaboración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Agosto 2026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Registrado en PROSPERO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Investigador principal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Yaven, Ignacio, MD — CEMIC, Argentina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Co-investigadores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Gobbi, Enrique, MD — CEMIC, Argentina; Costa Paz, Matias, MD — CEMIC, Argentina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Financiamiento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Sin financiamiento externo declarado</w:t>
            </w:r>
          </w:p>
        </w:tc>
      </w:tr>
      <w:tr>
        <w:tc>
          <w:tcPr>
            <w:tcW w:type="dxa" w:w="3276"/>
          </w:tcPr>
          <w:p>
            <w:r>
              <w:rPr>
                <w:b w:val="false"/>
                <w:bCs w:val="false"/>
              </w:rPr>
              <w:t xml:space="preserve">Conflicto de intereses</w:t>
            </w:r>
          </w:p>
        </w:tc>
        <w:tc>
          <w:tcPr>
            <w:tcW w:type="dxa" w:w="6084"/>
          </w:tcPr>
          <w:p>
            <w:r>
              <w:rPr>
                <w:b w:val="false"/>
                <w:bCs w:val="false"/>
              </w:rPr>
              <w:t xml:space="preserve">Ninguno declarado por los autores</w:t>
            </w:r>
          </w:p>
        </w:tc>
      </w:tr>
    </w:tbl>
    <w:p>
      <w:pPr>
        <w:pStyle w:val="Heading1"/>
        <w:spacing w:after="120" w:before="240"/>
      </w:pPr>
      <w:r>
        <w:t xml:space="preserve">1. Antecedentes y justificación</w:t>
      </w:r>
    </w:p>
    <w:p>
      <w:pPr>
        <w:spacing w:after="160"/>
      </w:pPr>
      <w:r>
        <w:t xml:space="preserve">Las clasificaciones AO Spine —subaxial cervical (AO Spine CSISS y su predecesora SLIC) y toracolumbar (AO Spine TLICS / AO TL)— son los sistemas de clasificación morfológica de fracturas espinales de mayor adopción global. Su objetivo declarado es guiar la decisión quirúrgica y predecir los resultados clínicos en pacientes con trauma raquimedular. Sin embargo, la evidencia existente sobre su validez predictiva es heterogénea y no ha sido sintetizada cuantitativamente.</w:t>
      </w:r>
    </w:p>
    <w:p>
      <w:pPr>
        <w:spacing w:after="160"/>
      </w:pPr>
      <w:r>
        <w:t xml:space="preserve">Las revisiones sistemáticas previas se han centrado en la confiabilidad interobservador e intraobservador (kappa) de estas clasificaciones, con resultados moderados a buenos. Existe una brecha específica de evidencia: no se conoce con precisión qué tan bien el subgrupo morfológico AO predice los outcomes clínicos más relevantes (recuperación neurológica, complicaciones y necesidad de reoperación), ni en qué subgrupos la clasificación pierde poder predictivo. Esta revisión sistemática con metaanálisis busca cubrir ese vacío mediante un análisis cuantitativo independiente para cada región espinal.</w:t>
      </w:r>
    </w:p>
    <w:p>
      <w:pPr>
        <w:pStyle w:val="Heading1"/>
        <w:spacing w:after="120" w:before="240"/>
      </w:pPr>
      <w:r>
        <w:t xml:space="preserve">2. Objetivos</w:t>
      </w:r>
    </w:p>
    <w:p>
      <w:pPr>
        <w:pStyle w:val="Heading2"/>
        <w:spacing w:after="120" w:before="240"/>
      </w:pPr>
      <w:r>
        <w:t xml:space="preserve">2.1 Objetivo primario</w:t>
      </w:r>
    </w:p>
    <w:p>
      <w:pPr>
        <w:spacing w:after="160"/>
      </w:pPr>
      <w:r>
        <w:t xml:space="preserve">Evaluar la validez predictiva de las clasificaciones AO Spine subaxial cervical y toracolumbar sobre recuperación neurológica (mejoría de al menos un grado AIS o ASIA al seguimiento).</w:t>
      </w:r>
    </w:p>
    <w:p>
      <w:pPr>
        <w:pStyle w:val="Heading2"/>
        <w:spacing w:after="120" w:before="240"/>
      </w:pPr>
      <w:r>
        <w:t xml:space="preserve">2.2 Objetivos secundarios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Evaluar la tasa de complicaciones quirúrgicas (infección, fístula de LCR, implante fallido, deterioro neurológico) según subgrupo AO.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Evaluar la tasa de revisión/reoperación dentro del seguimiento reportado según subgrupo AO.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Identificar subgrupos morfológicos donde la clasificación muestra baja capacidad predictiva.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Evaluar si el componente neurológico modifica el valor predictivo de la clasificación morfológica.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Determinar si existen diferencias en la validez predictiva según la región espinal (cervical subaxial vs. toracolumbar).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Evaluar resultados funcionales (PROMs: SF-36, ODI, NDI, VAS, ASIA motor score) como outcomes secundarios cuando estén disponibles.</w:t>
      </w:r>
    </w:p>
    <w:p>
      <w:pPr>
        <w:pStyle w:val="Heading1"/>
        <w:spacing w:after="120" w:before="240"/>
      </w:pPr>
      <w:r>
        <w:t xml:space="preserve">3. Pregunta de investigación (formato PICO)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059"/>
        <w:gridCol w:w="6552"/>
      </w:tblGrid>
      <w:tr>
        <w:tc>
          <w:tcPr>
            <w:tcW w:type="dxa" w:w="748"/>
            <w:shd w:fill="D9E2F3" w:val="clea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2059"/>
            <w:shd w:fill="D9E2F3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552"/>
            <w:shd w:fill="D9E2F3" w:val="clear"/>
          </w:tcPr>
          <w:p>
            <w:r>
              <w:rPr>
                <w:b/>
                <w:bCs/>
              </w:rPr>
              <w:t xml:space="preserve">Definición operacional</w:t>
            </w:r>
          </w:p>
        </w:tc>
      </w:tr>
      <w:tr>
        <w:tc>
          <w:tcPr>
            <w:tcW w:type="dxa" w:w="748"/>
          </w:tcPr>
          <w:p>
            <w:r>
              <w:rPr>
                <w:b w:val="false"/>
                <w:bCs w:val="false"/>
              </w:rPr>
              <w:t xml:space="preserve">P</w:t>
            </w:r>
          </w:p>
        </w:tc>
        <w:tc>
          <w:tcPr>
            <w:tcW w:type="dxa" w:w="2059"/>
          </w:tcPr>
          <w:p>
            <w:r>
              <w:rPr>
                <w:b w:val="false"/>
                <w:bCs w:val="false"/>
              </w:rPr>
              <w:t xml:space="preserve">Población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</w:rPr>
              <w:t xml:space="preserve">Pacientes adultos con trauma de columna vertebral (cervical subaxial C3–C7 o toracolumbar T1–L5) clasificados mediante el sistema AO Spine. Sin restricción de sexo, edad ≥18 años, ni mecanismo de lesión.</w:t>
            </w:r>
          </w:p>
        </w:tc>
      </w:tr>
      <w:tr>
        <w:tc>
          <w:tcPr>
            <w:tcW w:type="dxa" w:w="748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2059"/>
          </w:tcPr>
          <w:p>
            <w:r>
              <w:rPr>
                <w:b w:val="false"/>
                <w:bCs w:val="false"/>
              </w:rPr>
              <w:t xml:space="preserve">Intervención (exposición)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</w:rPr>
              <w:t xml:space="preserve">Tratamiento quirúrgico o conservador definido o guiado por subgrupo morfológico AO Spine (Tipo A, B, C; con o sin modificadores neurológicos N y M).</w:t>
            </w:r>
          </w:p>
        </w:tc>
      </w:tr>
      <w:tr>
        <w:tc>
          <w:tcPr>
            <w:tcW w:type="dxa" w:w="748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059"/>
          </w:tcPr>
          <w:p>
            <w:r>
              <w:rPr>
                <w:b w:val="false"/>
                <w:bCs w:val="false"/>
              </w:rPr>
              <w:t xml:space="preserve">Comparación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</w:rPr>
              <w:t xml:space="preserve">Entre subgrupos morfológicos AO (A vs. B vs. C; subtipos dentro de cada tipo). Comparación entre abordaje quirúrgico y conservador cuando esté definido por el subgrupo.</w:t>
            </w:r>
          </w:p>
        </w:tc>
      </w:tr>
      <w:tr>
        <w:tc>
          <w:tcPr>
            <w:tcW w:type="dxa" w:w="748"/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  <w:tc>
          <w:tcPr>
            <w:tcW w:type="dxa" w:w="2059"/>
          </w:tcPr>
          <w:p>
            <w:r>
              <w:rPr>
                <w:b w:val="false"/>
                <w:bCs w:val="false"/>
              </w:rPr>
              <w:t xml:space="preserve">Outcomes</w:t>
            </w:r>
          </w:p>
        </w:tc>
        <w:tc>
          <w:tcPr>
            <w:tcW w:type="dxa" w:w="6552"/>
          </w:tcPr>
          <w:p>
            <w:r>
              <w:rPr>
                <w:b w:val="false"/>
                <w:bCs w:val="false"/>
              </w:rPr>
              <w:t xml:space="preserve">Primario: Recuperación neurológica (mejoría ≥1 grado AIS/ASIA al seguimiento). Secundarios: Complicaciones quirúrgicas, reoperación/revisión, PROMs (NDI, ODI, VAS, SF-36).</w:t>
            </w:r>
          </w:p>
        </w:tc>
      </w:tr>
    </w:tbl>
    <w:p>
      <w:pPr>
        <w:spacing w:after="160" w:before="160"/>
      </w:pPr>
      <w:r>
        <w:rPr>
          <w:b/>
          <w:bCs/>
        </w:rPr>
        <w:t xml:space="preserve">Estado del PICO: BLOQUEADO — no modificar sin autorización explícita.</w:t>
      </w:r>
    </w:p>
    <w:p>
      <w:pPr>
        <w:pStyle w:val="Heading1"/>
        <w:spacing w:after="120" w:before="240"/>
      </w:pPr>
      <w:r>
        <w:t xml:space="preserve">4. Criterios de elegibilidad</w:t>
      </w:r>
    </w:p>
    <w:p>
      <w:pPr>
        <w:pStyle w:val="Heading2"/>
        <w:spacing w:after="120" w:before="240"/>
      </w:pPr>
      <w:r>
        <w:t xml:space="preserve">4.1 Criterios de inclusión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Estudios observacionales prospectivos o retrospectivos, registros multicéntricos, ensayos clínicos controlados.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Pacientes adultos (≥18 años) con diagnóstico de fractura o fractura-luxación de columna cervical subaxial (C3–C7) o toracolumbar (T1–L5).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Clasificación explícita según AO Spine (CSISS, SLIC, AO TL TLICS) o clasificación AO de Magerl con mapeo a subtipo AO.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Reporte de al menos uno de los outcomes preespecificados con datos cuantitativos extraíbles.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Seguimiento mínimo de 3 meses.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Tamaño muestral ≥20 pacientes por cohorte.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Publicados en inglés, español o portugués.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 restricción de año de publicación.</w:t>
      </w:r>
    </w:p>
    <w:p>
      <w:pPr>
        <w:pStyle w:val="Heading2"/>
        <w:spacing w:after="120" w:before="240"/>
      </w:pPr>
      <w:r>
        <w:t xml:space="preserve">4.2 Criterios de exclusión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Estudios de confiabilidad/acuerdo sin reporte de outcomes clínicos.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Series de casos &lt;20 pacientes, reportes de caso y cartas al editor.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Estudios que no permitan separar datos cervicales subaxiales de cervicales superiores (C0–C2).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Estudios exclusivamente pediátricos (&lt;18 años).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Revisiones narrativas, editoriales, libros de texto.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Datos duplicados sin análisis separado por cohorte (se incluirá solo la publicación con mayor tamaño muestral o seguimiento).</w:t>
      </w:r>
    </w:p>
    <w:p>
      <w:pPr>
        <w:pStyle w:val="Heading1"/>
        <w:spacing w:after="120" w:before="240"/>
      </w:pPr>
      <w:r>
        <w:t xml:space="preserve">5. Estrategia de búsqueda bibliográfica</w:t>
      </w:r>
    </w:p>
    <w:p>
      <w:pPr>
        <w:spacing w:after="160"/>
      </w:pPr>
      <w:r>
        <w:t xml:space="preserve">Se realizó una búsqueda sistemática y exhaustiva en las siguientes bases de datos: PubMed/MEDLINE, Cochrane Central Register of Controlled Trials (CENTRAL) y LILACS (literatura latinoamericana vía BVS). Se revisaron manualmente las listas de referencias de los estudios incluidos y los resúmenes de congresos AO Spine (últimos 5 años). Se buscó literatura gris en ClinicalTrials.gov. No se buscó en EMBASE por falta de acceso institucional; esta limitación se reconoce en el manuscrito.</w:t>
      </w:r>
    </w:p>
    <w:p>
      <w:pPr>
        <w:spacing w:after="160"/>
      </w:pPr>
      <w:r>
        <w:t xml:space="preserve">Los términos principales incluyen: AO Spine classification, TLICS, SLIC, subaxial cervical fracture, thoracolumbar fracture, neurological recovery, surgical complications, reoperation, predictive validity. Se aplicó la técnica de expansión por términos MeSH y texto libre. Sin restricción de fecha de publicación. Se incluyeron artículos en inglés, español y portugués.</w:t>
      </w:r>
    </w:p>
    <w:p>
      <w:pPr>
        <w:pStyle w:val="Heading2"/>
        <w:spacing w:after="120" w:before="240"/>
      </w:pPr>
      <w:r>
        <w:t xml:space="preserve">5.1 Resultados de búsqueda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2F3" w:val="clear"/>
          </w:tcPr>
          <w:p>
            <w:r>
              <w:rPr>
                <w:b/>
                <w:bCs/>
              </w:rPr>
              <w:t xml:space="preserve">Base de datos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</w:rPr>
              <w:t xml:space="preserve">Fecha de búsqueda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</w:rPr>
              <w:t xml:space="preserve">Período cubierto</w:t>
            </w:r>
          </w:p>
        </w:tc>
        <w:tc>
          <w:tcPr>
            <w:tcW w:type="dxa" w:w="2340"/>
            <w:shd w:fill="D9E2F3" w:val="clear"/>
          </w:tcPr>
          <w:p>
            <w:r>
              <w:rPr>
                <w:b/>
                <w:bCs/>
              </w:rPr>
              <w:t xml:space="preserve">Resultados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PubMed/MEDLINE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12 de agosto de 2026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2011 – a la fecha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 = 35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Cochrane CENTRAL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12 de agosto de 2026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2016 – a la fecha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 = 9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LILACS (BVS)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12 de agosto de 2026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2016 – a la fecha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 = 16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n = 60</w:t>
            </w:r>
          </w:p>
        </w:tc>
      </w:tr>
    </w:tbl>
    <w:p>
      <w:pPr>
        <w:pStyle w:val="Heading1"/>
        <w:spacing w:after="120" w:before="240"/>
      </w:pPr>
      <w:r>
        <w:t xml:space="preserve">6. Proceso de selección y extracción de datos</w:t>
      </w:r>
    </w:p>
    <w:p>
      <w:pPr>
        <w:pStyle w:val="Heading2"/>
        <w:spacing w:after="120" w:before="240"/>
      </w:pPr>
      <w:r>
        <w:t xml:space="preserve">6.1 Selección de estudios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1 (título y resumen): dos revisores independientes evaluarán cada referencia. Los desacuerdos serán resueltos por consenso o por un tercer revisor.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Etapa 2 (texto completo): se evaluará la elegibilidad de todos los estudios preseleccionados. Se documentarán los motivos de exclusión.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utilizará la plataforma Rayyan (Qatar Computing Research Institute) para la gestión del proceso de selección con enmascaramiento.</w:t>
      </w:r>
    </w:p>
    <w:p>
      <w:pPr>
        <w:pStyle w:val="Heading2"/>
        <w:spacing w:after="120" w:before="240"/>
      </w:pPr>
      <w:r>
        <w:t xml:space="preserve">6.2 Extracción de datos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Datos del estudio: autor, año, país, diseño, período de reclutamiento, fuente de financiamiento.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Datos poblacionales: n total, edad media, sexo, mecanismo de lesión, nivel neurológico basal (AIS/ASIA), región espinal.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Clasificación: sistema utilizado, distribución por subtipos, modificadores N y M reportados.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Tratamiento: conservador vs. quirúrgico, tipo de abordaje, timing quirúrgico.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Outcomes: tasa de recuperación neurológica, complicaciones, reoperación (n/N por subgrupo).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Seguimiento: duración media, tasa de pérdida al seguimiento.</w:t>
      </w:r>
    </w:p>
    <w:p>
      <w:pPr>
        <w:pStyle w:val="Heading1"/>
        <w:spacing w:after="120" w:before="240"/>
      </w:pPr>
      <w:r>
        <w:t xml:space="preserve">7. Evaluación del riesgo de sesgo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Estudios de cohorte: Newcastle-Ottawa Scale (NOS). Alto riesgo definido como NOS ≤5/9.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Ensayos clínicos controlados aleatorizados: herramienta RoB 2.0 de Cochrane.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desacuerdos serán resueltos por consenso.</w:t>
      </w:r>
    </w:p>
    <w:p>
      <w:pPr>
        <w:pStyle w:val="Heading1"/>
        <w:spacing w:after="120" w:before="240"/>
      </w:pPr>
      <w:r>
        <w:t xml:space="preserve">8. Síntesis cuantitativa (metaanálisis)</w:t>
      </w:r>
    </w:p>
    <w:p>
      <w:pPr>
        <w:pStyle w:val="Heading2"/>
        <w:spacing w:after="120" w:before="240"/>
      </w:pPr>
      <w:r>
        <w:t xml:space="preserve">8.1 Medidas de efecto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Outcomes binarios: odds ratio (OR) agrupado con IC 95%, modelo de efectos aleatorios (DerSimonian-Laird).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Outcomes continuos: diferencia de medias estandarizada (SMD) con IC 95%.</w:t>
      </w:r>
    </w:p>
    <w:p>
      <w:pPr>
        <w:pStyle w:val="Heading2"/>
        <w:spacing w:after="120" w:before="240"/>
      </w:pPr>
      <w:r>
        <w:t xml:space="preserve">8.2 Heterogeneidad</w:t>
      </w:r>
    </w:p>
    <w:p>
      <w:pPr>
        <w:spacing w:after="160"/>
      </w:pPr>
      <w:r>
        <w:t xml:space="preserve">Estadístico I² (Higgins) y test Q de Cochran. Heterogeneidad sustancial con I² &gt;50%. Con I² &gt;75% se realizará análisis de subgrupos preespecificados.</w:t>
      </w:r>
    </w:p>
    <w:p>
      <w:pPr>
        <w:pStyle w:val="Heading2"/>
        <w:spacing w:after="120" w:before="240"/>
      </w:pPr>
      <w:r>
        <w:t xml:space="preserve">8.3 Análisis de subgrupos preespecificados</w:t>
      </w:r>
    </w:p>
    <w:p>
      <w:pPr>
        <w:spacing w:after="80"/>
      </w:pPr>
      <w:r>
        <w:t xml:space="preserve">1. Por región espinal: cervical subaxial vs. toracolumbar.</w:t>
      </w:r>
    </w:p>
    <w:p>
      <w:pPr>
        <w:spacing w:after="80"/>
      </w:pPr>
      <w:r>
        <w:t xml:space="preserve">2. Por tipo AO: Tipo A vs. B vs. C.</w:t>
      </w:r>
    </w:p>
    <w:p>
      <w:pPr>
        <w:spacing w:after="80"/>
      </w:pPr>
      <w:r>
        <w:t xml:space="preserve">3. Por estado neurológico basal: AIS A vs. AIS B–D vs. AIS E.</w:t>
      </w:r>
    </w:p>
    <w:p>
      <w:pPr>
        <w:spacing w:after="80"/>
      </w:pPr>
      <w:r>
        <w:t xml:space="preserve">4. Por diseño del estudio: prospectivo vs. retrospectivo.</w:t>
      </w:r>
    </w:p>
    <w:p>
      <w:pPr>
        <w:spacing w:after="80"/>
      </w:pPr>
      <w:r>
        <w:t xml:space="preserve">5. Por calidad metodológica: NOS alto (&gt;6) vs. bajo-moderado (≤6).</w:t>
      </w:r>
    </w:p>
    <w:p>
      <w:pPr>
        <w:pStyle w:val="Heading2"/>
        <w:spacing w:after="120" w:before="240"/>
      </w:pPr>
      <w:r>
        <w:t xml:space="preserve">8.4 Sesgo de publicación</w:t>
      </w:r>
    </w:p>
    <w:p>
      <w:pPr>
        <w:spacing w:after="160"/>
      </w:pPr>
      <w:r>
        <w:t xml:space="preserve">Funnel plot + prueba de Egger o Begg si n ≥10 estudios. Análisis trim-and-fill de Duval-Tweedie si se detecta asimetría significativa.</w:t>
      </w:r>
    </w:p>
    <w:p>
      <w:pPr>
        <w:pStyle w:val="Heading2"/>
        <w:spacing w:after="120" w:before="240"/>
      </w:pPr>
      <w:r>
        <w:t xml:space="preserve">8.5 Software</w:t>
      </w:r>
    </w:p>
    <w:p>
      <w:pPr>
        <w:spacing w:after="160"/>
      </w:pPr>
      <w:r>
        <w:t xml:space="preserve">RevMan 5.4 y R ≥4.3 con paquetes meta y metafor.</w:t>
      </w:r>
    </w:p>
    <w:p>
      <w:pPr>
        <w:pStyle w:val="Heading1"/>
        <w:spacing w:after="120" w:before="240"/>
      </w:pPr>
      <w:r>
        <w:t xml:space="preserve">9. Registro y transparencia</w:t>
      </w:r>
    </w:p>
    <w:p>
      <w:pPr>
        <w:spacing w:after="160"/>
      </w:pPr>
      <w:r>
        <w:t xml:space="preserve">Este protocolo está registrado en PROSPERO (Centre for Reviews and Dissemination, University of York). El reporte final seguirá la declaración PRISMA 2020 y la extensión PRISMA-P 2015 para protocolos.</w:t>
      </w:r>
    </w:p>
    <w:p>
      <w:pPr>
        <w:pStyle w:val="Heading1"/>
        <w:spacing w:after="120" w:before="240"/>
      </w:pPr>
      <w:r>
        <w:t xml:space="preserve">10. 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5428"/>
        <w:gridCol w:w="2808"/>
      </w:tblGrid>
      <w:tr>
        <w:tc>
          <w:tcPr>
            <w:tcW w:type="dxa" w:w="1123"/>
            <w:shd w:fill="D9E2F3" w:val="clear"/>
          </w:tcPr>
          <w:p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5428"/>
            <w:shd w:fill="D9E2F3" w:val="clear"/>
          </w:tcPr>
          <w:p>
            <w:r>
              <w:rPr>
                <w:b/>
                <w:bCs/>
              </w:rPr>
              <w:t xml:space="preserve">Actividad</w:t>
            </w:r>
          </w:p>
        </w:tc>
        <w:tc>
          <w:tcPr>
            <w:tcW w:type="dxa" w:w="2808"/>
            <w:shd w:fill="D9E2F3" w:val="clear"/>
          </w:tcPr>
          <w:p>
            <w:r>
              <w:rPr>
                <w:b/>
                <w:bCs/>
              </w:rPr>
              <w:t xml:space="preserve">Duración estimada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1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Registro PROSPERO + refinamiento del protocolo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Completada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2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Búsqueda bibliográfica formal + gestión en Rayyan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Completada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3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Selección de estudios (título/abstract + texto completo)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4 semanas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4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Extracción de datos (formulario estandarizado)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4–6 semanas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5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Evaluación de riesgo de sesgo (NOS / RoB 2.0)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2 semanas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6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Síntesis cuantitativa (metaanálisis en R / RevMan)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3–4 semanas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7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Redacción del manuscrito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4–6 semanas</w:t>
            </w:r>
          </w:p>
        </w:tc>
      </w:tr>
      <w:tr>
        <w:tc>
          <w:tcPr>
            <w:tcW w:type="dxa" w:w="1123"/>
          </w:tcPr>
          <w:p>
            <w:r>
              <w:rPr>
                <w:b w:val="false"/>
                <w:bCs w:val="false"/>
              </w:rPr>
              <w:t xml:space="preserve">Fase 8</w:t>
            </w:r>
          </w:p>
        </w:tc>
        <w:tc>
          <w:tcPr>
            <w:tcW w:type="dxa" w:w="5428"/>
          </w:tcPr>
          <w:p>
            <w:r>
              <w:rPr>
                <w:b w:val="false"/>
                <w:bCs w:val="false"/>
              </w:rPr>
              <w:t xml:space="preserve">Revisión por co-autores + envío a Global Spine Journal</w:t>
            </w:r>
          </w:p>
        </w:tc>
        <w:tc>
          <w:tcPr>
            <w:tcW w:type="dxa" w:w="2808"/>
          </w:tcPr>
          <w:p>
            <w:r>
              <w:rPr>
                <w:b w:val="false"/>
                <w:bCs w:val="false"/>
              </w:rPr>
              <w:t xml:space="preserve">2 semanas</w:t>
            </w:r>
          </w:p>
        </w:tc>
      </w:tr>
    </w:tbl>
    <w:p>
      <w:pPr>
        <w:pStyle w:val="Heading1"/>
        <w:spacing w:after="120" w:before="240"/>
      </w:pPr>
      <w:r>
        <w:t xml:space="preserve">11. Revistas objetivo</w:t>
      </w:r>
    </w:p>
    <w:p>
      <w:pPr>
        <w:spacing w:after="80"/>
      </w:pPr>
      <w:r>
        <w:t xml:space="preserve">1. Global Spine Journal (insignia AOSpine) — revista objetivo principal</w:t>
      </w:r>
    </w:p>
    <w:p>
      <w:pPr>
        <w:spacing w:after="80"/>
      </w:pPr>
      <w:r>
        <w:t xml:space="preserve">2. European Spine Journal — alternativa</w:t>
      </w:r>
    </w:p>
    <w:p>
      <w:pPr>
        <w:spacing w:after="80"/>
      </w:pPr>
      <w:r>
        <w:t xml:space="preserve">3. Spine (Lippincott) — alternativa</w:t>
      </w:r>
    </w:p>
    <w:p>
      <w:pPr>
        <w:spacing w:after="80"/>
      </w:pPr>
      <w:r>
        <w:t xml:space="preserve">4. Journal of Neurosurgery: Spine — alternativa</w:t>
      </w:r>
    </w:p>
    <w:p>
      <w:pPr>
        <w:pStyle w:val="Heading1"/>
        <w:spacing w:after="120" w:before="240"/>
      </w:pPr>
      <w:r>
        <w:t xml:space="preserve">12. Referencias preliminares</w:t>
      </w:r>
    </w:p>
    <w:p>
      <w:pPr>
        <w:spacing w:after="80"/>
      </w:pPr>
      <w:r>
        <w:t xml:space="preserve">1. Vaccaro AR, et al. AO Spine subaxial cervical spine injury classification system. Eur Spine J. 2016.</w:t>
      </w:r>
    </w:p>
    <w:p>
      <w:pPr>
        <w:spacing w:after="80"/>
      </w:pPr>
      <w:r>
        <w:t xml:space="preserve">2. Vaccaro AR, et al. The AO Spine thoracolumbar spine injury classification system. Spine. 2013.</w:t>
      </w:r>
    </w:p>
    <w:p>
      <w:pPr>
        <w:spacing w:after="80"/>
      </w:pPr>
      <w:r>
        <w:t xml:space="preserve">3. Page MJ, et al. The PRISMA 2020 statement: an updated guideline for reporting systematic reviews. BMJ. 2021.</w:t>
      </w:r>
    </w:p>
    <w:p>
      <w:pPr>
        <w:spacing w:after="80"/>
      </w:pPr>
      <w:r>
        <w:t xml:space="preserve">4. Higgins JPT, et al. Cochrane Handbook for Systematic Reviews of Interventions. Version 6.4. 2023.</w:t>
      </w:r>
    </w:p>
    <w:p>
      <w:pPr>
        <w:spacing w:after="80"/>
      </w:pPr>
      <w:r>
        <w:t xml:space="preserve">5. Stroup DF, et al. Meta-analysis of observational studies in epidemiology: a proposal for reporting (MOOSE). JAMA. 2000.</w:t>
      </w:r>
    </w:p>
    <w:p>
      <w:pPr>
        <w:spacing w:after="80" w:before="480"/>
      </w:pPr>
      <w:r>
        <w:rPr>
          <w:b/>
          <w:bCs/>
        </w:rPr>
        <w:t xml:space="preserve">Investigador principal</w:t>
      </w:r>
    </w:p>
    <w:p>
      <w:pPr>
        <w:spacing w:after="160"/>
      </w:pPr>
      <w:r>
        <w:t xml:space="preserve">Yaven, Ignacio, MD — CEMIC</w:t>
      </w:r>
    </w:p>
    <w:p>
      <w:pPr>
        <w:spacing w:after="160"/>
      </w:pPr>
      <w:r>
        <w:t xml:space="preserve">Firma / Fecha: _______________</w:t>
      </w:r>
    </w:p>
    <w:p>
      <w:pPr>
        <w:spacing w:after="80" w:before="240"/>
      </w:pPr>
      <w:r>
        <w:rPr>
          <w:b/>
          <w:bCs/>
        </w:rPr>
        <w:t xml:space="preserve">Co-investigadores</w:t>
      </w:r>
    </w:p>
    <w:p>
      <w:pPr>
        <w:spacing w:after="160"/>
      </w:pPr>
      <w:r>
        <w:t xml:space="preserve">Gobbi, Enrique, MD — CEMIC</w:t>
      </w:r>
    </w:p>
    <w:p>
      <w:pPr>
        <w:spacing w:after="160"/>
      </w:pPr>
      <w:r>
        <w:t xml:space="preserve">Costa Paz, Matias, MD — CEMIC</w:t>
      </w:r>
    </w:p>
    <w:p>
      <w:pPr>
        <w:spacing w:after="160"/>
      </w:pPr>
      <w:r>
        <w:t xml:space="preserve">Firma / Fecha: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2026-09-17T22:47:06.233Z</dcterms:created>
  <dcterms:modified xsi:type="dcterms:W3CDTF">2026-09-17T22:47:06.234Z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