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4E79"/>
          <w:sz w:val="28"/>
          <w:szCs w:val="28"/>
        </w:rPr>
        <w:t xml:space="preserve">SYSTEMATIC REVIEW AND META-ANALYSIS PROTOCOL</w:t>
      </w:r>
    </w:p>
    <w:p>
      <w:pPr>
        <w:spacing w:after="80"/>
        <w:jc w:val="center"/>
      </w:pPr>
      <w:r>
        <w:rPr>
          <w:rFonts w:ascii="Arial" w:cs="Arial" w:eastAsia="Arial" w:hAnsi="Arial"/>
          <w:color w:val="2E75B6"/>
          <w:sz w:val="22"/>
          <w:szCs w:val="22"/>
        </w:rPr>
        <w:t xml:space="preserve">PROSPERO Registration</w:t>
      </w:r>
    </w:p>
    <w:p>
      <w:pPr>
        <w:spacing w:after="320"/>
        <w:jc w:val="center"/>
      </w:pPr>
      <w:r>
        <w:rPr>
          <w:rFonts w:ascii="Arial" w:cs="Arial" w:eastAsia="Arial" w:hAnsi="Arial"/>
          <w:b/>
          <w:bCs/>
          <w:sz w:val="22"/>
          <w:szCs w:val="22"/>
        </w:rPr>
        <w:t xml:space="preserve">Predictive validity of the AO Spine subaxial cervical and thoracolumbar injury classification systems on neurological recovery, complications, and revision rate: a systematic review and meta-analysis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bCs/>
                <w:sz w:val="20"/>
                <w:szCs w:val="20"/>
              </w:rPr>
              <w:t xml:space="preserve">Protocol version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1.0</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bCs/>
                <w:sz w:val="20"/>
                <w:szCs w:val="20"/>
              </w:rPr>
              <w:t xml:space="preserve">Date of elaboration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August 2026</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bCs/>
                <w:sz w:val="20"/>
                <w:szCs w:val="20"/>
              </w:rPr>
              <w:t xml:space="preserve">Status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Registered in PROSPERO</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bCs/>
                <w:sz w:val="20"/>
                <w:szCs w:val="20"/>
              </w:rPr>
              <w:t xml:space="preserve">Principal investigator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Yaven, Ignacio, MD - CEMIC, Argentina</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bCs/>
                <w:sz w:val="20"/>
                <w:szCs w:val="20"/>
              </w:rPr>
              <w:t xml:space="preserve">Co-investigators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Gobbi, Enrique, MD - CEMIC, Argentina | Costa Paz, Matias, MD - CEMIC, Argentina</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bCs/>
                <w:sz w:val="20"/>
                <w:szCs w:val="20"/>
              </w:rPr>
              <w:t xml:space="preserve">Funding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No external funding declared</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bCs/>
                <w:sz w:val="20"/>
                <w:szCs w:val="20"/>
              </w:rPr>
              <w:t xml:space="preserve">Conflicts of interest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None declared by any author</w:t>
            </w:r>
          </w:p>
        </w:tc>
      </w:tr>
    </w:tbl>
    <w:p>
      <w:pPr>
        <w:spacing w:after="160"/>
      </w:pPr>
    </w:p>
    <w:p>
      <w:pPr>
        <w:pStyle w:val="Heading1"/>
      </w:pPr>
      <w:r>
        <w:rPr>
          <w:rFonts w:ascii="Arial" w:cs="Arial" w:eastAsia="Arial" w:hAnsi="Arial"/>
          <w:b/>
          <w:bCs/>
          <w:color w:val="1F4E79"/>
          <w:sz w:val="28"/>
          <w:szCs w:val="28"/>
        </w:rPr>
        <w:t xml:space="preserve">1. Background and rationale</w:t>
      </w:r>
    </w:p>
    <w:p>
      <w:pPr>
        <w:spacing w:after="160"/>
      </w:pPr>
      <w:r>
        <w:rPr>
          <w:rFonts w:ascii="Arial" w:cs="Arial" w:eastAsia="Arial" w:hAnsi="Arial"/>
          <w:sz w:val="20"/>
          <w:szCs w:val="20"/>
        </w:rPr>
        <w:t xml:space="preserve">The AO Spine classification systems - subaxial cervical (AO Spine CSISS and its predecessor SLIC) and thoracolumbar (AO Spine TLICS / AO TL) - are the most widely adopted morphological spinal fracture classification systems worldwide. Their stated purpose is to guide surgical decision-making and predict clinical outcomes in patients with spinal trauma. However, existing evidence on their predictive validity is heterogeneous and has not been quantitatively synthesized.</w:t>
      </w:r>
    </w:p>
    <w:p>
      <w:pPr>
        <w:spacing w:after="160"/>
      </w:pPr>
      <w:r>
        <w:rPr>
          <w:rFonts w:ascii="Arial" w:cs="Arial" w:eastAsia="Arial" w:hAnsi="Arial"/>
          <w:sz w:val="20"/>
          <w:szCs w:val="20"/>
        </w:rPr>
        <w:t xml:space="preserve">Previous systematic reviews have focused on interobserver and intraobserver reliability (kappa) of these classifications, with moderate to good results. A specific evidence gap remains: it is not precisely known how well the AO morphological subgroup predicts the most clinically relevant outcomes (neurological recovery, complications, and reoperation rate), nor in which subgroups the classification loses predictive power. This systematic review and meta-analysis aims to fill that gap through independent quantitative analysis for each spinal region.</w:t>
      </w:r>
    </w:p>
    <w:p>
      <w:pPr>
        <w:pStyle w:val="Heading1"/>
      </w:pPr>
      <w:r>
        <w:rPr>
          <w:rFonts w:ascii="Arial" w:cs="Arial" w:eastAsia="Arial" w:hAnsi="Arial"/>
          <w:b/>
          <w:bCs/>
          <w:color w:val="1F4E79"/>
          <w:sz w:val="28"/>
          <w:szCs w:val="28"/>
        </w:rPr>
        <w:t xml:space="preserve">2. Objectives</w:t>
      </w:r>
    </w:p>
    <w:p>
      <w:pPr>
        <w:pStyle w:val="Heading2"/>
      </w:pPr>
      <w:r>
        <w:rPr>
          <w:rFonts w:ascii="Arial" w:cs="Arial" w:eastAsia="Arial" w:hAnsi="Arial"/>
          <w:b/>
          <w:bCs/>
          <w:color w:val="2E75B6"/>
          <w:sz w:val="24"/>
          <w:szCs w:val="24"/>
        </w:rPr>
        <w:t xml:space="preserve">2.1 Primary objective</w:t>
      </w:r>
    </w:p>
    <w:p>
      <w:pPr>
        <w:spacing w:after="160"/>
      </w:pPr>
      <w:r>
        <w:rPr>
          <w:rFonts w:ascii="Arial" w:cs="Arial" w:eastAsia="Arial" w:hAnsi="Arial"/>
          <w:sz w:val="20"/>
          <w:szCs w:val="20"/>
        </w:rPr>
        <w:t xml:space="preserve">To evaluate the predictive validity of the AO Spine subaxial cervical and thoracolumbar classification systems on neurological recovery (improvement of at least one AIS/ASIA grade at follow-up).</w:t>
      </w:r>
    </w:p>
    <w:p>
      <w:pPr>
        <w:pStyle w:val="Heading2"/>
      </w:pPr>
      <w:r>
        <w:rPr>
          <w:rFonts w:ascii="Arial" w:cs="Arial" w:eastAsia="Arial" w:hAnsi="Arial"/>
          <w:b/>
          <w:bCs/>
          <w:color w:val="2E75B6"/>
          <w:sz w:val="24"/>
          <w:szCs w:val="24"/>
        </w:rPr>
        <w:t xml:space="preserve">2.2 Secondary objectives</w:t>
      </w:r>
    </w:p>
    <w:p>
      <w:pPr>
        <w:pStyle w:val="ListParagraph"/>
        <w:numPr>
          <w:ilvl w:val="0"/>
          <w:numId w:val="2"/>
        </w:numPr>
        <w:spacing w:after="80"/>
      </w:pPr>
      <w:r>
        <w:rPr>
          <w:rFonts w:ascii="Arial" w:cs="Arial" w:eastAsia="Arial" w:hAnsi="Arial"/>
          <w:sz w:val="20"/>
          <w:szCs w:val="20"/>
        </w:rPr>
        <w:t xml:space="preserve">To evaluate the rate of surgical complications (infection, CSF leak, implant failure, neurological deterioration) by AO subgroup.</w:t>
      </w:r>
    </w:p>
    <w:p>
      <w:pPr>
        <w:pStyle w:val="ListParagraph"/>
        <w:numPr>
          <w:ilvl w:val="0"/>
          <w:numId w:val="2"/>
        </w:numPr>
        <w:spacing w:after="80"/>
      </w:pPr>
      <w:r>
        <w:rPr>
          <w:rFonts w:ascii="Arial" w:cs="Arial" w:eastAsia="Arial" w:hAnsi="Arial"/>
          <w:sz w:val="20"/>
          <w:szCs w:val="20"/>
        </w:rPr>
        <w:t xml:space="preserve">To evaluate the reoperation/revision rate within the reported follow-up period by AO subgroup.</w:t>
      </w:r>
    </w:p>
    <w:p>
      <w:pPr>
        <w:pStyle w:val="ListParagraph"/>
        <w:numPr>
          <w:ilvl w:val="0"/>
          <w:numId w:val="2"/>
        </w:numPr>
        <w:spacing w:after="80"/>
      </w:pPr>
      <w:r>
        <w:rPr>
          <w:rFonts w:ascii="Arial" w:cs="Arial" w:eastAsia="Arial" w:hAnsi="Arial"/>
          <w:sz w:val="20"/>
          <w:szCs w:val="20"/>
        </w:rPr>
        <w:t xml:space="preserve">To identify morphological subgroups where the classification shows low predictive capacity.</w:t>
      </w:r>
    </w:p>
    <w:p>
      <w:pPr>
        <w:pStyle w:val="ListParagraph"/>
        <w:numPr>
          <w:ilvl w:val="0"/>
          <w:numId w:val="2"/>
        </w:numPr>
        <w:spacing w:after="80"/>
      </w:pPr>
      <w:r>
        <w:rPr>
          <w:rFonts w:ascii="Arial" w:cs="Arial" w:eastAsia="Arial" w:hAnsi="Arial"/>
          <w:sz w:val="20"/>
          <w:szCs w:val="20"/>
        </w:rPr>
        <w:t xml:space="preserve">To evaluate whether the neurological component modifies the predictive value of the morphological classification.</w:t>
      </w:r>
    </w:p>
    <w:p>
      <w:pPr>
        <w:pStyle w:val="ListParagraph"/>
        <w:numPr>
          <w:ilvl w:val="0"/>
          <w:numId w:val="2"/>
        </w:numPr>
        <w:spacing w:after="80"/>
      </w:pPr>
      <w:r>
        <w:rPr>
          <w:rFonts w:ascii="Arial" w:cs="Arial" w:eastAsia="Arial" w:hAnsi="Arial"/>
          <w:sz w:val="20"/>
          <w:szCs w:val="20"/>
        </w:rPr>
        <w:t xml:space="preserve">To determine whether differences in predictive validity exist according to spinal region (subaxial cervical vs. thoracolumbar).</w:t>
      </w:r>
    </w:p>
    <w:p>
      <w:pPr>
        <w:pStyle w:val="ListParagraph"/>
        <w:numPr>
          <w:ilvl w:val="0"/>
          <w:numId w:val="2"/>
        </w:numPr>
        <w:spacing w:after="80"/>
      </w:pPr>
      <w:r>
        <w:rPr>
          <w:rFonts w:ascii="Arial" w:cs="Arial" w:eastAsia="Arial" w:hAnsi="Arial"/>
          <w:sz w:val="20"/>
          <w:szCs w:val="20"/>
        </w:rPr>
        <w:t xml:space="preserve">To evaluate functional outcomes (PROMs: SF-36, ODI, NDI, VAS, ASIA motor score) as secondary outcomes when available.</w:t>
      </w:r>
    </w:p>
    <w:p>
      <w:pPr>
        <w:spacing w:after="160"/>
      </w:pPr>
    </w:p>
    <w:p>
      <w:pPr>
        <w:pStyle w:val="Heading1"/>
      </w:pPr>
      <w:r>
        <w:rPr>
          <w:rFonts w:ascii="Arial" w:cs="Arial" w:eastAsia="Arial" w:hAnsi="Arial"/>
          <w:b/>
          <w:bCs/>
          <w:color w:val="1F4E79"/>
          <w:sz w:val="28"/>
          <w:szCs w:val="28"/>
        </w:rPr>
        <w:t xml:space="preserve">3. Research question (PICO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sz w:val="20"/>
                <w:szCs w:val="20"/>
              </w:rPr>
              <w:t xml:space="preserve">Element</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sz w:val="20"/>
                <w:szCs w:val="20"/>
              </w:rPr>
              <w:t xml:space="preserve">Component</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sz w:val="20"/>
                <w:szCs w:val="20"/>
              </w:rPr>
              <w:t xml:space="preserve">Operational definition</w:t>
            </w:r>
          </w:p>
        </w:tc>
      </w:tr>
      <w:tr>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bCs/>
                <w:sz w:val="20"/>
                <w:szCs w:val="20"/>
              </w:rPr>
              <w:t xml:space="preserve">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Population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Adult patients with spinal trauma (subaxial cervical C3-C7 or thoracolumbar T1-L5) classified using the AO Spine system. No restriction on sex, age &gt;=18 years, or mechanism of injury.</w:t>
            </w:r>
          </w:p>
        </w:tc>
      </w:tr>
      <w:tr>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bCs/>
                <w:sz w:val="20"/>
                <w:szCs w:val="20"/>
              </w:rPr>
              <w:t xml:space="preserve">I</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Intervention (exposure)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Surgical or conservative treatment defined or guided by AO Spine morphological subgroup (Type A, B, C; with or without neurological modifiers N and M).</w:t>
            </w:r>
          </w:p>
        </w:tc>
      </w:tr>
      <w:tr>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bCs/>
                <w:sz w:val="20"/>
                <w:szCs w:val="20"/>
              </w:rPr>
              <w:t xml:space="preserve">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Comparison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Between AO morphological subgroups (A vs. B vs. C; subtypes within each type). Comparison between surgical and conservative management when defined by subgroup.</w:t>
            </w:r>
          </w:p>
        </w:tc>
      </w:tr>
      <w:tr>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bCs/>
                <w:sz w:val="20"/>
                <w:szCs w:val="20"/>
              </w:rPr>
              <w:t xml:space="preserve">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Outcomes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Primary: Neurological recovery (&gt;=1 AIS/ASIA grade improvement at follow-up). Secondary: Surgical complications, reoperation/revision, PROMs (NDI, ODI, VAS, SF-36).</w:t>
            </w:r>
          </w:p>
        </w:tc>
      </w:tr>
    </w:tbl>
    <w:p>
      <w:pPr>
        <w:spacing w:after="160"/>
      </w:pPr>
    </w:p>
    <w:p>
      <w:pPr>
        <w:pStyle w:val="Heading1"/>
      </w:pPr>
      <w:r>
        <w:rPr>
          <w:rFonts w:ascii="Arial" w:cs="Arial" w:eastAsia="Arial" w:hAnsi="Arial"/>
          <w:b/>
          <w:bCs/>
          <w:color w:val="1F4E79"/>
          <w:sz w:val="28"/>
          <w:szCs w:val="28"/>
        </w:rPr>
        <w:t xml:space="preserve">4. Eligibility criteria</w:t>
      </w:r>
    </w:p>
    <w:p>
      <w:pPr>
        <w:pStyle w:val="Heading2"/>
      </w:pPr>
      <w:r>
        <w:rPr>
          <w:rFonts w:ascii="Arial" w:cs="Arial" w:eastAsia="Arial" w:hAnsi="Arial"/>
          <w:b/>
          <w:bCs/>
          <w:color w:val="2E75B6"/>
          <w:sz w:val="24"/>
          <w:szCs w:val="24"/>
        </w:rPr>
        <w:t xml:space="preserve">4.1 Inclusion criteria</w:t>
      </w:r>
    </w:p>
    <w:p>
      <w:pPr>
        <w:pStyle w:val="ListParagraph"/>
        <w:numPr>
          <w:ilvl w:val="0"/>
          <w:numId w:val="2"/>
        </w:numPr>
        <w:spacing w:after="80"/>
      </w:pPr>
      <w:r>
        <w:rPr>
          <w:rFonts w:ascii="Arial" w:cs="Arial" w:eastAsia="Arial" w:hAnsi="Arial"/>
          <w:sz w:val="20"/>
          <w:szCs w:val="20"/>
        </w:rPr>
        <w:t xml:space="preserve">Prospective or retrospective observational studies, multicenter registries, randomized controlled trials.</w:t>
      </w:r>
    </w:p>
    <w:p>
      <w:pPr>
        <w:pStyle w:val="ListParagraph"/>
        <w:numPr>
          <w:ilvl w:val="0"/>
          <w:numId w:val="2"/>
        </w:numPr>
        <w:spacing w:after="80"/>
      </w:pPr>
      <w:r>
        <w:rPr>
          <w:rFonts w:ascii="Arial" w:cs="Arial" w:eastAsia="Arial" w:hAnsi="Arial"/>
          <w:sz w:val="20"/>
          <w:szCs w:val="20"/>
        </w:rPr>
        <w:t xml:space="preserve">Adult patients (&gt;=18 years) with cervical subaxial (C3-C7) or thoracolumbar (T1-L5) fracture or fracture-dislocation.</w:t>
      </w:r>
    </w:p>
    <w:p>
      <w:pPr>
        <w:pStyle w:val="ListParagraph"/>
        <w:numPr>
          <w:ilvl w:val="0"/>
          <w:numId w:val="2"/>
        </w:numPr>
        <w:spacing w:after="80"/>
      </w:pPr>
      <w:r>
        <w:rPr>
          <w:rFonts w:ascii="Arial" w:cs="Arial" w:eastAsia="Arial" w:hAnsi="Arial"/>
          <w:sz w:val="20"/>
          <w:szCs w:val="20"/>
        </w:rPr>
        <w:t xml:space="preserve">Explicit AO Spine classification (CSISS, SLIC, AO TL TLICS) or Magerl AO classification with mapping to AO subtype.</w:t>
      </w:r>
    </w:p>
    <w:p>
      <w:pPr>
        <w:pStyle w:val="ListParagraph"/>
        <w:numPr>
          <w:ilvl w:val="0"/>
          <w:numId w:val="2"/>
        </w:numPr>
        <w:spacing w:after="80"/>
      </w:pPr>
      <w:r>
        <w:rPr>
          <w:rFonts w:ascii="Arial" w:cs="Arial" w:eastAsia="Arial" w:hAnsi="Arial"/>
          <w:sz w:val="20"/>
          <w:szCs w:val="20"/>
        </w:rPr>
        <w:t xml:space="preserve">Report of at least one prespecified outcome with extractable quantitative data.</w:t>
      </w:r>
    </w:p>
    <w:p>
      <w:pPr>
        <w:pStyle w:val="ListParagraph"/>
        <w:numPr>
          <w:ilvl w:val="0"/>
          <w:numId w:val="2"/>
        </w:numPr>
        <w:spacing w:after="80"/>
      </w:pPr>
      <w:r>
        <w:rPr>
          <w:rFonts w:ascii="Arial" w:cs="Arial" w:eastAsia="Arial" w:hAnsi="Arial"/>
          <w:sz w:val="20"/>
          <w:szCs w:val="20"/>
        </w:rPr>
        <w:t xml:space="preserve">Minimum follow-up of 3 months.</w:t>
      </w:r>
    </w:p>
    <w:p>
      <w:pPr>
        <w:pStyle w:val="ListParagraph"/>
        <w:numPr>
          <w:ilvl w:val="0"/>
          <w:numId w:val="2"/>
        </w:numPr>
        <w:spacing w:after="80"/>
      </w:pPr>
      <w:r>
        <w:rPr>
          <w:rFonts w:ascii="Arial" w:cs="Arial" w:eastAsia="Arial" w:hAnsi="Arial"/>
          <w:sz w:val="20"/>
          <w:szCs w:val="20"/>
        </w:rPr>
        <w:t xml:space="preserve">Sample size &gt;=20 patients per cohort.</w:t>
      </w:r>
    </w:p>
    <w:p>
      <w:pPr>
        <w:pStyle w:val="ListParagraph"/>
        <w:numPr>
          <w:ilvl w:val="0"/>
          <w:numId w:val="2"/>
        </w:numPr>
        <w:spacing w:after="80"/>
      </w:pPr>
      <w:r>
        <w:rPr>
          <w:rFonts w:ascii="Arial" w:cs="Arial" w:eastAsia="Arial" w:hAnsi="Arial"/>
          <w:sz w:val="20"/>
          <w:szCs w:val="20"/>
        </w:rPr>
        <w:t xml:space="preserve">Published in English, Spanish, or Portuguese.</w:t>
      </w:r>
    </w:p>
    <w:p>
      <w:pPr>
        <w:pStyle w:val="ListParagraph"/>
        <w:numPr>
          <w:ilvl w:val="0"/>
          <w:numId w:val="2"/>
        </w:numPr>
        <w:spacing w:after="80"/>
      </w:pPr>
      <w:r>
        <w:rPr>
          <w:rFonts w:ascii="Arial" w:cs="Arial" w:eastAsia="Arial" w:hAnsi="Arial"/>
          <w:sz w:val="20"/>
          <w:szCs w:val="20"/>
        </w:rPr>
        <w:t xml:space="preserve">No restriction on year of publication.</w:t>
      </w:r>
    </w:p>
    <w:p>
      <w:pPr>
        <w:pStyle w:val="Heading2"/>
      </w:pPr>
      <w:r>
        <w:rPr>
          <w:rFonts w:ascii="Arial" w:cs="Arial" w:eastAsia="Arial" w:hAnsi="Arial"/>
          <w:b/>
          <w:bCs/>
          <w:color w:val="2E75B6"/>
          <w:sz w:val="24"/>
          <w:szCs w:val="24"/>
        </w:rPr>
        <w:t xml:space="preserve">4.2 Exclusion criteria</w:t>
      </w:r>
    </w:p>
    <w:p>
      <w:pPr>
        <w:pStyle w:val="ListParagraph"/>
        <w:numPr>
          <w:ilvl w:val="0"/>
          <w:numId w:val="2"/>
        </w:numPr>
        <w:spacing w:after="80"/>
      </w:pPr>
      <w:r>
        <w:rPr>
          <w:rFonts w:ascii="Arial" w:cs="Arial" w:eastAsia="Arial" w:hAnsi="Arial"/>
          <w:sz w:val="20"/>
          <w:szCs w:val="20"/>
        </w:rPr>
        <w:t xml:space="preserve">Reliability/agreement studies without clinical outcome reporting.</w:t>
      </w:r>
    </w:p>
    <w:p>
      <w:pPr>
        <w:pStyle w:val="ListParagraph"/>
        <w:numPr>
          <w:ilvl w:val="0"/>
          <w:numId w:val="2"/>
        </w:numPr>
        <w:spacing w:after="80"/>
      </w:pPr>
      <w:r>
        <w:rPr>
          <w:rFonts w:ascii="Arial" w:cs="Arial" w:eastAsia="Arial" w:hAnsi="Arial"/>
          <w:sz w:val="20"/>
          <w:szCs w:val="20"/>
        </w:rPr>
        <w:t xml:space="preserve">Case series &lt;20 patients, case reports, and letters to the editor.</w:t>
      </w:r>
    </w:p>
    <w:p>
      <w:pPr>
        <w:pStyle w:val="ListParagraph"/>
        <w:numPr>
          <w:ilvl w:val="0"/>
          <w:numId w:val="2"/>
        </w:numPr>
        <w:spacing w:after="80"/>
      </w:pPr>
      <w:r>
        <w:rPr>
          <w:rFonts w:ascii="Arial" w:cs="Arial" w:eastAsia="Arial" w:hAnsi="Arial"/>
          <w:sz w:val="20"/>
          <w:szCs w:val="20"/>
        </w:rPr>
        <w:t xml:space="preserve">Studies that do not allow separation of subaxial cervical from upper cervical data (C0-C2).</w:t>
      </w:r>
    </w:p>
    <w:p>
      <w:pPr>
        <w:pStyle w:val="ListParagraph"/>
        <w:numPr>
          <w:ilvl w:val="0"/>
          <w:numId w:val="2"/>
        </w:numPr>
        <w:spacing w:after="80"/>
      </w:pPr>
      <w:r>
        <w:rPr>
          <w:rFonts w:ascii="Arial" w:cs="Arial" w:eastAsia="Arial" w:hAnsi="Arial"/>
          <w:sz w:val="20"/>
          <w:szCs w:val="20"/>
        </w:rPr>
        <w:t xml:space="preserve">Exclusively pediatric studies (&lt;18 years).</w:t>
      </w:r>
    </w:p>
    <w:p>
      <w:pPr>
        <w:pStyle w:val="ListParagraph"/>
        <w:numPr>
          <w:ilvl w:val="0"/>
          <w:numId w:val="2"/>
        </w:numPr>
        <w:spacing w:after="80"/>
      </w:pPr>
      <w:r>
        <w:rPr>
          <w:rFonts w:ascii="Arial" w:cs="Arial" w:eastAsia="Arial" w:hAnsi="Arial"/>
          <w:sz w:val="20"/>
          <w:szCs w:val="20"/>
        </w:rPr>
        <w:t xml:space="preserve">Narrative reviews, editorials, textbooks.</w:t>
      </w:r>
    </w:p>
    <w:p>
      <w:pPr>
        <w:pStyle w:val="ListParagraph"/>
        <w:numPr>
          <w:ilvl w:val="0"/>
          <w:numId w:val="2"/>
        </w:numPr>
        <w:spacing w:after="80"/>
      </w:pPr>
      <w:r>
        <w:rPr>
          <w:rFonts w:ascii="Arial" w:cs="Arial" w:eastAsia="Arial" w:hAnsi="Arial"/>
          <w:sz w:val="20"/>
          <w:szCs w:val="20"/>
        </w:rPr>
        <w:t xml:space="preserve">Duplicate data without separate cohort analysis (only the publication with the largest sample size or longest follow-up will be included).</w:t>
      </w:r>
    </w:p>
    <w:p>
      <w:pPr>
        <w:spacing w:after="160"/>
      </w:pPr>
    </w:p>
    <w:p>
      <w:pPr>
        <w:pStyle w:val="Heading1"/>
      </w:pPr>
      <w:r>
        <w:rPr>
          <w:rFonts w:ascii="Arial" w:cs="Arial" w:eastAsia="Arial" w:hAnsi="Arial"/>
          <w:b/>
          <w:bCs/>
          <w:color w:val="1F4E79"/>
          <w:sz w:val="28"/>
          <w:szCs w:val="28"/>
        </w:rPr>
        <w:t xml:space="preserve">5. Search strategy</w:t>
      </w:r>
    </w:p>
    <w:p>
      <w:pPr>
        <w:spacing w:after="160"/>
      </w:pPr>
      <w:r>
        <w:rPr>
          <w:rFonts w:ascii="Arial" w:cs="Arial" w:eastAsia="Arial" w:hAnsi="Arial"/>
          <w:sz w:val="20"/>
          <w:szCs w:val="20"/>
        </w:rPr>
        <w:t xml:space="preserve">A systematic and comprehensive search was conducted in the following databases: PubMed/MEDLINE, Cochrane Central Register of Controlled Trials (CENTRAL), and LILACS (Latin American literature via BVS). Reference lists of included studies and AO Spine congress abstracts (last 5 years) were manually reviewed. Grey literature was searched in ClinicalTrials.gov. EMBASE was not searched due to lack of institutional access; this limitation is acknowledged in the manuscript.</w:t>
      </w:r>
    </w:p>
    <w:p>
      <w:pPr>
        <w:spacing w:after="160"/>
      </w:pPr>
      <w:r>
        <w:rPr>
          <w:rFonts w:ascii="Arial" w:cs="Arial" w:eastAsia="Arial" w:hAnsi="Arial"/>
          <w:sz w:val="20"/>
          <w:szCs w:val="20"/>
        </w:rPr>
        <w:t xml:space="preserve">Main search terms included: AO Spine classification, TLICS, SLIC, subaxial cervical fracture, thoracolumbar fracture, neurological recovery, surgical complications, reoperation, predictive validity. MeSH terms and free text expansion were applied. No publication date restriction. Articles in English, Spanish, and Portuguese were included.</w:t>
      </w:r>
    </w:p>
    <w:p>
      <w:pPr>
        <w:pStyle w:val="Heading2"/>
      </w:pPr>
      <w:r>
        <w:rPr>
          <w:rFonts w:ascii="Arial" w:cs="Arial" w:eastAsia="Arial" w:hAnsi="Arial"/>
          <w:b/>
          <w:bCs/>
          <w:color w:val="2E75B6"/>
          <w:sz w:val="24"/>
          <w:szCs w:val="24"/>
        </w:rPr>
        <w:t xml:space="preserve">5.1 Search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000"/>
        <w:gridCol w:w="2000"/>
      </w:tblGrid>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bCs/>
                <w:sz w:val="20"/>
                <w:szCs w:val="20"/>
              </w:rPr>
              <w:t xml:space="preserve">Database</w:t>
            </w:r>
          </w:p>
        </w:tc>
        <w:tc>
          <w:tcPr>
            <w:tcW w:type="dxa" w:w="2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bCs/>
                <w:sz w:val="20"/>
                <w:szCs w:val="20"/>
              </w:rPr>
              <w:t xml:space="preserve">Search date</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bCs/>
                <w:sz w:val="20"/>
                <w:szCs w:val="20"/>
              </w:rPr>
              <w:t xml:space="preserve">Period covered</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bCs/>
                <w:sz w:val="20"/>
                <w:szCs w:val="20"/>
              </w:rPr>
              <w:t xml:space="preserve">Results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PubMed/MEDLINE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August 12, 2026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2011 - present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sz w:val="20"/>
                <w:szCs w:val="20"/>
              </w:rPr>
              <w:t xml:space="preserve">n = 35</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Cochrane CENTRAL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August 12, 2026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2016 - present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sz w:val="20"/>
                <w:szCs w:val="20"/>
              </w:rPr>
              <w:t xml:space="preserve">n = 9</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LILACS (BVS)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August 12, 2026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2016 - present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sz w:val="20"/>
                <w:szCs w:val="20"/>
              </w:rPr>
              <w:t xml:space="preserve">n = 16</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sz w:val="20"/>
                <w:szCs w:val="20"/>
              </w:rPr>
              <w:t xml:space="preserve">TOTAL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sz w:val="20"/>
                <w:szCs w:val="20"/>
              </w:rPr>
              <w:t xml:space="preserve">n = 60</w:t>
            </w:r>
          </w:p>
        </w:tc>
      </w:tr>
    </w:tbl>
    <w:p>
      <w:pPr>
        <w:spacing w:after="160"/>
      </w:pPr>
    </w:p>
    <w:p>
      <w:pPr>
        <w:pStyle w:val="Heading1"/>
      </w:pPr>
      <w:r>
        <w:rPr>
          <w:rFonts w:ascii="Arial" w:cs="Arial" w:eastAsia="Arial" w:hAnsi="Arial"/>
          <w:b/>
          <w:bCs/>
          <w:color w:val="1F4E79"/>
          <w:sz w:val="28"/>
          <w:szCs w:val="28"/>
        </w:rPr>
        <w:t xml:space="preserve">6. Study selection and data extraction</w:t>
      </w:r>
    </w:p>
    <w:p>
      <w:pPr>
        <w:pStyle w:val="Heading2"/>
      </w:pPr>
      <w:r>
        <w:rPr>
          <w:rFonts w:ascii="Arial" w:cs="Arial" w:eastAsia="Arial" w:hAnsi="Arial"/>
          <w:b/>
          <w:bCs/>
          <w:color w:val="2E75B6"/>
          <w:sz w:val="24"/>
          <w:szCs w:val="24"/>
        </w:rPr>
        <w:t xml:space="preserve">6.1 Study selection</w:t>
      </w:r>
    </w:p>
    <w:p>
      <w:pPr>
        <w:pStyle w:val="ListParagraph"/>
        <w:numPr>
          <w:ilvl w:val="0"/>
          <w:numId w:val="2"/>
        </w:numPr>
        <w:spacing w:after="80"/>
      </w:pPr>
      <w:r>
        <w:rPr>
          <w:rFonts w:ascii="Arial" w:cs="Arial" w:eastAsia="Arial" w:hAnsi="Arial"/>
          <w:sz w:val="20"/>
          <w:szCs w:val="20"/>
        </w:rPr>
        <w:t xml:space="preserve">Stage 1 (title and abstract): two independent reviewers will evaluate each reference. Disagreements resolved by consensus or a third reviewer.</w:t>
      </w:r>
    </w:p>
    <w:p>
      <w:pPr>
        <w:pStyle w:val="ListParagraph"/>
        <w:numPr>
          <w:ilvl w:val="0"/>
          <w:numId w:val="2"/>
        </w:numPr>
        <w:spacing w:after="80"/>
      </w:pPr>
      <w:r>
        <w:rPr>
          <w:rFonts w:ascii="Arial" w:cs="Arial" w:eastAsia="Arial" w:hAnsi="Arial"/>
          <w:sz w:val="20"/>
          <w:szCs w:val="20"/>
        </w:rPr>
        <w:t xml:space="preserve">Stage 2 (full text): eligibility of all preselected studies will be assessed. Reasons for exclusion will be documented.</w:t>
      </w:r>
    </w:p>
    <w:p>
      <w:pPr>
        <w:spacing w:after="160"/>
      </w:pPr>
      <w:r>
        <w:rPr>
          <w:rFonts w:ascii="Arial" w:cs="Arial" w:eastAsia="Arial" w:hAnsi="Arial"/>
          <w:sz w:val="20"/>
          <w:szCs w:val="20"/>
        </w:rPr>
        <w:t xml:space="preserve">Rayyan platform (Qatar Computing Research Institute) will be used for blinded screening management.</w:t>
      </w:r>
    </w:p>
    <w:p>
      <w:pPr>
        <w:pStyle w:val="Heading2"/>
      </w:pPr>
      <w:r>
        <w:rPr>
          <w:rFonts w:ascii="Arial" w:cs="Arial" w:eastAsia="Arial" w:hAnsi="Arial"/>
          <w:b/>
          <w:bCs/>
          <w:color w:val="2E75B6"/>
          <w:sz w:val="24"/>
          <w:szCs w:val="24"/>
        </w:rPr>
        <w:t xml:space="preserve">6.2 Data extraction</w:t>
      </w:r>
    </w:p>
    <w:p>
      <w:pPr>
        <w:pStyle w:val="ListParagraph"/>
        <w:numPr>
          <w:ilvl w:val="0"/>
          <w:numId w:val="2"/>
        </w:numPr>
        <w:spacing w:after="80"/>
      </w:pPr>
      <w:r>
        <w:rPr>
          <w:rFonts w:ascii="Arial" w:cs="Arial" w:eastAsia="Arial" w:hAnsi="Arial"/>
          <w:sz w:val="20"/>
          <w:szCs w:val="20"/>
        </w:rPr>
        <w:t xml:space="preserve">Study data: author, year, country, design, recruitment period, funding source.</w:t>
      </w:r>
    </w:p>
    <w:p>
      <w:pPr>
        <w:pStyle w:val="ListParagraph"/>
        <w:numPr>
          <w:ilvl w:val="0"/>
          <w:numId w:val="2"/>
        </w:numPr>
        <w:spacing w:after="80"/>
      </w:pPr>
      <w:r>
        <w:rPr>
          <w:rFonts w:ascii="Arial" w:cs="Arial" w:eastAsia="Arial" w:hAnsi="Arial"/>
          <w:sz w:val="20"/>
          <w:szCs w:val="20"/>
        </w:rPr>
        <w:t xml:space="preserve">Population data: total n, mean age, sex, injury mechanism, baseline neurological level (AIS/ASIA), spinal region.</w:t>
      </w:r>
    </w:p>
    <w:p>
      <w:pPr>
        <w:pStyle w:val="ListParagraph"/>
        <w:numPr>
          <w:ilvl w:val="0"/>
          <w:numId w:val="2"/>
        </w:numPr>
        <w:spacing w:after="80"/>
      </w:pPr>
      <w:r>
        <w:rPr>
          <w:rFonts w:ascii="Arial" w:cs="Arial" w:eastAsia="Arial" w:hAnsi="Arial"/>
          <w:sz w:val="20"/>
          <w:szCs w:val="20"/>
        </w:rPr>
        <w:t xml:space="preserve">Classification: system used, subtype distribution, N and M modifiers reported.</w:t>
      </w:r>
    </w:p>
    <w:p>
      <w:pPr>
        <w:pStyle w:val="ListParagraph"/>
        <w:numPr>
          <w:ilvl w:val="0"/>
          <w:numId w:val="2"/>
        </w:numPr>
        <w:spacing w:after="80"/>
      </w:pPr>
      <w:r>
        <w:rPr>
          <w:rFonts w:ascii="Arial" w:cs="Arial" w:eastAsia="Arial" w:hAnsi="Arial"/>
          <w:sz w:val="20"/>
          <w:szCs w:val="20"/>
        </w:rPr>
        <w:t xml:space="preserve">Treatment: conservative vs. surgical, approach type, surgical timing.</w:t>
      </w:r>
    </w:p>
    <w:p>
      <w:pPr>
        <w:pStyle w:val="ListParagraph"/>
        <w:numPr>
          <w:ilvl w:val="0"/>
          <w:numId w:val="2"/>
        </w:numPr>
        <w:spacing w:after="80"/>
      </w:pPr>
      <w:r>
        <w:rPr>
          <w:rFonts w:ascii="Arial" w:cs="Arial" w:eastAsia="Arial" w:hAnsi="Arial"/>
          <w:sz w:val="20"/>
          <w:szCs w:val="20"/>
        </w:rPr>
        <w:t xml:space="preserve">Outcomes: neurological recovery rate, complications, reoperation (n/N per subgroup).</w:t>
      </w:r>
    </w:p>
    <w:p>
      <w:pPr>
        <w:pStyle w:val="ListParagraph"/>
        <w:numPr>
          <w:ilvl w:val="0"/>
          <w:numId w:val="2"/>
        </w:numPr>
        <w:spacing w:after="80"/>
      </w:pPr>
      <w:r>
        <w:rPr>
          <w:rFonts w:ascii="Arial" w:cs="Arial" w:eastAsia="Arial" w:hAnsi="Arial"/>
          <w:sz w:val="20"/>
          <w:szCs w:val="20"/>
        </w:rPr>
        <w:t xml:space="preserve">Follow-up: mean duration, loss to follow-up rate.</w:t>
      </w:r>
    </w:p>
    <w:p>
      <w:pPr>
        <w:spacing w:after="160"/>
      </w:pPr>
    </w:p>
    <w:p>
      <w:pPr>
        <w:pStyle w:val="Heading1"/>
      </w:pPr>
      <w:r>
        <w:rPr>
          <w:rFonts w:ascii="Arial" w:cs="Arial" w:eastAsia="Arial" w:hAnsi="Arial"/>
          <w:b/>
          <w:bCs/>
          <w:color w:val="1F4E79"/>
          <w:sz w:val="28"/>
          <w:szCs w:val="28"/>
        </w:rPr>
        <w:t xml:space="preserve">7. Risk of bias assessment</w:t>
      </w:r>
    </w:p>
    <w:p>
      <w:pPr>
        <w:pStyle w:val="ListParagraph"/>
        <w:numPr>
          <w:ilvl w:val="0"/>
          <w:numId w:val="2"/>
        </w:numPr>
        <w:spacing w:after="80"/>
      </w:pPr>
      <w:r>
        <w:rPr>
          <w:rFonts w:ascii="Arial" w:cs="Arial" w:eastAsia="Arial" w:hAnsi="Arial"/>
          <w:sz w:val="20"/>
          <w:szCs w:val="20"/>
        </w:rPr>
        <w:t xml:space="preserve">Cohort studies: Newcastle-Ottawa Scale (NOS). High risk defined as NOS &lt;=5/9.</w:t>
      </w:r>
    </w:p>
    <w:p>
      <w:pPr>
        <w:pStyle w:val="ListParagraph"/>
        <w:numPr>
          <w:ilvl w:val="0"/>
          <w:numId w:val="2"/>
        </w:numPr>
        <w:spacing w:after="80"/>
      </w:pPr>
      <w:r>
        <w:rPr>
          <w:rFonts w:ascii="Arial" w:cs="Arial" w:eastAsia="Arial" w:hAnsi="Arial"/>
          <w:sz w:val="20"/>
          <w:szCs w:val="20"/>
        </w:rPr>
        <w:t xml:space="preserve">Randomized controlled trials: Cochrane RoB 2.0.</w:t>
      </w:r>
    </w:p>
    <w:p>
      <w:pPr>
        <w:spacing w:after="160"/>
      </w:pPr>
      <w:r>
        <w:rPr>
          <w:rFonts w:ascii="Arial" w:cs="Arial" w:eastAsia="Arial" w:hAnsi="Arial"/>
          <w:sz w:val="20"/>
          <w:szCs w:val="20"/>
        </w:rPr>
        <w:t xml:space="preserve">Disagreements resolved by consensus.</w:t>
      </w:r>
    </w:p>
    <w:p>
      <w:pPr>
        <w:pStyle w:val="Heading1"/>
      </w:pPr>
      <w:r>
        <w:rPr>
          <w:rFonts w:ascii="Arial" w:cs="Arial" w:eastAsia="Arial" w:hAnsi="Arial"/>
          <w:b/>
          <w:bCs/>
          <w:color w:val="1F4E79"/>
          <w:sz w:val="28"/>
          <w:szCs w:val="28"/>
        </w:rPr>
        <w:t xml:space="preserve">8. Quantitative synthesis (meta-analysis)</w:t>
      </w:r>
    </w:p>
    <w:p>
      <w:pPr>
        <w:pStyle w:val="Heading2"/>
      </w:pPr>
      <w:r>
        <w:rPr>
          <w:rFonts w:ascii="Arial" w:cs="Arial" w:eastAsia="Arial" w:hAnsi="Arial"/>
          <w:b/>
          <w:bCs/>
          <w:color w:val="2E75B6"/>
          <w:sz w:val="24"/>
          <w:szCs w:val="24"/>
        </w:rPr>
        <w:t xml:space="preserve">8.1 Effect measures</w:t>
      </w:r>
    </w:p>
    <w:p>
      <w:pPr>
        <w:pStyle w:val="ListParagraph"/>
        <w:numPr>
          <w:ilvl w:val="0"/>
          <w:numId w:val="2"/>
        </w:numPr>
        <w:spacing w:after="80"/>
      </w:pPr>
      <w:r>
        <w:rPr>
          <w:rFonts w:ascii="Arial" w:cs="Arial" w:eastAsia="Arial" w:hAnsi="Arial"/>
          <w:sz w:val="20"/>
          <w:szCs w:val="20"/>
        </w:rPr>
        <w:t xml:space="preserve">Binary outcomes: pooled odds ratio (OR) with 95% CI, random-effects model (DerSimonian-Laird).</w:t>
      </w:r>
    </w:p>
    <w:p>
      <w:pPr>
        <w:pStyle w:val="ListParagraph"/>
        <w:numPr>
          <w:ilvl w:val="0"/>
          <w:numId w:val="2"/>
        </w:numPr>
        <w:spacing w:after="80"/>
      </w:pPr>
      <w:r>
        <w:rPr>
          <w:rFonts w:ascii="Arial" w:cs="Arial" w:eastAsia="Arial" w:hAnsi="Arial"/>
          <w:sz w:val="20"/>
          <w:szCs w:val="20"/>
        </w:rPr>
        <w:t xml:space="preserve">Continuous outcomes: standardized mean difference (SMD) with 95% CI.</w:t>
      </w:r>
    </w:p>
    <w:p>
      <w:pPr>
        <w:pStyle w:val="Heading2"/>
      </w:pPr>
      <w:r>
        <w:rPr>
          <w:rFonts w:ascii="Arial" w:cs="Arial" w:eastAsia="Arial" w:hAnsi="Arial"/>
          <w:b/>
          <w:bCs/>
          <w:color w:val="2E75B6"/>
          <w:sz w:val="24"/>
          <w:szCs w:val="24"/>
        </w:rPr>
        <w:t xml:space="preserve">8.2 Heterogeneity</w:t>
      </w:r>
    </w:p>
    <w:p>
      <w:pPr>
        <w:spacing w:after="160"/>
      </w:pPr>
      <w:r>
        <w:rPr>
          <w:rFonts w:ascii="Arial" w:cs="Arial" w:eastAsia="Arial" w:hAnsi="Arial"/>
          <w:sz w:val="20"/>
          <w:szCs w:val="20"/>
        </w:rPr>
        <w:t xml:space="preserve">I2 statistic (Higgins) and Cochran Q test. Substantial heterogeneity: I2 &gt;50%. With I2 &gt;75%, prespecified subgroup analyses will be performed.</w:t>
      </w:r>
    </w:p>
    <w:p>
      <w:pPr>
        <w:pStyle w:val="Heading2"/>
      </w:pPr>
      <w:r>
        <w:rPr>
          <w:rFonts w:ascii="Arial" w:cs="Arial" w:eastAsia="Arial" w:hAnsi="Arial"/>
          <w:b/>
          <w:bCs/>
          <w:color w:val="2E75B6"/>
          <w:sz w:val="24"/>
          <w:szCs w:val="24"/>
        </w:rPr>
        <w:t xml:space="preserve">8.3 Prespecified subgroup analyses</w:t>
      </w:r>
    </w:p>
    <w:p>
      <w:pPr>
        <w:pStyle w:val="ListParagraph"/>
        <w:numPr>
          <w:ilvl w:val="0"/>
          <w:numId w:val="2"/>
        </w:numPr>
        <w:spacing w:after="80"/>
      </w:pPr>
      <w:r>
        <w:rPr>
          <w:rFonts w:ascii="Arial" w:cs="Arial" w:eastAsia="Arial" w:hAnsi="Arial"/>
          <w:sz w:val="20"/>
          <w:szCs w:val="20"/>
        </w:rPr>
        <w:t xml:space="preserve">By spinal region: subaxial cervical vs. thoracolumbar.</w:t>
      </w:r>
    </w:p>
    <w:p>
      <w:pPr>
        <w:pStyle w:val="ListParagraph"/>
        <w:numPr>
          <w:ilvl w:val="0"/>
          <w:numId w:val="2"/>
        </w:numPr>
        <w:spacing w:after="80"/>
      </w:pPr>
      <w:r>
        <w:rPr>
          <w:rFonts w:ascii="Arial" w:cs="Arial" w:eastAsia="Arial" w:hAnsi="Arial"/>
          <w:sz w:val="20"/>
          <w:szCs w:val="20"/>
        </w:rPr>
        <w:t xml:space="preserve">By AO type: Type A vs. B vs. C.</w:t>
      </w:r>
    </w:p>
    <w:p>
      <w:pPr>
        <w:pStyle w:val="ListParagraph"/>
        <w:numPr>
          <w:ilvl w:val="0"/>
          <w:numId w:val="2"/>
        </w:numPr>
        <w:spacing w:after="80"/>
      </w:pPr>
      <w:r>
        <w:rPr>
          <w:rFonts w:ascii="Arial" w:cs="Arial" w:eastAsia="Arial" w:hAnsi="Arial"/>
          <w:sz w:val="20"/>
          <w:szCs w:val="20"/>
        </w:rPr>
        <w:t xml:space="preserve">By baseline neurological status: AIS A vs. AIS B-D vs. AIS E.</w:t>
      </w:r>
    </w:p>
    <w:p>
      <w:pPr>
        <w:pStyle w:val="ListParagraph"/>
        <w:numPr>
          <w:ilvl w:val="0"/>
          <w:numId w:val="2"/>
        </w:numPr>
        <w:spacing w:after="80"/>
      </w:pPr>
      <w:r>
        <w:rPr>
          <w:rFonts w:ascii="Arial" w:cs="Arial" w:eastAsia="Arial" w:hAnsi="Arial"/>
          <w:sz w:val="20"/>
          <w:szCs w:val="20"/>
        </w:rPr>
        <w:t xml:space="preserve">By study design: prospective vs. retrospective.</w:t>
      </w:r>
    </w:p>
    <w:p>
      <w:pPr>
        <w:pStyle w:val="ListParagraph"/>
        <w:numPr>
          <w:ilvl w:val="0"/>
          <w:numId w:val="2"/>
        </w:numPr>
        <w:spacing w:after="80"/>
      </w:pPr>
      <w:r>
        <w:rPr>
          <w:rFonts w:ascii="Arial" w:cs="Arial" w:eastAsia="Arial" w:hAnsi="Arial"/>
          <w:sz w:val="20"/>
          <w:szCs w:val="20"/>
        </w:rPr>
        <w:t xml:space="preserve">By methodological quality: NOS high (&gt;6) vs. low-moderate (&lt;=6).</w:t>
      </w:r>
    </w:p>
    <w:p>
      <w:pPr>
        <w:pStyle w:val="Heading2"/>
      </w:pPr>
      <w:r>
        <w:rPr>
          <w:rFonts w:ascii="Arial" w:cs="Arial" w:eastAsia="Arial" w:hAnsi="Arial"/>
          <w:b/>
          <w:bCs/>
          <w:color w:val="2E75B6"/>
          <w:sz w:val="24"/>
          <w:szCs w:val="24"/>
        </w:rPr>
        <w:t xml:space="preserve">8.4 Publication bias</w:t>
      </w:r>
    </w:p>
    <w:p>
      <w:pPr>
        <w:spacing w:after="160"/>
      </w:pPr>
      <w:r>
        <w:rPr>
          <w:rFonts w:ascii="Arial" w:cs="Arial" w:eastAsia="Arial" w:hAnsi="Arial"/>
          <w:sz w:val="20"/>
          <w:szCs w:val="20"/>
        </w:rPr>
        <w:t xml:space="preserve">Funnel plot + Egger or Begg test if n &gt;=10 studies. Duval-Tweedie trim-and-fill if significant asymmetry detected.</w:t>
      </w:r>
    </w:p>
    <w:p>
      <w:pPr>
        <w:pStyle w:val="Heading2"/>
      </w:pPr>
      <w:r>
        <w:rPr>
          <w:rFonts w:ascii="Arial" w:cs="Arial" w:eastAsia="Arial" w:hAnsi="Arial"/>
          <w:b/>
          <w:bCs/>
          <w:color w:val="2E75B6"/>
          <w:sz w:val="24"/>
          <w:szCs w:val="24"/>
        </w:rPr>
        <w:t xml:space="preserve">8.5 Software</w:t>
      </w:r>
    </w:p>
    <w:p>
      <w:pPr>
        <w:spacing w:after="160"/>
      </w:pPr>
      <w:r>
        <w:rPr>
          <w:rFonts w:ascii="Arial" w:cs="Arial" w:eastAsia="Arial" w:hAnsi="Arial"/>
          <w:sz w:val="20"/>
          <w:szCs w:val="20"/>
        </w:rPr>
        <w:t xml:space="preserve">RevMan 5.4 and R &gt;=4.3 with packages meta and metafor.</w:t>
      </w:r>
    </w:p>
    <w:p>
      <w:pPr>
        <w:pStyle w:val="Heading1"/>
      </w:pPr>
      <w:r>
        <w:rPr>
          <w:rFonts w:ascii="Arial" w:cs="Arial" w:eastAsia="Arial" w:hAnsi="Arial"/>
          <w:b/>
          <w:bCs/>
          <w:color w:val="1F4E79"/>
          <w:sz w:val="28"/>
          <w:szCs w:val="28"/>
        </w:rPr>
        <w:t xml:space="preserve">9. Registration and transparency</w:t>
      </w:r>
    </w:p>
    <w:p>
      <w:pPr>
        <w:spacing w:after="160"/>
      </w:pPr>
      <w:r>
        <w:rPr>
          <w:rFonts w:ascii="Arial" w:cs="Arial" w:eastAsia="Arial" w:hAnsi="Arial"/>
          <w:sz w:val="20"/>
          <w:szCs w:val="20"/>
        </w:rPr>
        <w:t xml:space="preserve">This protocol is registered in PROSPERO (Centre for Reviews and Dissemination, University of York). The final report will follow the PRISMA 2020 statement and the PRISMA-P 2015 extension for protocols.</w:t>
      </w:r>
    </w:p>
    <w:p>
      <w:pPr>
        <w:pStyle w:val="Heading1"/>
      </w:pPr>
      <w:r>
        <w:rPr>
          <w:rFonts w:ascii="Arial" w:cs="Arial" w:eastAsia="Arial" w:hAnsi="Arial"/>
          <w:b/>
          <w:bCs/>
          <w:color w:val="1F4E79"/>
          <w:sz w:val="28"/>
          <w:szCs w:val="28"/>
        </w:rPr>
        <w:t xml:space="preserve">10. Estimated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60"/>
        <w:gridCol w:w="360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sz w:val="20"/>
                <w:szCs w:val="20"/>
              </w:rPr>
              <w:t xml:space="preserve">Phase</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sz w:val="20"/>
                <w:szCs w:val="20"/>
              </w:rPr>
              <w:t xml:space="preserve">Activity</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sz w:val="20"/>
                <w:szCs w:val="20"/>
              </w:rPr>
              <w:t xml:space="preserve">Estimated duration</w:t>
            </w:r>
          </w:p>
        </w:tc>
      </w:tr>
      <w:tr>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val="false"/>
                <w:bCs w:val="false"/>
                <w:sz w:val="20"/>
                <w:szCs w:val="20"/>
              </w:rPr>
              <w:t xml:space="preserve">Phase 1</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PROSPERO registration + protocol refinement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Completed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Phase 2</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Formal bibliographic search + Rayyan management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Completed</w:t>
            </w:r>
          </w:p>
        </w:tc>
      </w:tr>
      <w:tr>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val="false"/>
                <w:bCs w:val="false"/>
                <w:sz w:val="20"/>
                <w:szCs w:val="20"/>
              </w:rPr>
              <w:t xml:space="preserve">Phase 3</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Study selection (title/abstract + full text)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4 weeks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Phase 4</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Data extraction (standardized form)</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4-6 weeks</w:t>
            </w:r>
          </w:p>
        </w:tc>
      </w:tr>
      <w:tr>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val="false"/>
                <w:bCs w:val="false"/>
                <w:sz w:val="20"/>
                <w:szCs w:val="20"/>
              </w:rPr>
              <w:t xml:space="preserve">Phase 5</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Risk of bias assessment (NOS / RoB 2.0)</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2 weeks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Phase 6</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Quantitative synthesis (meta-analysis in R / RevMan)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3-4 weeks</w:t>
            </w:r>
          </w:p>
        </w:tc>
      </w:tr>
      <w:tr>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val="false"/>
                <w:bCs w:val="false"/>
                <w:sz w:val="20"/>
                <w:szCs w:val="20"/>
              </w:rPr>
              <w:t xml:space="preserve">Phase 7</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Manuscript writing</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4-6 weeks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Phase 8</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Co-author review + submission to Global Spine Journal</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2 weeks</w:t>
            </w:r>
          </w:p>
        </w:tc>
      </w:tr>
    </w:tbl>
    <w:p>
      <w:pPr>
        <w:spacing w:after="160"/>
      </w:pPr>
    </w:p>
    <w:p>
      <w:pPr>
        <w:pStyle w:val="Heading1"/>
      </w:pPr>
      <w:r>
        <w:rPr>
          <w:rFonts w:ascii="Arial" w:cs="Arial" w:eastAsia="Arial" w:hAnsi="Arial"/>
          <w:b/>
          <w:bCs/>
          <w:color w:val="1F4E79"/>
          <w:sz w:val="28"/>
          <w:szCs w:val="28"/>
        </w:rPr>
        <w:t xml:space="preserve">11. Target journals</w:t>
      </w:r>
    </w:p>
    <w:p>
      <w:pPr>
        <w:pStyle w:val="ListParagraph"/>
        <w:numPr>
          <w:ilvl w:val="0"/>
          <w:numId w:val="2"/>
        </w:numPr>
        <w:spacing w:after="80"/>
      </w:pPr>
      <w:r>
        <w:rPr>
          <w:rFonts w:ascii="Arial" w:cs="Arial" w:eastAsia="Arial" w:hAnsi="Arial"/>
          <w:sz w:val="20"/>
          <w:szCs w:val="20"/>
        </w:rPr>
        <w:t xml:space="preserve">Global Spine Journal (AOSpine flagship) - primary target journal</w:t>
      </w:r>
    </w:p>
    <w:p>
      <w:pPr>
        <w:pStyle w:val="ListParagraph"/>
        <w:numPr>
          <w:ilvl w:val="0"/>
          <w:numId w:val="2"/>
        </w:numPr>
        <w:spacing w:after="80"/>
      </w:pPr>
      <w:r>
        <w:rPr>
          <w:rFonts w:ascii="Arial" w:cs="Arial" w:eastAsia="Arial" w:hAnsi="Arial"/>
          <w:sz w:val="20"/>
          <w:szCs w:val="20"/>
        </w:rPr>
        <w:t xml:space="preserve">European Spine Journal - alternative</w:t>
      </w:r>
    </w:p>
    <w:p>
      <w:pPr>
        <w:pStyle w:val="ListParagraph"/>
        <w:numPr>
          <w:ilvl w:val="0"/>
          <w:numId w:val="2"/>
        </w:numPr>
        <w:spacing w:after="80"/>
      </w:pPr>
      <w:r>
        <w:rPr>
          <w:rFonts w:ascii="Arial" w:cs="Arial" w:eastAsia="Arial" w:hAnsi="Arial"/>
          <w:sz w:val="20"/>
          <w:szCs w:val="20"/>
        </w:rPr>
        <w:t xml:space="preserve">Spine (Lippincott) - alternative</w:t>
      </w:r>
    </w:p>
    <w:p>
      <w:pPr>
        <w:pStyle w:val="ListParagraph"/>
        <w:numPr>
          <w:ilvl w:val="0"/>
          <w:numId w:val="2"/>
        </w:numPr>
        <w:spacing w:after="80"/>
      </w:pPr>
      <w:r>
        <w:rPr>
          <w:rFonts w:ascii="Arial" w:cs="Arial" w:eastAsia="Arial" w:hAnsi="Arial"/>
          <w:sz w:val="20"/>
          <w:szCs w:val="20"/>
        </w:rPr>
        <w:t xml:space="preserve">Journal of Neurosurgery: Spine - alternative</w:t>
      </w:r>
    </w:p>
    <w:p>
      <w:pPr>
        <w:spacing w:after="160"/>
      </w:pPr>
    </w:p>
    <w:p>
      <w:pPr>
        <w:pStyle w:val="Heading1"/>
      </w:pPr>
      <w:r>
        <w:rPr>
          <w:rFonts w:ascii="Arial" w:cs="Arial" w:eastAsia="Arial" w:hAnsi="Arial"/>
          <w:b/>
          <w:bCs/>
          <w:color w:val="1F4E79"/>
          <w:sz w:val="28"/>
          <w:szCs w:val="28"/>
        </w:rPr>
        <w:t xml:space="preserve">12. Preliminary references</w:t>
      </w:r>
    </w:p>
    <w:p>
      <w:pPr>
        <w:spacing w:after="160"/>
      </w:pPr>
      <w:r>
        <w:rPr>
          <w:rFonts w:ascii="Arial" w:cs="Arial" w:eastAsia="Arial" w:hAnsi="Arial"/>
          <w:sz w:val="20"/>
          <w:szCs w:val="20"/>
        </w:rPr>
        <w:t xml:space="preserve">Vaccaro AR, et al. AO Spine subaxial cervical spine injury classification system. Eur Spine J. 2016.</w:t>
      </w:r>
    </w:p>
    <w:p>
      <w:pPr>
        <w:spacing w:after="160"/>
      </w:pPr>
      <w:r>
        <w:rPr>
          <w:rFonts w:ascii="Arial" w:cs="Arial" w:eastAsia="Arial" w:hAnsi="Arial"/>
          <w:sz w:val="20"/>
          <w:szCs w:val="20"/>
        </w:rPr>
        <w:t xml:space="preserve">Vaccaro AR, et al. The AO Spine thoracolumbar spine injury classification system. Spine. 2013.</w:t>
      </w:r>
    </w:p>
    <w:p>
      <w:pPr>
        <w:spacing w:after="160"/>
      </w:pPr>
      <w:r>
        <w:rPr>
          <w:rFonts w:ascii="Arial" w:cs="Arial" w:eastAsia="Arial" w:hAnsi="Arial"/>
          <w:sz w:val="20"/>
          <w:szCs w:val="20"/>
        </w:rPr>
        <w:t xml:space="preserve">Page MJ, et al. The PRISMA 2020 statement: an updated guideline for reporting systematic reviews. BMJ. 2021.</w:t>
      </w:r>
    </w:p>
    <w:p>
      <w:pPr>
        <w:spacing w:after="160"/>
      </w:pPr>
      <w:r>
        <w:rPr>
          <w:rFonts w:ascii="Arial" w:cs="Arial" w:eastAsia="Arial" w:hAnsi="Arial"/>
          <w:sz w:val="20"/>
          <w:szCs w:val="20"/>
        </w:rPr>
        <w:t xml:space="preserve">Higgins JPT, et al. Cochrane Handbook for Systematic Reviews of Interventions. Version 6.4. 2023.</w:t>
      </w:r>
    </w:p>
    <w:p>
      <w:pPr>
        <w:spacing w:after="160"/>
      </w:pPr>
      <w:r>
        <w:rPr>
          <w:rFonts w:ascii="Arial" w:cs="Arial" w:eastAsia="Arial" w:hAnsi="Arial"/>
          <w:sz w:val="20"/>
          <w:szCs w:val="20"/>
        </w:rPr>
        <w:t xml:space="preserve">Stroup DF, et al. Meta-analysis of observational studies in epidemiology: a proposal for reporting (MOOSE). JAMA. 2000.</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Principal investigator
Yaven, Ignacio, MD - CEMIC
Signature / Date: _______________</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Co-investigators
Gobbi, Enrique, MD - CEMIC
Costa Paz, Matias, MD - CEMIC
Signature / Date: _______________</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2026-08-12T10:59:35.886Z</dcterms:created>
  <dcterms:modified xsi:type="dcterms:W3CDTF">2026-08-12T10:59:35.897Z</dcterms:modified>
</cp:coreProperties>
</file>

<file path=docProps/custom.xml><?xml version="1.0" encoding="utf-8"?>
<Properties xmlns="http://schemas.openxmlformats.org/officeDocument/2006/custom-properties" xmlns:vt="http://schemas.openxmlformats.org/officeDocument/2006/docPropsVTypes"/>
</file>