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b/>
          <w:i w:val="0"/>
          <w:sz w:val="28"/>
        </w:rPr>
        <w:t>ЗАЯВА</w:t>
      </w:r>
    </w:p>
    <w:p>
      <w:pPr>
        <w:spacing w:after="40" w:before="0" w:line="276" w:lineRule="auto"/>
        <w:jc w:val="center"/>
      </w:pPr>
      <w:r>
        <w:rPr>
          <w:rFonts w:ascii="Times New Roman" w:hAnsi="Times New Roman"/>
          <w:b/>
          <w:i w:val="0"/>
          <w:sz w:val="24"/>
        </w:rPr>
        <w:t>про проведення процедури акредитації</w:t>
      </w:r>
    </w:p>
    <w:p>
      <w:pPr>
        <w:spacing w:after="360" w:before="0" w:line="276" w:lineRule="auto"/>
        <w:jc w:val="center"/>
      </w:pPr>
      <w:r>
        <w:rPr>
          <w:rFonts w:ascii="Times New Roman" w:hAnsi="Times New Roman"/>
          <w:b/>
          <w:i w:val="0"/>
          <w:sz w:val="24"/>
        </w:rPr>
        <w:t>кваліфікаційного центру</w:t>
      </w:r>
    </w:p>
    <w:tbl>
      <w:tblPr>
        <w:tblW w:type="auto" w:w="0"/>
        <w:jc w:val="center"/>
        <w:tblLook w:firstColumn="1" w:firstRow="1" w:lastColumn="0" w:lastRow="0" w:noHBand="0" w:noVBand="1" w:val="04A0"/>
      </w:tblPr>
      <w:tblGrid>
        <w:gridCol w:w="4986"/>
        <w:gridCol w:w="4986"/>
      </w:tblGrid>
      <w:tr>
        <w:tc>
          <w:tcPr>
            <w:tcW w:type="dxa" w:w="4986"/>
            <w:tcMar>
              <w:top w:w="100" w:type="dxa"/>
              <w:bottom w:w="100" w:type="dxa"/>
              <w:left w:w="120" w:type="dxa"/>
              <w:right w:w="120" w:type="dxa"/>
            </w:tcMar>
            <w:tcBorders>
              <w:top w:sz="4" w:val="single" w:color="808080"/>
              <w:left w:sz="4" w:val="single" w:color="808080"/>
              <w:bottom w:sz="4" w:val="single" w:color="808080"/>
              <w:right w:sz="4" w:val="single" w:color="808080"/>
            </w:tcBorders>
          </w:tcPr>
          <w:p>
            <w:pPr>
              <w:spacing w:after="80" w:before="80"/>
            </w:pPr>
            <w:r/>
            <w:r>
              <w:rPr>
                <w:rFonts w:ascii="Times New Roman" w:hAnsi="Times New Roman"/>
                <w:b/>
                <w:i w:val="0"/>
                <w:sz w:val="22"/>
              </w:rPr>
              <w:t>Заявник</w:t>
            </w:r>
          </w:p>
        </w:tc>
        <w:tc>
          <w:tcPr>
            <w:tcW w:type="dxa" w:w="4986"/>
            <w:tcMar>
              <w:top w:w="100" w:type="dxa"/>
              <w:bottom w:w="100" w:type="dxa"/>
              <w:left w:w="120" w:type="dxa"/>
              <w:right w:w="120" w:type="dxa"/>
            </w:tcMar>
            <w:tcBorders>
              <w:top w:sz="4" w:val="single" w:color="808080"/>
              <w:left w:sz="4" w:val="single" w:color="808080"/>
              <w:bottom w:sz="4" w:val="single" w:color="808080"/>
              <w:right w:sz="4" w:val="single" w:color="808080"/>
            </w:tcBorders>
          </w:tcPr>
          <w:p>
            <w:pPr>
              <w:spacing w:after="80" w:before="80"/>
            </w:pPr>
            <w:r/>
            <w:r>
              <w:rPr>
                <w:rFonts w:ascii="Times New Roman" w:hAnsi="Times New Roman"/>
                <w:b w:val="0"/>
                <w:i w:val="0"/>
                <w:sz w:val="22"/>
              </w:rPr>
              <w:t>Комунальний заклад «Запорізький обласний інститут післядипломної педагогічної освіти» Запорізької обласної ради</w:t>
              <w:br/>
              <w:t>(повне найменування юридичної особи)</w:t>
            </w:r>
          </w:p>
        </w:tc>
      </w:tr>
      <w:tr>
        <w:tc>
          <w:tcPr>
            <w:tcW w:type="dxa" w:w="4986"/>
            <w:tcMar>
              <w:top w:w="100" w:type="dxa"/>
              <w:bottom w:w="100" w:type="dxa"/>
              <w:left w:w="120" w:type="dxa"/>
              <w:right w:w="120" w:type="dxa"/>
            </w:tcMar>
            <w:tcBorders>
              <w:top w:sz="4" w:val="single" w:color="808080"/>
              <w:left w:sz="4" w:val="single" w:color="808080"/>
              <w:bottom w:sz="4" w:val="single" w:color="808080"/>
              <w:right w:sz="4" w:val="single" w:color="808080"/>
            </w:tcBorders>
          </w:tcPr>
          <w:p>
            <w:pPr>
              <w:spacing w:after="80" w:before="80"/>
            </w:pPr>
            <w:r/>
            <w:r>
              <w:rPr>
                <w:rFonts w:ascii="Times New Roman" w:hAnsi="Times New Roman"/>
                <w:b/>
                <w:i w:val="0"/>
                <w:sz w:val="22"/>
              </w:rPr>
              <w:t>Код згідно з ЄДРПОУ</w:t>
            </w:r>
          </w:p>
        </w:tc>
        <w:tc>
          <w:tcPr>
            <w:tcW w:type="dxa" w:w="4986"/>
            <w:tcMar>
              <w:top w:w="100" w:type="dxa"/>
              <w:bottom w:w="100" w:type="dxa"/>
              <w:left w:w="120" w:type="dxa"/>
              <w:right w:w="120" w:type="dxa"/>
            </w:tcMar>
            <w:tcBorders>
              <w:top w:sz="4" w:val="single" w:color="808080"/>
              <w:left w:sz="4" w:val="single" w:color="808080"/>
              <w:bottom w:sz="4" w:val="single" w:color="808080"/>
              <w:right w:sz="4" w:val="single" w:color="808080"/>
            </w:tcBorders>
          </w:tcPr>
          <w:p>
            <w:pPr>
              <w:spacing w:after="80" w:before="80"/>
            </w:pPr>
            <w:r/>
            <w:r>
              <w:rPr>
                <w:rFonts w:ascii="Times New Roman" w:hAnsi="Times New Roman"/>
                <w:b w:val="0"/>
                <w:i w:val="0"/>
                <w:sz w:val="22"/>
              </w:rPr>
              <w:t>02136146</w:t>
            </w:r>
          </w:p>
        </w:tc>
      </w:tr>
      <w:tr>
        <w:tc>
          <w:tcPr>
            <w:tcW w:type="dxa" w:w="4986"/>
            <w:tcMar>
              <w:top w:w="100" w:type="dxa"/>
              <w:bottom w:w="100" w:type="dxa"/>
              <w:left w:w="120" w:type="dxa"/>
              <w:right w:w="120" w:type="dxa"/>
            </w:tcMar>
            <w:tcBorders>
              <w:top w:sz="4" w:val="single" w:color="808080"/>
              <w:left w:sz="4" w:val="single" w:color="808080"/>
              <w:bottom w:sz="4" w:val="single" w:color="808080"/>
              <w:right w:sz="4" w:val="single" w:color="808080"/>
            </w:tcBorders>
          </w:tcPr>
          <w:p>
            <w:pPr>
              <w:spacing w:after="80" w:before="80"/>
            </w:pPr>
            <w:r/>
            <w:r>
              <w:rPr>
                <w:rFonts w:ascii="Times New Roman" w:hAnsi="Times New Roman"/>
                <w:b/>
                <w:i w:val="0"/>
                <w:sz w:val="22"/>
              </w:rPr>
              <w:t>Місцезнаходження заявника та його структурного або відокремленого підрозділу, що має намір набути статус кваліфікаційного центру</w:t>
            </w:r>
          </w:p>
        </w:tc>
        <w:tc>
          <w:tcPr>
            <w:tcW w:type="dxa" w:w="4986"/>
            <w:tcMar>
              <w:top w:w="100" w:type="dxa"/>
              <w:bottom w:w="100" w:type="dxa"/>
              <w:left w:w="120" w:type="dxa"/>
              <w:right w:w="120" w:type="dxa"/>
            </w:tcMar>
            <w:tcBorders>
              <w:top w:sz="4" w:val="single" w:color="808080"/>
              <w:left w:sz="4" w:val="single" w:color="808080"/>
              <w:bottom w:sz="4" w:val="single" w:color="808080"/>
              <w:right w:sz="4" w:val="single" w:color="808080"/>
            </w:tcBorders>
          </w:tcPr>
          <w:p>
            <w:pPr>
              <w:spacing w:after="80" w:before="80"/>
            </w:pPr>
            <w:r/>
            <w:r>
              <w:rPr>
                <w:rFonts w:ascii="Times New Roman" w:hAnsi="Times New Roman"/>
                <w:b w:val="0"/>
                <w:i w:val="0"/>
                <w:sz w:val="22"/>
              </w:rPr>
              <w:t>69035, м. Запоріжжя, вул. Незалежної України, 57-А</w:t>
            </w:r>
          </w:p>
        </w:tc>
      </w:tr>
      <w:tr>
        <w:tc>
          <w:tcPr>
            <w:tcW w:type="dxa" w:w="4986"/>
            <w:tcMar>
              <w:top w:w="100" w:type="dxa"/>
              <w:bottom w:w="100" w:type="dxa"/>
              <w:left w:w="120" w:type="dxa"/>
              <w:right w:w="120" w:type="dxa"/>
            </w:tcMar>
            <w:tcBorders>
              <w:top w:sz="4" w:val="single" w:color="808080"/>
              <w:left w:sz="4" w:val="single" w:color="808080"/>
              <w:bottom w:sz="4" w:val="single" w:color="808080"/>
              <w:right w:sz="4" w:val="single" w:color="808080"/>
            </w:tcBorders>
          </w:tcPr>
          <w:p>
            <w:pPr>
              <w:spacing w:after="80" w:before="80"/>
            </w:pPr>
            <w:r/>
            <w:r>
              <w:rPr>
                <w:rFonts w:ascii="Times New Roman" w:hAnsi="Times New Roman"/>
                <w:b/>
                <w:i w:val="0"/>
                <w:sz w:val="22"/>
              </w:rPr>
              <w:t>Адреса електронної пошти заявника</w:t>
            </w:r>
          </w:p>
        </w:tc>
        <w:tc>
          <w:tcPr>
            <w:tcW w:type="dxa" w:w="4986"/>
            <w:tcMar>
              <w:top w:w="100" w:type="dxa"/>
              <w:bottom w:w="100" w:type="dxa"/>
              <w:left w:w="120" w:type="dxa"/>
              <w:right w:w="120" w:type="dxa"/>
            </w:tcMar>
            <w:tcBorders>
              <w:top w:sz="4" w:val="single" w:color="808080"/>
              <w:left w:sz="4" w:val="single" w:color="808080"/>
              <w:bottom w:sz="4" w:val="single" w:color="808080"/>
              <w:right w:sz="4" w:val="single" w:color="808080"/>
            </w:tcBorders>
          </w:tcPr>
          <w:p>
            <w:pPr>
              <w:spacing w:after="80" w:before="80"/>
            </w:pPr>
            <w:r/>
            <w:r>
              <w:rPr>
                <w:rFonts w:ascii="Times New Roman" w:hAnsi="Times New Roman"/>
                <w:b w:val="0"/>
                <w:i w:val="0"/>
                <w:sz w:val="22"/>
              </w:rPr>
              <w:t>osvita@zoippo.zp.ua</w:t>
            </w:r>
          </w:p>
        </w:tc>
      </w:tr>
      <w:tr>
        <w:tc>
          <w:tcPr>
            <w:tcW w:type="dxa" w:w="4986"/>
            <w:tcMar>
              <w:top w:w="100" w:type="dxa"/>
              <w:bottom w:w="100" w:type="dxa"/>
              <w:left w:w="120" w:type="dxa"/>
              <w:right w:w="120" w:type="dxa"/>
            </w:tcMar>
            <w:tcBorders>
              <w:top w:sz="4" w:val="single" w:color="808080"/>
              <w:left w:sz="4" w:val="single" w:color="808080"/>
              <w:bottom w:sz="4" w:val="single" w:color="808080"/>
              <w:right w:sz="4" w:val="single" w:color="808080"/>
            </w:tcBorders>
          </w:tcPr>
          <w:p>
            <w:pPr>
              <w:spacing w:after="80" w:before="80"/>
            </w:pPr>
            <w:r/>
            <w:r>
              <w:rPr>
                <w:rFonts w:ascii="Times New Roman" w:hAnsi="Times New Roman"/>
                <w:b/>
                <w:i w:val="0"/>
                <w:sz w:val="22"/>
              </w:rPr>
              <w:t>Номер телефону</w:t>
            </w:r>
          </w:p>
        </w:tc>
        <w:tc>
          <w:tcPr>
            <w:tcW w:type="dxa" w:w="4986"/>
            <w:tcMar>
              <w:top w:w="100" w:type="dxa"/>
              <w:bottom w:w="100" w:type="dxa"/>
              <w:left w:w="120" w:type="dxa"/>
              <w:right w:w="120" w:type="dxa"/>
            </w:tcMar>
            <w:tcBorders>
              <w:top w:sz="4" w:val="single" w:color="808080"/>
              <w:left w:sz="4" w:val="single" w:color="808080"/>
              <w:bottom w:sz="4" w:val="single" w:color="808080"/>
              <w:right w:sz="4" w:val="single" w:color="808080"/>
            </w:tcBorders>
          </w:tcPr>
          <w:p>
            <w:pPr>
              <w:spacing w:after="80" w:before="80"/>
            </w:pPr>
            <w:r/>
            <w:r>
              <w:rPr>
                <w:rFonts w:ascii="Times New Roman" w:hAnsi="Times New Roman"/>
                <w:b w:val="0"/>
                <w:i w:val="0"/>
                <w:sz w:val="22"/>
              </w:rPr>
              <w:t>+38 (061) 717-17-72</w:t>
            </w:r>
          </w:p>
        </w:tc>
      </w:tr>
      <w:tr>
        <w:tc>
          <w:tcPr>
            <w:tcW w:type="dxa" w:w="4986"/>
            <w:tcMar>
              <w:top w:w="100" w:type="dxa"/>
              <w:bottom w:w="100" w:type="dxa"/>
              <w:left w:w="120" w:type="dxa"/>
              <w:right w:w="120" w:type="dxa"/>
            </w:tcMar>
            <w:tcBorders>
              <w:top w:sz="4" w:val="single" w:color="808080"/>
              <w:left w:sz="4" w:val="single" w:color="808080"/>
              <w:bottom w:sz="4" w:val="single" w:color="808080"/>
              <w:right w:sz="4" w:val="single" w:color="808080"/>
            </w:tcBorders>
          </w:tcPr>
          <w:p>
            <w:pPr>
              <w:spacing w:after="80" w:before="80"/>
            </w:pPr>
            <w:r/>
            <w:r>
              <w:rPr>
                <w:rFonts w:ascii="Times New Roman" w:hAnsi="Times New Roman"/>
                <w:b/>
                <w:i w:val="0"/>
                <w:sz w:val="22"/>
              </w:rPr>
              <w:t>Адреса вебсайта</w:t>
            </w:r>
          </w:p>
        </w:tc>
        <w:tc>
          <w:tcPr>
            <w:tcW w:type="dxa" w:w="4986"/>
            <w:tcMar>
              <w:top w:w="100" w:type="dxa"/>
              <w:bottom w:w="100" w:type="dxa"/>
              <w:left w:w="120" w:type="dxa"/>
              <w:right w:w="120" w:type="dxa"/>
            </w:tcMar>
            <w:tcBorders>
              <w:top w:sz="4" w:val="single" w:color="808080"/>
              <w:left w:sz="4" w:val="single" w:color="808080"/>
              <w:bottom w:sz="4" w:val="single" w:color="808080"/>
              <w:right w:sz="4" w:val="single" w:color="808080"/>
            </w:tcBorders>
          </w:tcPr>
          <w:p>
            <w:pPr>
              <w:spacing w:after="80" w:before="80"/>
            </w:pPr>
            <w:r/>
            <w:r>
              <w:rPr>
                <w:rFonts w:ascii="Times New Roman" w:hAnsi="Times New Roman"/>
                <w:b w:val="0"/>
                <w:i w:val="0"/>
                <w:sz w:val="22"/>
              </w:rPr>
              <w:t>http://lms.ele.zp.ua/</w:t>
            </w:r>
          </w:p>
        </w:tc>
      </w:tr>
      <w:tr>
        <w:tc>
          <w:tcPr>
            <w:tcW w:type="dxa" w:w="4986"/>
            <w:tcMar>
              <w:top w:w="100" w:type="dxa"/>
              <w:bottom w:w="100" w:type="dxa"/>
              <w:left w:w="120" w:type="dxa"/>
              <w:right w:w="120" w:type="dxa"/>
            </w:tcMar>
            <w:tcBorders>
              <w:top w:sz="4" w:val="single" w:color="808080"/>
              <w:left w:sz="4" w:val="single" w:color="808080"/>
              <w:bottom w:sz="4" w:val="single" w:color="808080"/>
              <w:right w:sz="4" w:val="single" w:color="808080"/>
            </w:tcBorders>
          </w:tcPr>
          <w:p>
            <w:pPr>
              <w:spacing w:after="80" w:before="80"/>
            </w:pPr>
            <w:r/>
            <w:r>
              <w:rPr>
                <w:rFonts w:ascii="Times New Roman" w:hAnsi="Times New Roman"/>
                <w:b/>
                <w:i w:val="0"/>
                <w:sz w:val="22"/>
              </w:rPr>
              <w:t>Назва професійного стандарту, ким і коли затверджений</w:t>
            </w:r>
          </w:p>
        </w:tc>
        <w:tc>
          <w:tcPr>
            <w:tcW w:type="dxa" w:w="4986"/>
            <w:tcMar>
              <w:top w:w="100" w:type="dxa"/>
              <w:bottom w:w="100" w:type="dxa"/>
              <w:left w:w="120" w:type="dxa"/>
              <w:right w:w="120" w:type="dxa"/>
            </w:tcMar>
            <w:tcBorders>
              <w:top w:sz="4" w:val="single" w:color="808080"/>
              <w:left w:sz="4" w:val="single" w:color="808080"/>
              <w:bottom w:sz="4" w:val="single" w:color="808080"/>
              <w:right w:sz="4" w:val="single" w:color="808080"/>
            </w:tcBorders>
          </w:tcPr>
          <w:p>
            <w:pPr>
              <w:spacing w:after="80" w:before="80"/>
            </w:pPr>
            <w:r/>
            <w:r>
              <w:rPr>
                <w:rFonts w:ascii="Times New Roman" w:hAnsi="Times New Roman"/>
                <w:b w:val="0"/>
                <w:i w:val="0"/>
                <w:sz w:val="22"/>
              </w:rPr>
              <w:t>Професійний стандарт «Фахівець із супроводу ветеранів війни та демобілізованих осіб», затверджений наказом Міністерства у справах ветеранів України від 10.10.2025 р. № 835</w:t>
            </w:r>
          </w:p>
        </w:tc>
      </w:tr>
      <w:tr>
        <w:tc>
          <w:tcPr>
            <w:tcW w:type="dxa" w:w="4986"/>
            <w:tcMar>
              <w:top w:w="100" w:type="dxa"/>
              <w:bottom w:w="100" w:type="dxa"/>
              <w:left w:w="120" w:type="dxa"/>
              <w:right w:w="120" w:type="dxa"/>
            </w:tcMar>
            <w:tcBorders>
              <w:top w:sz="4" w:val="single" w:color="808080"/>
              <w:left w:sz="4" w:val="single" w:color="808080"/>
              <w:bottom w:sz="4" w:val="single" w:color="808080"/>
              <w:right w:sz="4" w:val="single" w:color="808080"/>
            </w:tcBorders>
          </w:tcPr>
          <w:p>
            <w:pPr>
              <w:spacing w:after="80" w:before="80"/>
            </w:pPr>
            <w:r/>
            <w:r>
              <w:rPr>
                <w:rFonts w:ascii="Times New Roman" w:hAnsi="Times New Roman"/>
                <w:b/>
                <w:i w:val="0"/>
                <w:sz w:val="22"/>
              </w:rPr>
              <w:t>Назва професійної кваліфікації</w:t>
            </w:r>
          </w:p>
        </w:tc>
        <w:tc>
          <w:tcPr>
            <w:tcW w:type="dxa" w:w="4986"/>
            <w:tcMar>
              <w:top w:w="100" w:type="dxa"/>
              <w:bottom w:w="100" w:type="dxa"/>
              <w:left w:w="120" w:type="dxa"/>
              <w:right w:w="120" w:type="dxa"/>
            </w:tcMar>
            <w:tcBorders>
              <w:top w:sz="4" w:val="single" w:color="808080"/>
              <w:left w:sz="4" w:val="single" w:color="808080"/>
              <w:bottom w:sz="4" w:val="single" w:color="808080"/>
              <w:right w:sz="4" w:val="single" w:color="808080"/>
            </w:tcBorders>
          </w:tcPr>
          <w:p>
            <w:pPr>
              <w:spacing w:after="80" w:before="80"/>
            </w:pPr>
            <w:r/>
            <w:r>
              <w:rPr>
                <w:rFonts w:ascii="Times New Roman" w:hAnsi="Times New Roman"/>
                <w:b w:val="0"/>
                <w:i w:val="0"/>
                <w:sz w:val="22"/>
              </w:rPr>
              <w:t>Фахівець із супроводу ветеранів війни та демобілізованих осіб</w:t>
            </w:r>
          </w:p>
        </w:tc>
      </w:tr>
    </w:tbl>
    <w:p>
      <w:pPr>
        <w:spacing w:after="240" w:before="0" w:line="276" w:lineRule="auto"/>
      </w:pPr>
    </w:p>
    <w:p>
      <w:pPr>
        <w:spacing w:after="120" w:before="240" w:line="276" w:lineRule="auto"/>
      </w:pPr>
      <w:r>
        <w:rPr>
          <w:rFonts w:ascii="Times New Roman" w:hAnsi="Times New Roman"/>
          <w:b/>
          <w:i w:val="0"/>
          <w:sz w:val="24"/>
        </w:rPr>
        <w:t>Перелік документів, що додаються:</w:t>
      </w:r>
    </w:p>
    <w:p>
      <w:pPr>
        <w:spacing w:after="60" w:before="0" w:line="276" w:lineRule="auto"/>
        <w:ind w:left="425"/>
      </w:pPr>
      <w:r>
        <w:rPr>
          <w:rFonts w:ascii="Times New Roman" w:hAnsi="Times New Roman"/>
          <w:b w:val="0"/>
          <w:i w:val="0"/>
          <w:sz w:val="22"/>
        </w:rPr>
        <w:t>1. Копія Положення про Організаційно-методичний центр Комунального закладу «Запорізький обласний інститут післядипломної педагогічної освіти» Запорізької обласної ради на 10 арк. у 1 прим.</w:t>
      </w:r>
    </w:p>
    <w:p>
      <w:pPr>
        <w:spacing w:after="60" w:before="0" w:line="276" w:lineRule="auto"/>
        <w:ind w:left="425"/>
      </w:pPr>
      <w:r>
        <w:rPr>
          <w:rFonts w:ascii="Times New Roman" w:hAnsi="Times New Roman"/>
          <w:b w:val="0"/>
          <w:i w:val="0"/>
          <w:sz w:val="22"/>
        </w:rPr>
        <w:t>2. Витяг з наказу «Про оптимізацію структури Комунального закладу «Запорізький обласний інститут післядипломної педагогічної освіти» Запорізької обласної ради» від 27.01.2020 № 037 на 1 арк. у 1 прим.</w:t>
      </w:r>
    </w:p>
    <w:p>
      <w:pPr>
        <w:spacing w:after="60" w:before="0" w:line="276" w:lineRule="auto"/>
        <w:ind w:left="425"/>
      </w:pPr>
      <w:r>
        <w:rPr>
          <w:rFonts w:ascii="Times New Roman" w:hAnsi="Times New Roman"/>
          <w:b w:val="0"/>
          <w:i w:val="0"/>
          <w:sz w:val="22"/>
        </w:rPr>
        <w:t>3. Виписка з Єдиного державного реєстру підприємств та організацій України від 25.10.2024 № 1001031070020008514 на 2 арк. у 1 прим.</w:t>
      </w:r>
    </w:p>
    <w:p>
      <w:pPr>
        <w:spacing w:after="60" w:before="0" w:line="276" w:lineRule="auto"/>
        <w:ind w:left="425"/>
      </w:pPr>
      <w:r>
        <w:rPr>
          <w:rFonts w:ascii="Times New Roman" w:hAnsi="Times New Roman"/>
          <w:b w:val="0"/>
          <w:i w:val="0"/>
          <w:sz w:val="22"/>
        </w:rPr>
        <w:t>4. Відомості про осіб, яких заявник залучає як оцінювачів на 4 арк. в 1 прим.</w:t>
      </w:r>
    </w:p>
    <w:p>
      <w:pPr>
        <w:spacing w:after="60" w:before="0" w:line="276" w:lineRule="auto"/>
        <w:ind w:left="425"/>
      </w:pPr>
      <w:r>
        <w:rPr>
          <w:rFonts w:ascii="Times New Roman" w:hAnsi="Times New Roman"/>
          <w:b w:val="0"/>
          <w:i w:val="0"/>
          <w:sz w:val="22"/>
        </w:rPr>
        <w:t>5. Скан-копія трудової книжки Гура Т.Є. на 17 арк. у 1 прим.</w:t>
      </w:r>
    </w:p>
    <w:p>
      <w:pPr>
        <w:spacing w:after="60" w:before="0" w:line="276" w:lineRule="auto"/>
        <w:ind w:left="425"/>
      </w:pPr>
      <w:r>
        <w:rPr>
          <w:rFonts w:ascii="Times New Roman" w:hAnsi="Times New Roman"/>
          <w:b w:val="0"/>
          <w:i w:val="0"/>
          <w:sz w:val="22"/>
        </w:rPr>
        <w:t>6. Скан-копія трудової книжки Мороко В.В. на 26 арк. у 1 прим.</w:t>
      </w:r>
    </w:p>
    <w:p>
      <w:pPr>
        <w:spacing w:after="60" w:before="0" w:line="276" w:lineRule="auto"/>
        <w:ind w:left="425"/>
      </w:pPr>
      <w:r>
        <w:rPr>
          <w:rFonts w:ascii="Times New Roman" w:hAnsi="Times New Roman"/>
          <w:b w:val="0"/>
          <w:i w:val="0"/>
          <w:sz w:val="22"/>
        </w:rPr>
        <w:t>7. Скан-копія трудової книжки Мостова Т.О. на 8 арк. у 1 прим.</w:t>
      </w:r>
    </w:p>
    <w:p>
      <w:pPr>
        <w:spacing w:after="60" w:before="0" w:line="276" w:lineRule="auto"/>
        <w:ind w:left="425"/>
      </w:pPr>
      <w:r>
        <w:rPr>
          <w:rFonts w:ascii="Times New Roman" w:hAnsi="Times New Roman"/>
          <w:b w:val="0"/>
          <w:i w:val="0"/>
          <w:sz w:val="22"/>
        </w:rPr>
        <w:t>8. Порядок присвоєння/підтвердження професійної кваліфікації за професійним стандартом «Фахівець із супроводу ветеранів війни та демобілізованих осіб», назва професійної кваліфікації «Фахівець із супроводу ветеранів війни та демобілізованих осіб» (затверджений рішенням Вченої ради Комунального закладу «Запорізький обласний інститут післядипломної педагогічної освіти» Запорізької обласної ради протокол № 5 від 26.06.2026) на 7 арк. у 1 прим.</w:t>
      </w:r>
    </w:p>
    <w:p>
      <w:pPr>
        <w:spacing w:after="60" w:before="0" w:line="276" w:lineRule="auto"/>
        <w:ind w:left="425"/>
      </w:pPr>
      <w:r>
        <w:rPr>
          <w:rFonts w:ascii="Times New Roman" w:hAnsi="Times New Roman"/>
          <w:b w:val="0"/>
          <w:i w:val="0"/>
          <w:sz w:val="22"/>
        </w:rPr>
        <w:t>9. Відомості про матеріально-технічне забезпечення процедур оцінювання професійної кваліфікації «Фахівець із супроводу ветеранів війни та демобілізованих осіб» на 4 арк. у 1 прим.</w:t>
      </w:r>
    </w:p>
    <w:p>
      <w:pPr>
        <w:spacing w:after="60" w:before="0" w:line="276" w:lineRule="auto"/>
        <w:ind w:left="425"/>
      </w:pPr>
      <w:r>
        <w:rPr>
          <w:rFonts w:ascii="Times New Roman" w:hAnsi="Times New Roman"/>
          <w:b w:val="0"/>
          <w:i w:val="0"/>
          <w:sz w:val="22"/>
        </w:rPr>
        <w:t>10. Зразок контрольно-оцінювальних матеріалів для проведення оцінювання результатів навчання на 28 арк. у 1 прим.</w:t>
      </w:r>
    </w:p>
    <w:p>
      <w:pPr>
        <w:spacing w:after="60" w:before="0" w:line="276" w:lineRule="auto"/>
        <w:ind w:left="425"/>
      </w:pPr>
      <w:r>
        <w:rPr>
          <w:rFonts w:ascii="Times New Roman" w:hAnsi="Times New Roman"/>
          <w:b w:val="0"/>
          <w:i w:val="0"/>
          <w:sz w:val="22"/>
        </w:rPr>
        <w:t>11. Звіт про організацію та проведення апробації тестових та практичних завдань за професійною кваліфікацією «Фахівець із супроводу ветеранів війни та демобілізованих осіб» на 1 арк. у 1 прим.</w:t>
      </w:r>
    </w:p>
    <w:p>
      <w:pPr>
        <w:spacing w:after="60" w:before="0" w:line="276" w:lineRule="auto"/>
        <w:ind w:left="425"/>
      </w:pPr>
      <w:r>
        <w:rPr>
          <w:rFonts w:ascii="Times New Roman" w:hAnsi="Times New Roman"/>
          <w:b w:val="0"/>
          <w:i w:val="0"/>
          <w:sz w:val="22"/>
        </w:rPr>
        <w:t>12. Відомості про вебсайт організаційно-методичного центру Комунального закладу «Запорізький обласний інститут післядипломної педагогічної освіти» Запорізької обласної ради на 1 арк. у 1 прим.</w:t>
      </w:r>
    </w:p>
    <w:p>
      <w:pPr>
        <w:spacing w:after="60" w:before="0" w:line="276" w:lineRule="auto"/>
        <w:ind w:left="425"/>
      </w:pPr>
      <w:r>
        <w:rPr>
          <w:rFonts w:ascii="Times New Roman" w:hAnsi="Times New Roman"/>
          <w:b w:val="0"/>
          <w:i w:val="0"/>
          <w:sz w:val="22"/>
        </w:rPr>
        <w:t>13. Статут Комунального закладу «Запорізький обласний інститут післядипломної педагогічної освіти» Запорізької обласної ради на 21 арк. у 1 прим.</w:t>
      </w:r>
    </w:p>
    <w:p>
      <w:pPr>
        <w:spacing w:after="60" w:before="0" w:line="276" w:lineRule="auto"/>
        <w:ind w:left="425"/>
      </w:pPr>
      <w:r>
        <w:rPr>
          <w:rFonts w:ascii="Times New Roman" w:hAnsi="Times New Roman"/>
          <w:b w:val="0"/>
          <w:i w:val="0"/>
          <w:sz w:val="22"/>
        </w:rPr>
        <w:t>14. Інвентарний опис необоротних активів на 37 арк. у 1 прим.</w:t>
      </w:r>
    </w:p>
    <w:p>
      <w:pPr>
        <w:spacing w:after="60" w:before="0" w:line="276" w:lineRule="auto"/>
        <w:ind w:left="425"/>
      </w:pPr>
      <w:r>
        <w:rPr>
          <w:rFonts w:ascii="Times New Roman" w:hAnsi="Times New Roman"/>
          <w:b w:val="0"/>
          <w:i w:val="0"/>
          <w:sz w:val="22"/>
        </w:rPr>
        <w:t>15. Документи про право власності на нерухоме майно на 8 арк. у 1 прим.</w:t>
      </w:r>
    </w:p>
    <w:p>
      <w:pPr>
        <w:spacing w:after="60" w:before="0" w:line="276" w:lineRule="auto"/>
        <w:ind w:left="425"/>
      </w:pPr>
      <w:r>
        <w:rPr>
          <w:rFonts w:ascii="Times New Roman" w:hAnsi="Times New Roman"/>
          <w:b w:val="0"/>
          <w:i w:val="0"/>
          <w:sz w:val="22"/>
        </w:rPr>
        <w:t>16. Документи про освіту Гури Т.Є. на 3 арк. у 1 прим.</w:t>
      </w:r>
    </w:p>
    <w:p>
      <w:pPr>
        <w:spacing w:after="60" w:before="0" w:line="276" w:lineRule="auto"/>
        <w:ind w:left="425"/>
      </w:pPr>
      <w:r>
        <w:rPr>
          <w:rFonts w:ascii="Times New Roman" w:hAnsi="Times New Roman"/>
          <w:b w:val="0"/>
          <w:i w:val="0"/>
          <w:sz w:val="22"/>
        </w:rPr>
        <w:t>17. Документи про освіту Мороко В.В. на 2 арк. у 1 прим.</w:t>
      </w:r>
    </w:p>
    <w:p>
      <w:pPr>
        <w:spacing w:after="60" w:before="0" w:line="276" w:lineRule="auto"/>
        <w:ind w:left="425"/>
      </w:pPr>
      <w:r>
        <w:rPr>
          <w:rFonts w:ascii="Times New Roman" w:hAnsi="Times New Roman"/>
          <w:b w:val="0"/>
          <w:i w:val="0"/>
          <w:sz w:val="22"/>
        </w:rPr>
        <w:t>18. Документи про освіту Мостової Т.О. на 3 арк. у 1 прим.</w:t>
      </w:r>
    </w:p>
    <w:p>
      <w:pPr>
        <w:spacing w:after="60" w:before="0" w:line="276" w:lineRule="auto"/>
        <w:ind w:left="425"/>
      </w:pPr>
      <w:r>
        <w:rPr>
          <w:rFonts w:ascii="Times New Roman" w:hAnsi="Times New Roman"/>
          <w:b w:val="0"/>
          <w:i w:val="0"/>
          <w:sz w:val="22"/>
        </w:rPr>
        <w:t>19. Сертифікати про підвищення кваліфікації Гури Т.Є. на 9 арк. у 1 прим.</w:t>
      </w:r>
    </w:p>
    <w:p>
      <w:pPr>
        <w:spacing w:after="60" w:before="0" w:line="276" w:lineRule="auto"/>
        <w:ind w:left="425"/>
      </w:pPr>
      <w:r>
        <w:rPr>
          <w:rFonts w:ascii="Times New Roman" w:hAnsi="Times New Roman"/>
          <w:b w:val="0"/>
          <w:i w:val="0"/>
          <w:sz w:val="22"/>
        </w:rPr>
        <w:t>20. Сертифікати про підвищення кваліфікації Мороко В.В. на 3 арк. у 1 прим.</w:t>
      </w:r>
    </w:p>
    <w:p>
      <w:pPr>
        <w:spacing w:after="60" w:before="0" w:line="276" w:lineRule="auto"/>
        <w:ind w:left="425"/>
      </w:pPr>
      <w:r>
        <w:rPr>
          <w:rFonts w:ascii="Times New Roman" w:hAnsi="Times New Roman"/>
          <w:b w:val="0"/>
          <w:i w:val="0"/>
          <w:sz w:val="22"/>
        </w:rPr>
        <w:t>21. Сертифікати про підвищення кваліфікації Мостової Т.О. на 7 арк. у 1 прим.</w:t>
      </w:r>
    </w:p>
    <w:p>
      <w:pPr>
        <w:spacing w:after="360" w:before="0" w:line="276" w:lineRule="auto"/>
      </w:pPr>
    </w:p>
    <w:p>
      <w:pPr>
        <w:tabs>
          <w:tab w:pos="6236" w:val="left"/>
        </w:tabs>
        <w:spacing w:after="80" w:before="240" w:line="276" w:lineRule="auto"/>
      </w:pPr>
      <w:r>
        <w:rPr>
          <w:rFonts w:ascii="Times New Roman" w:hAnsi="Times New Roman"/>
          <w:b/>
          <w:i w:val="0"/>
          <w:sz w:val="22"/>
        </w:rPr>
        <w:t>Керівник (уповноважена особа)</w:t>
        <w:tab/>
        <w:t>Едуард ГУГНІН</w:t>
      </w:r>
    </w:p>
    <w:p>
      <w:pPr>
        <w:tabs>
          <w:tab w:pos="6236" w:val="left"/>
        </w:tabs>
        <w:spacing w:after="80" w:before="120" w:line="276" w:lineRule="auto"/>
      </w:pPr>
      <w:r>
        <w:rPr>
          <w:rFonts w:ascii="Times New Roman" w:hAnsi="Times New Roman"/>
          <w:b w:val="0"/>
          <w:i w:val="0"/>
          <w:sz w:val="22"/>
        </w:rPr>
        <w:t>«16» липня 2026 р.</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