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276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ВІДОМОСТІ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before="0" w:line="276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про матеріально-технічне забезпечення процедур оцінювання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before="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Заявник: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Комунальний заклад «Запорізький обласний інститут післядипломної педагогічної освіти» Запорізької обласної ради. Код ЄДРПОУ: 02136146. Кваліфікаційний центр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before="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Назва професійної кваліфікації: </w:t>
      </w: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«Фахівець із супроводу ветеранів війни та демобілізованих осіб»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before="24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1. Контрольно-оцінювальні матеріали (тестові завдання)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70"/>
        <w:gridCol w:w="2454"/>
        <w:gridCol w:w="1662"/>
        <w:gridCol w:w="1662"/>
        <w:gridCol w:w="1662"/>
        <w:gridCol w:w="1702"/>
      </w:tblGrid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87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Порядковий номер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454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Назва банку тестових завдань, кількість тестових завдань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62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Перелік типів завдань оцінювання (одиничний вибір, множинний вибір, ранжування, співставлення, відкрите питання тощо)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62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Відомості про апробацію (дата, категорія та кількість учасників апробації. Звіт про апробацію додається окремим документом у довільній формі)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62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Відомості про валідності банку тестових завдань за результатами апробації, експертної оцінки (коли і ким проводилася оцінка)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2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Наявність захисту банку (комплексна система захисту інформації або засоби організаційного та технічного захисту інформації)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87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454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Банк тестових питань для оцінювання результатів навчання за професійною кваліфікацією «Фахівець із супроводу ветеранів війни та демобілізованих осіб».</w:t>
              <w:br/>
              <w:t xml:space="preserve">Кількість тестових завдань – </w:t>
            </w:r>
            <w:r>
              <w:rPr>
                <w:rFonts w:ascii="Times New Roman" w:hAnsi="Times New Roman" w:eastAsia="Times New Roman" w:cs="Times New Roman"/>
                <w:sz w:val="20"/>
                <w:lang w:val="uk-UA"/>
              </w:rPr>
              <w:t xml:space="preserve">Варіант 1: 50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питань</w:t>
            </w:r>
            <w:r>
              <w:rPr>
                <w:rFonts w:ascii="Times New Roman" w:hAnsi="Times New Roman" w:eastAsia="Times New Roman" w:cs="Times New Roman"/>
                <w:sz w:val="20"/>
                <w:lang w:val="uk-UA"/>
              </w:rPr>
              <w:t xml:space="preserve">; Варіант 2: 50 питань.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62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Тестові завдання складаються з: завдання одиничного вибору (з однією правильною відповіддю із чотирьох запропонованих варіантів).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62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02.02.2026 - 25.03.2026; слухачі курсів підвищення кваліфікації;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категорія - соціальні працівники, соціальні педагоги та практичні психологи; кількість учасників — 136; апробацію проведено в електронній системі на базі Moodle в КЗ «Запорізький обласний інститут післядипломної педагогічної освіти» ЗОР.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62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02.02.2026 - 25.03.2026 проведено представниками КЗ «Запорізький обласний інститут післядипломної педагогічної освіти» ЗОР: проректором з навчально-методичної роботи Черніковою Л.А., завідувачем обласного науково-методичного центру інформатизації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освіти Здоровцем О.Ф., завідувачем навчально-методичного центру Задорожкіною Я.С. за результатами статистичного аналізу та апробації (коефіцієнт внутрішньої узгодженості перевищує 84%, розроблені тестові та практичні завдання є валідними та задовільними).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2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  <w:lang w:val="uk-UA"/>
              </w:rPr>
            </w:r>
            <w:r>
              <w:rPr>
                <w:rFonts w:ascii="Times New Roman" w:hAnsi="Times New Roman" w:eastAsia="Times New Roman" w:cs="Times New Roman"/>
                <w:sz w:val="20"/>
                <w:lang w:val="uk-UA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) Оформлено інструкцію про ознайомлення співробітників із захистом відомостей про тестові завдання та нормами юридичної відповідальності за порушення.</w:t>
              <w:br/>
            </w:r>
            <w:r>
              <w:rPr>
                <w:rFonts w:ascii="Times New Roman" w:hAnsi="Times New Roman" w:eastAsia="Times New Roman" w:cs="Times New Roman"/>
                <w:sz w:val="20"/>
                <w:lang w:val="uk-UA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) Обмежено фізичний доступ сторонніх осіб до </w:t>
            </w:r>
            <w:r>
              <w:rPr>
                <w:rFonts w:ascii="Times New Roman" w:hAnsi="Times New Roman" w:eastAsia="Times New Roman" w:cs="Times New Roman"/>
                <w:sz w:val="20"/>
                <w:lang w:val="uk-UA"/>
              </w:rPr>
              <w:t xml:space="preserve">тестування.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Bdr/>
        <w:spacing w:after="0" w:before="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before="24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2. Контрольно-оцінювальні матеріали (інші)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tbl>
      <w:tblPr>
        <w:jc w:val="center"/>
        <w:tblInd w:w="-140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80"/>
        <w:gridCol w:w="3350"/>
        <w:gridCol w:w="1469"/>
        <w:gridCol w:w="2521"/>
        <w:gridCol w:w="1995"/>
      </w:tblGrid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78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Порядковий номер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35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Назва контрольно-оцінювальних матеріалів (кваліфікаційна пробна робота, практичне завдання тощо)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46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Кількість варіантів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521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Призначення (прописати мету контрольно-оцінювальних матеріалів, на що спрямовані)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95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Відомості про апробацію (дата, категорія та кількість учасників апробації. Звіт про апробацію додається як окремий документ у довільній формі)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78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35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Пакет практичних кваліфікаційних завдань (професійні кейси)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46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 (10 кейсів)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521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Оцінювання практичних умінь та навичок кандидатів, здатності аналізувати складні ситуації супроводу, приймати рішення у кризових станах, дотримуватися етичних норм та законодавства про захист персональних даних.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95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02.02.2026 - 25.03.2026; слухачі курсів підвищення кваліфікації;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категорія - соціальні працівники, соціальні педагоги та практичні психологи; кількість учасників — 136; апробацію проведено в електронній системі на базі Moodle в КЗ «Запорізький обласний інститут післядипломної педагогічної освіти» ЗОР.</w:t>
            </w:r>
            <w:r>
              <w:rPr>
                <w:rFonts w:ascii="Times New Roman" w:hAnsi="Times New Roman" w:cs="Times New Roman"/>
                <w:highlight w:val="yellow"/>
              </w:rPr>
            </w:r>
          </w:p>
        </w:tc>
      </w:tr>
    </w:tbl>
    <w:p>
      <w:pPr>
        <w:pBdr/>
        <w:spacing w:after="0" w:before="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before="24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3. Інструменти, обладнання для процедур оцінювання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09"/>
        <w:gridCol w:w="2693"/>
        <w:gridCol w:w="1865"/>
        <w:gridCol w:w="1579"/>
        <w:gridCol w:w="1627"/>
        <w:gridCol w:w="1600"/>
      </w:tblGrid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80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Порядковий номер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93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Найменування інструментів, обладнання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65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Призначення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7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Адреса розміщення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27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Найменування власника інструментів, обладнання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Підстави для користування із зазначенням строку дії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80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93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Ноутбук HP 250 (10 од.)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65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Для організації онлайн-оцінювання (тестування), проведення розрахунків, підготовки та збереження звітної інформації.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7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м. Запоріжжя, вул. Незалежної України, 57А, підвальне приміщення літ. А-4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27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КЗ «ЗОІППО» ЗОР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Власність закладу, без строку дії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80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  <w:lang w:val="uk-UA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93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Веб-камера широкоформатна Logitech C920 Pro HD (</w:t>
            </w:r>
            <w:r>
              <w:rPr>
                <w:rFonts w:ascii="Times New Roman" w:hAnsi="Times New Roman" w:eastAsia="Times New Roman" w:cs="Times New Roman"/>
                <w:sz w:val="20"/>
                <w:lang w:val="uk-UA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од.)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65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Відеофіксація процедури оцінювання, ідентифікації кандидатів.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7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м. Запоріжжя, вул. Незалежної України, 57А, підвальне приміщення літ. А-4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27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КЗ «ЗОІППО» ЗОР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Власність закладу, без строку дії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80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no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highlight w:val="white"/>
              </w:rPr>
            </w:r>
            <w:r>
              <w:rPr>
                <w:rFonts w:ascii="Times New Roman" w:hAnsi="Times New Roman" w:cs="Times New Roman"/>
                <w:highlight w:val="white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93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white"/>
              </w:rPr>
              <w:t xml:space="preserve">Мультимедійний проектор Acer</w:t>
            </w:r>
            <w:r>
              <w:rPr>
                <w:rFonts w:ascii="Times New Roman" w:hAnsi="Times New Roman" w:eastAsia="Times New Roman" w:cs="Times New Roman"/>
                <w:highlight w:val="white"/>
              </w:rPr>
            </w:r>
            <w:r>
              <w:rPr>
                <w:rFonts w:ascii="Times New Roman" w:hAnsi="Times New Roman" w:cs="Times New Roman"/>
                <w:highlight w:val="white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65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Демонстрація інструкцій, інструктажів під час оцінювання.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7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м. Запоріжжя, вул. Незалежної України, 57А, підвальне приміщення літ. А-4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27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КЗ «ЗОІППО» ЗОР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Власність закладу, без строку дії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80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93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white"/>
              </w:rPr>
              <w:t xml:space="preserve">Меблі офісні (столи робочі - 8 од., стільці - 24 од.)</w:t>
            </w:r>
            <w:r>
              <w:rPr>
                <w:rFonts w:ascii="Times New Roman" w:hAnsi="Times New Roman" w:eastAsia="Times New Roman" w:cs="Times New Roman"/>
                <w:highlight w:val="white"/>
              </w:rPr>
            </w:r>
            <w:r>
              <w:rPr>
                <w:rFonts w:ascii="Times New Roman" w:hAnsi="Times New Roman" w:cs="Times New Roman"/>
                <w:highlight w:val="white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65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Для зручного розташування здобувачів та членів комісії під час проведення теоретичного та практичного оцінювання.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7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м. Запоріжжя, вул. Незалежної України, 57А, підвальне приміщення літ. А-4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27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КЗ «ЗОІППО» ЗОР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Власність закладу, без строку дії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80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93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0"/>
                <w:highlight w:val="white"/>
              </w:rPr>
              <w:t xml:space="preserve">Сейф металевий</w:t>
            </w:r>
            <w:r>
              <w:rPr>
                <w:rFonts w:ascii="Times New Roman" w:hAnsi="Times New Roman" w:eastAsia="Times New Roman" w:cs="Times New Roman"/>
                <w:highlight w:val="white"/>
              </w:rPr>
            </w:r>
            <w:r>
              <w:rPr>
                <w:rFonts w:ascii="Times New Roman" w:hAnsi="Times New Roman" w:cs="Times New Roman"/>
                <w:highlight w:val="white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65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Для надійного та безпечного зберігання конфіденційних матеріалів.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7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м. Запоріжжя, вул. Незалежної України, 57А, підвальне приміщення літ. А-4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27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КЗ «ЗОІППО» ЗОР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Власність закладу, без строку дії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80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  <w:lang w:val="uk-UA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93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Приміщення Кваліфікаційного центру (загальна площа 658.5 кв. м)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65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Для розташування робочих місць та безпосереднього проведення процедур оцінювання кандидатів в безпечних умовах.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79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м. Запоріжжя, вул. Незалежної України, 57А, підвальне приміщення літ. А-4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27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КЗ «ЗОІППО» ЗОР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  <w:textDirection w:val="lrTb"/>
            <w:noWrap w:val="false"/>
          </w:tcPr>
          <w:p>
            <w:pPr>
              <w:pBdr/>
              <w:spacing w:after="0" w:before="40" w:line="276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Власність закладу на підставі свідоцтва про право власності, без строку дії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Bdr/>
        <w:spacing w:after="0" w:before="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before="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Керівник (уповноважена особа)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>
        <w:trPr/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50" w:type="dxa"/>
              <w:top w:w="0" w:type="dxa"/>
              <w:right w:w="50" w:type="dxa"/>
              <w:bottom w:w="0" w:type="dxa"/>
            </w:tcMar>
            <w:tcW w:w="3324" w:type="dxa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Ректор КЗ «ЗОІППО» ЗОР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50" w:type="dxa"/>
              <w:top w:w="0" w:type="dxa"/>
              <w:right w:w="50" w:type="dxa"/>
              <w:bottom w:w="0" w:type="dxa"/>
            </w:tcMar>
            <w:tcW w:w="3324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____________________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>
              <w:left w:w="50" w:type="dxa"/>
              <w:top w:w="0" w:type="dxa"/>
              <w:right w:w="50" w:type="dxa"/>
              <w:bottom w:w="0" w:type="dxa"/>
            </w:tcMar>
            <w:tcW w:w="3324" w:type="dxa"/>
            <w:textDirection w:val="lrTb"/>
            <w:noWrap w:val="false"/>
          </w:tcPr>
          <w:p>
            <w:pPr>
              <w:pBdr/>
              <w:spacing w:after="0"/>
              <w:ind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Е.А. ГУГНІН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Bdr/>
        <w:spacing w:after="0" w:before="40" w:line="276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sz w:val="18"/>
        </w:rPr>
        <w:t xml:space="preserve"> </w:t>
      </w:r>
      <w:r>
        <w:rPr>
          <w:rFonts w:ascii="Times New Roman" w:hAnsi="Times New Roman" w:eastAsia="Times New Roman" w:cs="Times New Roman"/>
          <w:i/>
          <w:sz w:val="18"/>
          <w:lang w:val="uk-UA"/>
        </w:rPr>
        <w:t xml:space="preserve">                                                  </w:t>
      </w:r>
      <w:r>
        <w:rPr>
          <w:rFonts w:ascii="Times New Roman" w:hAnsi="Times New Roman" w:eastAsia="Times New Roman" w:cs="Times New Roman"/>
          <w:i/>
          <w:sz w:val="18"/>
        </w:rPr>
        <w:t xml:space="preserve">          </w:t>
      </w:r>
      <w:r>
        <w:rPr>
          <w:rFonts w:ascii="Times New Roman" w:hAnsi="Times New Roman" w:eastAsia="Times New Roman" w:cs="Times New Roman"/>
          <w:i/>
          <w:sz w:val="18"/>
          <w:lang w:val="uk-UA"/>
        </w:rPr>
        <w:t xml:space="preserve">                              </w:t>
      </w:r>
      <w:r>
        <w:rPr>
          <w:rFonts w:ascii="Times New Roman" w:hAnsi="Times New Roman" w:eastAsia="Times New Roman" w:cs="Times New Roman"/>
          <w:i/>
          <w:sz w:val="18"/>
        </w:rPr>
        <w:t xml:space="preserve">          (підпис)                              </w:t>
      </w:r>
      <w:r>
        <w:rPr>
          <w:rFonts w:ascii="Times New Roman" w:hAnsi="Times New Roman" w:eastAsia="Times New Roman" w:cs="Times New Roman"/>
          <w:i/>
          <w:sz w:val="18"/>
          <w:lang w:val="uk-UA"/>
        </w:rPr>
        <w:t xml:space="preserve">                                 </w:t>
      </w:r>
      <w:r>
        <w:rPr>
          <w:rFonts w:ascii="Times New Roman" w:hAnsi="Times New Roman" w:eastAsia="Times New Roman" w:cs="Times New Roman"/>
          <w:i/>
          <w:sz w:val="18"/>
        </w:rPr>
        <w:t xml:space="preserve"> (прізвище, ініціали)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before="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"___" ____________ 2026 р.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before="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М.П.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before="24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20"/>
        </w:rPr>
        <w:t xml:space="preserve">Примітка: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before="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19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sz w:val="19"/>
        </w:rPr>
        <w:t xml:space="preserve">Зазначена в таблиці 3 інформація включає основні засоби (матеріальні активи, які кваліфікаційний центр або його відокремлен</w:t>
      </w:r>
      <w:r>
        <w:rPr>
          <w:rFonts w:ascii="Times New Roman" w:hAnsi="Times New Roman" w:eastAsia="Times New Roman" w:cs="Times New Roman"/>
          <w:b w:val="0"/>
          <w:i w:val="0"/>
          <w:sz w:val="19"/>
        </w:rPr>
        <w:t xml:space="preserve">ий підрозділ утримує з метою використання їх у процесі виробництва або постачання товарів, надання послуг, здавання в оренду іншим особам або для здійснення адміністративних і соціально-культурних функцій, очікуваний строк корисного використання (експлуата</w:t>
      </w:r>
      <w:r>
        <w:rPr>
          <w:rFonts w:ascii="Times New Roman" w:hAnsi="Times New Roman" w:eastAsia="Times New Roman" w:cs="Times New Roman"/>
          <w:b w:val="0"/>
          <w:i w:val="0"/>
          <w:sz w:val="19"/>
        </w:rPr>
        <w:t xml:space="preserve">ції) яких становить більше одного року або операційного циклу, якщо він довший за рік), не включає витратні та малоцінні матеріали та ручний інструмент; повинна підтверджуватися копіями документів, які засвідчують право власності, користування обладнанням.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before="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19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sz w:val="19"/>
        </w:rPr>
        <w:t xml:space="preserve">Вимоги до рівня безпеки здобувача під час проведення процедур оцінювання забезпечує кваліфікаційний центр.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0" w:before="0" w:line="276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sz w:val="19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sz w:val="19"/>
        </w:rPr>
        <w:t xml:space="preserve">У звіті експертна комісія зазначає бали за кожною з трьох таблиць, що містяться у цих відомостях.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1134" w:right="850" w:bottom="1134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2026-07-03T09:56:59Z</dcterms:modified>
  <cp:category/>
</cp:coreProperties>
</file>