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webSettings.xml" ContentType="application/vnd.openxmlformats-officedocument.wordprocessingml.web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 w:after="0" w:before="0" w:line="276" w:lineRule="auto"/>
        <w:ind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b/>
          <w:i w:val="0"/>
          <w:sz w:val="28"/>
        </w:rPr>
        <w:t xml:space="preserve">ВІДОМОСТІ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pBdr/>
        <w:spacing w:after="0" w:before="0" w:line="276" w:lineRule="auto"/>
        <w:ind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b/>
          <w:i w:val="0"/>
          <w:sz w:val="24"/>
        </w:rPr>
        <w:t xml:space="preserve">про матеріально-технічне забезпечення процедур оцінювання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pBdr/>
        <w:spacing w:after="0" w:before="0" w:line="276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b/>
          <w:i w:val="0"/>
          <w:sz w:val="22"/>
        </w:rPr>
        <w:t xml:space="preserve">Заявник: </w:t>
      </w:r>
      <w:r>
        <w:rPr>
          <w:rFonts w:ascii="Times New Roman" w:hAnsi="Times New Roman" w:eastAsia="Times New Roman" w:cs="Times New Roman"/>
          <w:b w:val="0"/>
          <w:i w:val="0"/>
          <w:sz w:val="22"/>
        </w:rPr>
        <w:t xml:space="preserve">Комунальний заклад «Запорізький обласний інститут післядипломної педагогічної освіти» Запорізької обласної ради. Код ЄДРПОУ: 02136146. Кваліфікаційний центр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pBdr/>
        <w:spacing w:after="0" w:before="0" w:line="276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b/>
          <w:i w:val="0"/>
          <w:sz w:val="22"/>
        </w:rPr>
        <w:t xml:space="preserve">Назва професійної кваліфікації: </w:t>
      </w:r>
      <w:r>
        <w:rPr>
          <w:rFonts w:ascii="Times New Roman" w:hAnsi="Times New Roman" w:eastAsia="Times New Roman" w:cs="Times New Roman"/>
          <w:b/>
          <w:i w:val="0"/>
          <w:sz w:val="22"/>
        </w:rPr>
        <w:t xml:space="preserve">«Фахівець із супроводу ветеранів війни та демобілізованих осіб»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pBdr/>
        <w:spacing w:after="0" w:before="240" w:line="276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b/>
          <w:i w:val="0"/>
          <w:sz w:val="24"/>
        </w:rPr>
        <w:t xml:space="preserve">1. Контрольно-оцінювальні матеріали (тестові завдання)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tbl>
      <w:tblPr>
        <w:jc w:val="center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870"/>
        <w:gridCol w:w="2454"/>
        <w:gridCol w:w="1662"/>
        <w:gridCol w:w="1662"/>
        <w:gridCol w:w="1662"/>
        <w:gridCol w:w="1702"/>
      </w:tblGrid>
      <w:tr>
        <w:trPr/>
        <w:tc>
          <w:tcPr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left w:w="100" w:type="dxa"/>
              <w:top w:w="80" w:type="dxa"/>
              <w:right w:w="100" w:type="dxa"/>
              <w:bottom w:w="80" w:type="dxa"/>
            </w:tcMar>
            <w:tcW w:w="870" w:type="dxa"/>
            <w:textDirection w:val="lrTb"/>
            <w:noWrap w:val="false"/>
          </w:tcPr>
          <w:p>
            <w:pPr>
              <w:pBdr/>
              <w:spacing w:after="0" w:before="40" w:line="276" w:lineRule="auto"/>
              <w:ind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 xml:space="preserve">Порядковий номер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  <w:tc>
          <w:tcPr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left w:w="100" w:type="dxa"/>
              <w:top w:w="80" w:type="dxa"/>
              <w:right w:w="100" w:type="dxa"/>
              <w:bottom w:w="80" w:type="dxa"/>
            </w:tcMar>
            <w:tcW w:w="2454" w:type="dxa"/>
            <w:textDirection w:val="lrTb"/>
            <w:noWrap w:val="false"/>
          </w:tcPr>
          <w:p>
            <w:pPr>
              <w:pBdr/>
              <w:spacing w:after="0" w:before="40" w:line="276" w:lineRule="auto"/>
              <w:ind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 xml:space="preserve">Назва банку тестових завдань, кількість тестових завдань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  <w:tc>
          <w:tcPr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left w:w="100" w:type="dxa"/>
              <w:top w:w="80" w:type="dxa"/>
              <w:right w:w="100" w:type="dxa"/>
              <w:bottom w:w="80" w:type="dxa"/>
            </w:tcMar>
            <w:tcW w:w="1662" w:type="dxa"/>
            <w:textDirection w:val="lrTb"/>
            <w:noWrap w:val="false"/>
          </w:tcPr>
          <w:p>
            <w:pPr>
              <w:pBdr/>
              <w:spacing w:after="0" w:before="40" w:line="276" w:lineRule="auto"/>
              <w:ind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 xml:space="preserve">Перелік типів завдань оцінювання (одиничний вибір, множинний вибір, ранжування, співставлення, відкрите питання тощо)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  <w:tc>
          <w:tcPr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left w:w="100" w:type="dxa"/>
              <w:top w:w="80" w:type="dxa"/>
              <w:right w:w="100" w:type="dxa"/>
              <w:bottom w:w="80" w:type="dxa"/>
            </w:tcMar>
            <w:tcW w:w="1662" w:type="dxa"/>
            <w:textDirection w:val="lrTb"/>
            <w:noWrap w:val="false"/>
          </w:tcPr>
          <w:p>
            <w:pPr>
              <w:pBdr/>
              <w:spacing w:after="0" w:before="40" w:line="276" w:lineRule="auto"/>
              <w:ind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 xml:space="preserve">Відомості про апробацію (дата, категорія та кількість учасників апробації. Звіт про апробацію додається окремим документом у довільній формі)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  <w:tc>
          <w:tcPr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left w:w="100" w:type="dxa"/>
              <w:top w:w="80" w:type="dxa"/>
              <w:right w:w="100" w:type="dxa"/>
              <w:bottom w:w="80" w:type="dxa"/>
            </w:tcMar>
            <w:tcW w:w="1662" w:type="dxa"/>
            <w:textDirection w:val="lrTb"/>
            <w:noWrap w:val="false"/>
          </w:tcPr>
          <w:p>
            <w:pPr>
              <w:pBdr/>
              <w:spacing w:after="0" w:before="40" w:line="276" w:lineRule="auto"/>
              <w:ind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 xml:space="preserve">Відомості про валідності банку тестових завдань за результатами апробації, експертної оцінки (коли і ким проводилася оцінка)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  <w:tc>
          <w:tcPr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left w:w="100" w:type="dxa"/>
              <w:top w:w="80" w:type="dxa"/>
              <w:right w:w="100" w:type="dxa"/>
              <w:bottom w:w="80" w:type="dxa"/>
            </w:tcMar>
            <w:tcW w:w="1702" w:type="dxa"/>
            <w:textDirection w:val="lrTb"/>
            <w:noWrap w:val="false"/>
          </w:tcPr>
          <w:p>
            <w:pPr>
              <w:pBdr/>
              <w:spacing w:after="0" w:before="40" w:line="276" w:lineRule="auto"/>
              <w:ind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 xml:space="preserve">Наявність захисту банку (комплексна система захисту інформації або засоби організаційного та технічного захисту інформації)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</w:tr>
      <w:tr>
        <w:trPr/>
        <w:tc>
          <w:tcPr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left w:w="100" w:type="dxa"/>
              <w:top w:w="80" w:type="dxa"/>
              <w:right w:w="100" w:type="dxa"/>
              <w:bottom w:w="80" w:type="dxa"/>
            </w:tcMar>
            <w:tcW w:w="870" w:type="dxa"/>
            <w:textDirection w:val="lrTb"/>
            <w:noWrap w:val="false"/>
          </w:tcPr>
          <w:p>
            <w:pPr>
              <w:pBdr/>
              <w:spacing w:after="0" w:before="40" w:line="276" w:lineRule="auto"/>
              <w:ind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xml:space="preserve">1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  <w:tc>
          <w:tcPr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left w:w="100" w:type="dxa"/>
              <w:top w:w="80" w:type="dxa"/>
              <w:right w:w="100" w:type="dxa"/>
              <w:bottom w:w="80" w:type="dxa"/>
            </w:tcMar>
            <w:tcW w:w="2454" w:type="dxa"/>
            <w:textDirection w:val="lrTb"/>
            <w:noWrap w:val="false"/>
          </w:tcPr>
          <w:p>
            <w:pPr>
              <w:pBdr/>
              <w:spacing w:after="0" w:before="40" w:line="276" w:lineRule="auto"/>
              <w:ind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xml:space="preserve">Банк тестових питань для оцінювання результатів навчання за професійною кваліфікацією «Фахівець із супроводу ветеранів війни та демобілізованих осіб».</w:t>
              <w:br/>
              <w:t xml:space="preserve">Кількість тестових завдань – </w:t>
            </w:r>
            <w:r>
              <w:rPr>
                <w:rFonts w:ascii="Times New Roman" w:hAnsi="Times New Roman" w:eastAsia="Times New Roman" w:cs="Times New Roman"/>
                <w:sz w:val="20"/>
                <w:lang w:val="uk-UA"/>
              </w:rPr>
              <w:t xml:space="preserve">Варіант 1: 50</w:t>
            </w:r>
            <w:r>
              <w:rPr>
                <w:rFonts w:ascii="Times New Roman" w:hAnsi="Times New Roman" w:eastAsia="Times New Roman" w:cs="Times New Roman"/>
                <w:sz w:val="20"/>
              </w:rPr>
              <w:t xml:space="preserve"> питань</w:t>
            </w:r>
            <w:r>
              <w:rPr>
                <w:rFonts w:ascii="Times New Roman" w:hAnsi="Times New Roman" w:eastAsia="Times New Roman" w:cs="Times New Roman"/>
                <w:sz w:val="20"/>
                <w:lang w:val="uk-UA"/>
              </w:rPr>
              <w:t xml:space="preserve">; Варіант 2: 50 питань.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  <w:tc>
          <w:tcPr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left w:w="100" w:type="dxa"/>
              <w:top w:w="80" w:type="dxa"/>
              <w:right w:w="100" w:type="dxa"/>
              <w:bottom w:w="80" w:type="dxa"/>
            </w:tcMar>
            <w:tcW w:w="1662" w:type="dxa"/>
            <w:textDirection w:val="lrTb"/>
            <w:noWrap w:val="false"/>
          </w:tcPr>
          <w:p>
            <w:pPr>
              <w:pBdr/>
              <w:spacing w:after="0" w:before="40" w:line="276" w:lineRule="auto"/>
              <w:ind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xml:space="preserve">Тестові завдання складаються з: завдання одиничного вибору (з однією правильною відповіддю із чотирьох запропонованих варіантів).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  <w:tc>
          <w:tcPr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left w:w="100" w:type="dxa"/>
              <w:top w:w="80" w:type="dxa"/>
              <w:right w:w="100" w:type="dxa"/>
              <w:bottom w:w="80" w:type="dxa"/>
            </w:tcMar>
            <w:tcW w:w="1662" w:type="dxa"/>
            <w:textDirection w:val="lrTb"/>
            <w:noWrap w:val="false"/>
          </w:tcPr>
          <w:p>
            <w:pPr>
              <w:pBdr/>
              <w:spacing w:after="0" w:before="40" w:line="276" w:lineRule="auto"/>
              <w:ind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 xml:space="preserve">02.02.2026 - 25.03.2026; слухачі курсів підвищення кваліфікації; </w:t>
            </w: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 xml:space="preserve">категорія - соціальні працівники, соціальні педагоги та практичні психологи; кількість учасників — 136; апробацію проведено в електронній системі на базі Moodle в КЗ «Запорізький обласний інститут післядипломної педагогічної освіти» ЗОР.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  <w:tc>
          <w:tcPr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left w:w="100" w:type="dxa"/>
              <w:top w:w="80" w:type="dxa"/>
              <w:right w:w="100" w:type="dxa"/>
              <w:bottom w:w="80" w:type="dxa"/>
            </w:tcMar>
            <w:tcW w:w="1662" w:type="dxa"/>
            <w:textDirection w:val="lrTb"/>
            <w:noWrap w:val="false"/>
          </w:tcPr>
          <w:p>
            <w:pPr>
              <w:pBdr/>
              <w:spacing w:after="0" w:before="40" w:line="276" w:lineRule="auto"/>
              <w:ind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 xml:space="preserve">02.02.2026 - 25.03.2026 проведено представниками КЗ «Запорізький обласний інститут післядипломної педагогічної освіти» ЗОР: проректором з навчально-методичної роботи Черніковою Л.А., завідувачем обласного науково-методичного центру інформатизації</w:t>
            </w: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 xml:space="preserve"> освіти Здоровцем О.Ф., завідувачем навчально-методичного центру Задорожкіною Я.С. за результатами статистичного аналізу та апробації (коефіцієнт внутрішньої узгодженості перевищує 84%, розроблені тестові та практичні завдання є валідними та задовільними).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  <w:tc>
          <w:tcPr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left w:w="100" w:type="dxa"/>
              <w:top w:w="80" w:type="dxa"/>
              <w:right w:w="100" w:type="dxa"/>
              <w:bottom w:w="80" w:type="dxa"/>
            </w:tcMar>
            <w:tcW w:w="1702" w:type="dxa"/>
            <w:textDirection w:val="lrTb"/>
            <w:noWrap w:val="false"/>
          </w:tcPr>
          <w:p>
            <w:pPr>
              <w:pBdr/>
              <w:spacing w:after="0" w:before="40" w:line="276" w:lineRule="auto"/>
              <w:ind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sz w:val="20"/>
                <w:lang w:val="uk-UA"/>
              </w:rPr>
            </w:r>
            <w:r>
              <w:rPr>
                <w:rFonts w:ascii="Times New Roman" w:hAnsi="Times New Roman" w:eastAsia="Times New Roman" w:cs="Times New Roman"/>
                <w:sz w:val="20"/>
                <w:lang w:val="uk-UA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sz w:val="20"/>
              </w:rPr>
              <w:t xml:space="preserve">) Оформлено інструкцію про ознайомлення співробітників із захистом відомостей про тестові завдання та нормами юридичної відповідальності за порушення.</w:t>
              <w:br/>
            </w:r>
            <w:r>
              <w:rPr>
                <w:rFonts w:ascii="Times New Roman" w:hAnsi="Times New Roman" w:eastAsia="Times New Roman" w:cs="Times New Roman"/>
                <w:sz w:val="20"/>
                <w:lang w:val="uk-UA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sz w:val="20"/>
              </w:rPr>
              <w:t xml:space="preserve">) Обмежено фізичний доступ сторонніх осіб до </w:t>
            </w:r>
            <w:r>
              <w:rPr>
                <w:rFonts w:ascii="Times New Roman" w:hAnsi="Times New Roman" w:eastAsia="Times New Roman" w:cs="Times New Roman"/>
                <w:sz w:val="20"/>
                <w:lang w:val="uk-UA"/>
              </w:rPr>
              <w:t xml:space="preserve">тестування.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</w:tr>
    </w:tbl>
    <w:p>
      <w:pPr>
        <w:pBdr/>
        <w:spacing w:after="0" w:before="0" w:line="276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pBdr/>
        <w:spacing w:after="0" w:before="240" w:line="276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b/>
          <w:i w:val="0"/>
          <w:sz w:val="24"/>
        </w:rPr>
        <w:t xml:space="preserve">2. Контрольно-оцінювальні матеріали (інші)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tbl>
      <w:tblPr>
        <w:jc w:val="center"/>
        <w:tblInd w:w="-140" w:type="dxa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780"/>
        <w:gridCol w:w="3350"/>
        <w:gridCol w:w="1469"/>
        <w:gridCol w:w="2521"/>
        <w:gridCol w:w="1995"/>
      </w:tblGrid>
      <w:tr>
        <w:trPr/>
        <w:tc>
          <w:tcPr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left w:w="100" w:type="dxa"/>
              <w:top w:w="80" w:type="dxa"/>
              <w:right w:w="100" w:type="dxa"/>
              <w:bottom w:w="80" w:type="dxa"/>
            </w:tcMar>
            <w:tcW w:w="780" w:type="dxa"/>
            <w:textDirection w:val="lrTb"/>
            <w:noWrap w:val="false"/>
          </w:tcPr>
          <w:p>
            <w:pPr>
              <w:pBdr/>
              <w:spacing w:after="0" w:before="40" w:line="276" w:lineRule="auto"/>
              <w:ind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 xml:space="preserve">Порядковий номер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  <w:tc>
          <w:tcPr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left w:w="100" w:type="dxa"/>
              <w:top w:w="80" w:type="dxa"/>
              <w:right w:w="100" w:type="dxa"/>
              <w:bottom w:w="80" w:type="dxa"/>
            </w:tcMar>
            <w:tcW w:w="3350" w:type="dxa"/>
            <w:textDirection w:val="lrTb"/>
            <w:noWrap w:val="false"/>
          </w:tcPr>
          <w:p>
            <w:pPr>
              <w:pBdr/>
              <w:spacing w:after="0" w:before="40" w:line="276" w:lineRule="auto"/>
              <w:ind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 xml:space="preserve">Назва контрольно-оцінювальних матеріалів (кваліфікаційна пробна робота, практичне завдання тощо)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  <w:tc>
          <w:tcPr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left w:w="100" w:type="dxa"/>
              <w:top w:w="80" w:type="dxa"/>
              <w:right w:w="100" w:type="dxa"/>
              <w:bottom w:w="80" w:type="dxa"/>
            </w:tcMar>
            <w:tcW w:w="1469" w:type="dxa"/>
            <w:textDirection w:val="lrTb"/>
            <w:noWrap w:val="false"/>
          </w:tcPr>
          <w:p>
            <w:pPr>
              <w:pBdr/>
              <w:spacing w:after="0" w:before="40" w:line="276" w:lineRule="auto"/>
              <w:ind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 xml:space="preserve">Кількість варіантів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  <w:tc>
          <w:tcPr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left w:w="100" w:type="dxa"/>
              <w:top w:w="80" w:type="dxa"/>
              <w:right w:w="100" w:type="dxa"/>
              <w:bottom w:w="80" w:type="dxa"/>
            </w:tcMar>
            <w:tcW w:w="2521" w:type="dxa"/>
            <w:textDirection w:val="lrTb"/>
            <w:noWrap w:val="false"/>
          </w:tcPr>
          <w:p>
            <w:pPr>
              <w:pBdr/>
              <w:spacing w:after="0" w:before="40" w:line="276" w:lineRule="auto"/>
              <w:ind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 xml:space="preserve">Призначення (прописати мету контрольно-оцінювальних матеріалів, на що спрямовані)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  <w:tc>
          <w:tcPr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left w:w="100" w:type="dxa"/>
              <w:top w:w="80" w:type="dxa"/>
              <w:right w:w="100" w:type="dxa"/>
              <w:bottom w:w="80" w:type="dxa"/>
            </w:tcMar>
            <w:tcW w:w="1995" w:type="dxa"/>
            <w:textDirection w:val="lrTb"/>
            <w:noWrap w:val="false"/>
          </w:tcPr>
          <w:p>
            <w:pPr>
              <w:pBdr/>
              <w:spacing w:after="0" w:before="40" w:line="276" w:lineRule="auto"/>
              <w:ind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 xml:space="preserve">Відомості про апробацію (дата, категорія та кількість учасників апробації. Звіт про апробацію додається як окремий документ у довільній формі)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</w:tr>
      <w:tr>
        <w:trPr/>
        <w:tc>
          <w:tcPr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left w:w="100" w:type="dxa"/>
              <w:top w:w="80" w:type="dxa"/>
              <w:right w:w="100" w:type="dxa"/>
              <w:bottom w:w="80" w:type="dxa"/>
            </w:tcMar>
            <w:tcW w:w="780" w:type="dxa"/>
            <w:textDirection w:val="lrTb"/>
            <w:noWrap w:val="false"/>
          </w:tcPr>
          <w:p>
            <w:pPr>
              <w:pBdr/>
              <w:spacing w:after="0" w:before="40" w:line="276" w:lineRule="auto"/>
              <w:ind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xml:space="preserve">1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  <w:tc>
          <w:tcPr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left w:w="100" w:type="dxa"/>
              <w:top w:w="80" w:type="dxa"/>
              <w:right w:w="100" w:type="dxa"/>
              <w:bottom w:w="80" w:type="dxa"/>
            </w:tcMar>
            <w:tcW w:w="3350" w:type="dxa"/>
            <w:textDirection w:val="lrTb"/>
            <w:noWrap w:val="false"/>
          </w:tcPr>
          <w:p>
            <w:pPr>
              <w:pBdr/>
              <w:spacing w:after="0" w:before="40" w:line="276" w:lineRule="auto"/>
              <w:ind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xml:space="preserve">Пакет практичних кваліфікаційних завдань (професійні кейси)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  <w:tc>
          <w:tcPr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left w:w="100" w:type="dxa"/>
              <w:top w:w="80" w:type="dxa"/>
              <w:right w:w="100" w:type="dxa"/>
              <w:bottom w:w="80" w:type="dxa"/>
            </w:tcMar>
            <w:tcW w:w="1469" w:type="dxa"/>
            <w:textDirection w:val="lrTb"/>
            <w:noWrap w:val="false"/>
          </w:tcPr>
          <w:p>
            <w:pPr>
              <w:pBdr/>
              <w:spacing w:after="0" w:before="40" w:line="276" w:lineRule="auto"/>
              <w:ind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xml:space="preserve">1 (10 кейсів)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  <w:tc>
          <w:tcPr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left w:w="100" w:type="dxa"/>
              <w:top w:w="80" w:type="dxa"/>
              <w:right w:w="100" w:type="dxa"/>
              <w:bottom w:w="80" w:type="dxa"/>
            </w:tcMar>
            <w:tcW w:w="2521" w:type="dxa"/>
            <w:textDirection w:val="lrTb"/>
            <w:noWrap w:val="false"/>
          </w:tcPr>
          <w:p>
            <w:pPr>
              <w:pBdr/>
              <w:spacing w:after="0" w:before="40" w:line="276" w:lineRule="auto"/>
              <w:ind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xml:space="preserve">Оцінювання практичних умінь та навичок кандидатів, здатності аналізувати складні ситуації супроводу, приймати рішення у кризових станах, дотримуватися етичних норм та законодавства про захист персональних даних.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  <w:tc>
          <w:tcPr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left w:w="100" w:type="dxa"/>
              <w:top w:w="80" w:type="dxa"/>
              <w:right w:w="100" w:type="dxa"/>
              <w:bottom w:w="80" w:type="dxa"/>
            </w:tcMar>
            <w:tcW w:w="1995" w:type="dxa"/>
            <w:textDirection w:val="lrTb"/>
            <w:noWrap w:val="false"/>
          </w:tcPr>
          <w:p>
            <w:pPr>
              <w:pBdr/>
              <w:spacing w:after="0" w:before="40" w:line="276" w:lineRule="auto"/>
              <w:ind/>
              <w:rPr>
                <w:rFonts w:ascii="Times New Roman" w:hAnsi="Times New Roman" w:cs="Times New Roman"/>
                <w:highlight w:val="yellow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 xml:space="preserve">02.02.2026 - 25.03.2026; слухачі курсів підвищення кваліфікації; </w:t>
            </w: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 xml:space="preserve">категорія - соціальні працівники, соціальні педагоги та практичні психологи; кількість учасників — 136; апробацію проведено в електронній системі на базі Moodle в КЗ «Запорізький обласний інститут післядипломної педагогічної освіти» ЗОР.</w:t>
            </w:r>
            <w:r>
              <w:rPr>
                <w:rFonts w:ascii="Times New Roman" w:hAnsi="Times New Roman" w:cs="Times New Roman"/>
                <w:highlight w:val="yellow"/>
              </w:rPr>
            </w:r>
            <w:r>
              <w:rPr>
                <w:rFonts w:ascii="Times New Roman" w:hAnsi="Times New Roman" w:cs="Times New Roman"/>
                <w:highlight w:val="yellow"/>
              </w:rPr>
            </w:r>
          </w:p>
        </w:tc>
      </w:tr>
    </w:tbl>
    <w:p>
      <w:pPr>
        <w:pBdr/>
        <w:spacing w:after="0" w:before="0" w:line="276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pBdr/>
        <w:spacing w:after="0" w:before="240" w:line="276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b/>
          <w:i w:val="0"/>
          <w:sz w:val="24"/>
        </w:rPr>
        <w:t xml:space="preserve">3. Інструменти, обладнання для процедур оцінювання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tbl>
      <w:tblPr>
        <w:jc w:val="center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809"/>
        <w:gridCol w:w="2693"/>
        <w:gridCol w:w="1865"/>
        <w:gridCol w:w="1579"/>
        <w:gridCol w:w="1627"/>
        <w:gridCol w:w="1600"/>
      </w:tblGrid>
      <w:tr>
        <w:trPr/>
        <w:tc>
          <w:tcPr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left w:w="100" w:type="dxa"/>
              <w:top w:w="80" w:type="dxa"/>
              <w:right w:w="100" w:type="dxa"/>
              <w:bottom w:w="80" w:type="dxa"/>
            </w:tcMar>
            <w:tcW w:w="809" w:type="dxa"/>
            <w:textDirection w:val="lrTb"/>
            <w:noWrap w:val="false"/>
          </w:tcPr>
          <w:p>
            <w:pPr>
              <w:pBdr/>
              <w:spacing w:after="0" w:before="40" w:line="276" w:lineRule="auto"/>
              <w:ind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 xml:space="preserve">Порядковий номер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  <w:tc>
          <w:tcPr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left w:w="100" w:type="dxa"/>
              <w:top w:w="80" w:type="dxa"/>
              <w:right w:w="100" w:type="dxa"/>
              <w:bottom w:w="80" w:type="dxa"/>
            </w:tcMar>
            <w:tcW w:w="2693" w:type="dxa"/>
            <w:textDirection w:val="lrTb"/>
            <w:noWrap w:val="false"/>
          </w:tcPr>
          <w:p>
            <w:pPr>
              <w:pBdr/>
              <w:spacing w:after="0" w:before="40" w:line="276" w:lineRule="auto"/>
              <w:ind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 xml:space="preserve">Найменування інструментів, обладнання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  <w:tc>
          <w:tcPr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left w:w="100" w:type="dxa"/>
              <w:top w:w="80" w:type="dxa"/>
              <w:right w:w="100" w:type="dxa"/>
              <w:bottom w:w="80" w:type="dxa"/>
            </w:tcMar>
            <w:tcW w:w="1865" w:type="dxa"/>
            <w:textDirection w:val="lrTb"/>
            <w:noWrap w:val="false"/>
          </w:tcPr>
          <w:p>
            <w:pPr>
              <w:pBdr/>
              <w:spacing w:after="0" w:before="40" w:line="276" w:lineRule="auto"/>
              <w:ind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 xml:space="preserve">Призначення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  <w:tc>
          <w:tcPr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left w:w="100" w:type="dxa"/>
              <w:top w:w="80" w:type="dxa"/>
              <w:right w:w="100" w:type="dxa"/>
              <w:bottom w:w="80" w:type="dxa"/>
            </w:tcMar>
            <w:tcW w:w="1579" w:type="dxa"/>
            <w:textDirection w:val="lrTb"/>
            <w:noWrap w:val="false"/>
          </w:tcPr>
          <w:p>
            <w:pPr>
              <w:pBdr/>
              <w:spacing w:after="0" w:before="40" w:line="276" w:lineRule="auto"/>
              <w:ind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 xml:space="preserve">Адреса розміщення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  <w:tc>
          <w:tcPr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left w:w="100" w:type="dxa"/>
              <w:top w:w="80" w:type="dxa"/>
              <w:right w:w="100" w:type="dxa"/>
              <w:bottom w:w="80" w:type="dxa"/>
            </w:tcMar>
            <w:tcW w:w="1627" w:type="dxa"/>
            <w:textDirection w:val="lrTb"/>
            <w:noWrap w:val="false"/>
          </w:tcPr>
          <w:p>
            <w:pPr>
              <w:pBdr/>
              <w:spacing w:after="0" w:before="40" w:line="276" w:lineRule="auto"/>
              <w:ind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 xml:space="preserve">Найменування власника інструментів, обладнання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  <w:tc>
          <w:tcPr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left w:w="100" w:type="dxa"/>
              <w:top w:w="80" w:type="dxa"/>
              <w:right w:w="100" w:type="dxa"/>
              <w:bottom w:w="80" w:type="dxa"/>
            </w:tcMar>
            <w:tcW w:w="1600" w:type="dxa"/>
            <w:textDirection w:val="lrTb"/>
            <w:noWrap w:val="false"/>
          </w:tcPr>
          <w:p>
            <w:pPr>
              <w:pBdr/>
              <w:spacing w:after="0" w:before="40" w:line="276" w:lineRule="auto"/>
              <w:ind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 xml:space="preserve">Підстави для користування із зазначенням строку дії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</w:tr>
      <w:tr>
        <w:trPr/>
        <w:tc>
          <w:tcPr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left w:w="100" w:type="dxa"/>
              <w:top w:w="80" w:type="dxa"/>
              <w:right w:w="100" w:type="dxa"/>
              <w:bottom w:w="80" w:type="dxa"/>
            </w:tcMar>
            <w:tcW w:w="809" w:type="dxa"/>
            <w:textDirection w:val="lrTb"/>
            <w:noWrap w:val="false"/>
          </w:tcPr>
          <w:p>
            <w:pPr>
              <w:pBdr/>
              <w:spacing w:after="0" w:before="40" w:line="276" w:lineRule="auto"/>
              <w:ind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xml:space="preserve">1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  <w:tc>
          <w:tcPr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left w:w="100" w:type="dxa"/>
              <w:top w:w="80" w:type="dxa"/>
              <w:right w:w="100" w:type="dxa"/>
              <w:bottom w:w="80" w:type="dxa"/>
            </w:tcMar>
            <w:tcW w:w="2693" w:type="dxa"/>
            <w:textDirection w:val="lrTb"/>
            <w:noWrap w:val="false"/>
          </w:tcPr>
          <w:p>
            <w:pPr>
              <w:pBdr/>
              <w:spacing w:after="0" w:before="40" w:line="276" w:lineRule="auto"/>
              <w:ind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xml:space="preserve">Ноутбук HP 250G7 (10 од.)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  <w:tc>
          <w:tcPr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left w:w="100" w:type="dxa"/>
              <w:top w:w="80" w:type="dxa"/>
              <w:right w:w="100" w:type="dxa"/>
              <w:bottom w:w="80" w:type="dxa"/>
            </w:tcMar>
            <w:tcW w:w="1865" w:type="dxa"/>
            <w:textDirection w:val="lrTb"/>
            <w:noWrap w:val="false"/>
          </w:tcPr>
          <w:p>
            <w:pPr>
              <w:pBdr/>
              <w:spacing w:after="0" w:before="40" w:line="276" w:lineRule="auto"/>
              <w:ind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xml:space="preserve">Для організації онлайн-оцінювання (тестування), проведення розрахунків, підготовки та збереження звітної інформації.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  <w:tc>
          <w:tcPr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left w:w="100" w:type="dxa"/>
              <w:top w:w="80" w:type="dxa"/>
              <w:right w:w="100" w:type="dxa"/>
              <w:bottom w:w="80" w:type="dxa"/>
            </w:tcMar>
            <w:tcW w:w="1579" w:type="dxa"/>
            <w:textDirection w:val="lrTb"/>
            <w:noWrap w:val="false"/>
          </w:tcPr>
          <w:p>
            <w:pPr>
              <w:pBdr/>
              <w:spacing w:after="0" w:before="40" w:line="276" w:lineRule="auto"/>
              <w:ind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xml:space="preserve">м. Запоріжжя, вул. Незалежної України, 57А, підвальне приміщення літ. А-4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  <w:tc>
          <w:tcPr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left w:w="100" w:type="dxa"/>
              <w:top w:w="80" w:type="dxa"/>
              <w:right w:w="100" w:type="dxa"/>
              <w:bottom w:w="80" w:type="dxa"/>
            </w:tcMar>
            <w:tcW w:w="1627" w:type="dxa"/>
            <w:textDirection w:val="lrTb"/>
            <w:noWrap w:val="false"/>
          </w:tcPr>
          <w:p>
            <w:pPr>
              <w:pBdr/>
              <w:spacing w:after="0" w:before="40" w:line="276" w:lineRule="auto"/>
              <w:ind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xml:space="preserve">КЗ «ЗОІППО» ЗОР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  <w:tc>
          <w:tcPr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left w:w="100" w:type="dxa"/>
              <w:top w:w="80" w:type="dxa"/>
              <w:right w:w="100" w:type="dxa"/>
              <w:bottom w:w="80" w:type="dxa"/>
            </w:tcMar>
            <w:tcW w:w="1600" w:type="dxa"/>
            <w:textDirection w:val="lrTb"/>
            <w:noWrap w:val="false"/>
          </w:tcPr>
          <w:p>
            <w:pPr>
              <w:pBdr/>
              <w:spacing w:after="0" w:before="40" w:line="276" w:lineRule="auto"/>
              <w:ind/>
              <w:rPr>
                <w:rFonts w:ascii="Times New Roman" w:hAnsi="Times New Roman" w:eastAsia="Times New Roman" w:cs="Times New Roman"/>
                <w:sz w:val="20"/>
                <w:szCs w:val="20"/>
                <w:highlight w:val="none"/>
                <w:lang w:val="uk-UA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xml:space="preserve">Власність закладу, без строку дії</w:t>
            </w:r>
            <w:r>
              <w:rPr>
                <w:rFonts w:ascii="Times New Roman" w:hAnsi="Times New Roman" w:eastAsia="Times New Roman" w:cs="Times New Roman"/>
                <w:sz w:val="20"/>
                <w:lang w:val="uk-UA"/>
              </w:rPr>
              <w:t xml:space="preserve">,</w:t>
            </w:r>
            <w:r>
              <w:rPr>
                <w:rFonts w:ascii="Times New Roman" w:hAnsi="Times New Roman" w:cs="Times New Roman"/>
              </w:rPr>
            </w:r>
          </w:p>
          <w:p w14:paraId="3BB4AE1F">
            <w:pPr>
              <w:pBdr/>
              <w:spacing w:after="0" w:before="40" w:line="276" w:lineRule="auto"/>
              <w:ind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sz w:val="20"/>
                <w:highlight w:val="none"/>
                <w:lang w:val="uk-UA"/>
              </w:rPr>
              <w:t xml:space="preserve">Інв № 11137103</w:t>
            </w:r>
            <w:r>
              <w:rPr>
                <w:rFonts w:ascii="Times New Roman" w:hAnsi="Times New Roman" w:eastAsia="Times New Roman" w:cs="Times New Roman"/>
                <w:sz w:val="20"/>
                <w:highlight w:val="none"/>
                <w:lang w:val="uk-UA"/>
              </w:rPr>
            </w:r>
            <w:r>
              <w:rPr>
                <w:rFonts w:ascii="Times New Roman" w:hAnsi="Times New Roman" w:eastAsia="Times New Roman" w:cs="Times New Roman"/>
                <w:sz w:val="20"/>
                <w:highlight w:val="none"/>
                <w:lang w:val="uk-UA"/>
              </w:rPr>
            </w:r>
          </w:p>
        </w:tc>
      </w:tr>
      <w:tr>
        <w:trPr/>
        <w:tc>
          <w:tcPr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left w:w="100" w:type="dxa"/>
              <w:top w:w="80" w:type="dxa"/>
              <w:right w:w="100" w:type="dxa"/>
              <w:bottom w:w="80" w:type="dxa"/>
            </w:tcMar>
            <w:tcW w:w="809" w:type="dxa"/>
            <w:textDirection w:val="lrTb"/>
            <w:noWrap w:val="false"/>
          </w:tcPr>
          <w:p>
            <w:pPr>
              <w:pBdr/>
              <w:spacing w:after="0" w:before="40" w:line="276" w:lineRule="auto"/>
              <w:ind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sz w:val="20"/>
                <w:lang w:val="uk-UA"/>
              </w:rPr>
              <w:t xml:space="preserve">2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  <w:tc>
          <w:tcPr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left w:w="100" w:type="dxa"/>
              <w:top w:w="80" w:type="dxa"/>
              <w:right w:w="100" w:type="dxa"/>
              <w:bottom w:w="80" w:type="dxa"/>
            </w:tcMar>
            <w:tcW w:w="2693" w:type="dxa"/>
            <w:textDirection w:val="lrTb"/>
            <w:noWrap w:val="false"/>
          </w:tcPr>
          <w:p>
            <w:pPr>
              <w:pBdr/>
              <w:spacing w:after="0" w:before="40" w:line="276" w:lineRule="auto"/>
              <w:ind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xml:space="preserve">Веб-камера широкоформатна Logitech C920 Pro HD (</w:t>
            </w:r>
            <w:r>
              <w:rPr>
                <w:rFonts w:ascii="Times New Roman" w:hAnsi="Times New Roman" w:eastAsia="Times New Roman" w:cs="Times New Roman"/>
                <w:sz w:val="20"/>
                <w:lang w:val="uk-UA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sz w:val="20"/>
              </w:rPr>
              <w:t xml:space="preserve"> од.)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  <w:tc>
          <w:tcPr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left w:w="100" w:type="dxa"/>
              <w:top w:w="80" w:type="dxa"/>
              <w:right w:w="100" w:type="dxa"/>
              <w:bottom w:w="80" w:type="dxa"/>
            </w:tcMar>
            <w:tcW w:w="1865" w:type="dxa"/>
            <w:textDirection w:val="lrTb"/>
            <w:noWrap w:val="false"/>
          </w:tcPr>
          <w:p>
            <w:pPr>
              <w:pBdr/>
              <w:spacing w:after="0" w:before="40" w:line="276" w:lineRule="auto"/>
              <w:ind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xml:space="preserve">Відеофіксація процедури оцінювання, ідентифікації кандидатів.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  <w:tc>
          <w:tcPr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left w:w="100" w:type="dxa"/>
              <w:top w:w="80" w:type="dxa"/>
              <w:right w:w="100" w:type="dxa"/>
              <w:bottom w:w="80" w:type="dxa"/>
            </w:tcMar>
            <w:tcW w:w="1579" w:type="dxa"/>
            <w:textDirection w:val="lrTb"/>
            <w:noWrap w:val="false"/>
          </w:tcPr>
          <w:p>
            <w:pPr>
              <w:pBdr/>
              <w:spacing w:after="0" w:before="40" w:line="276" w:lineRule="auto"/>
              <w:ind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xml:space="preserve">м. Запоріжжя, вул. Незалежної України, 57А, підвальне приміщення літ. А-4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  <w:tc>
          <w:tcPr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left w:w="100" w:type="dxa"/>
              <w:top w:w="80" w:type="dxa"/>
              <w:right w:w="100" w:type="dxa"/>
              <w:bottom w:w="80" w:type="dxa"/>
            </w:tcMar>
            <w:tcW w:w="1627" w:type="dxa"/>
            <w:textDirection w:val="lrTb"/>
            <w:noWrap w:val="false"/>
          </w:tcPr>
          <w:p>
            <w:pPr>
              <w:pBdr/>
              <w:spacing w:after="0" w:before="40" w:line="276" w:lineRule="auto"/>
              <w:ind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xml:space="preserve">КЗ «ЗОІППО» ЗОР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  <w:tc>
          <w:tcPr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left w:w="100" w:type="dxa"/>
              <w:top w:w="80" w:type="dxa"/>
              <w:right w:w="100" w:type="dxa"/>
              <w:bottom w:w="80" w:type="dxa"/>
            </w:tcMar>
            <w:tcW w:w="1600" w:type="dxa"/>
            <w:textDirection w:val="lrTb"/>
            <w:noWrap w:val="false"/>
          </w:tcPr>
          <w:p>
            <w:pPr>
              <w:pBdr/>
              <w:spacing w:after="0" w:before="40" w:line="276" w:lineRule="auto"/>
              <w:ind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xml:space="preserve">Власність закладу, без строку дії</w:t>
            </w:r>
            <w:r>
              <w:rPr>
                <w:rFonts w:ascii="Times New Roman" w:hAnsi="Times New Roman" w:eastAsia="Times New Roman" w:cs="Times New Roman"/>
                <w:sz w:val="20"/>
                <w:lang w:val="uk-UA"/>
              </w:rPr>
              <w:t xml:space="preserve">, Інв № </w:t>
            </w:r>
            <w:r>
              <w:rPr>
                <w:rFonts w:ascii="Times New Roman" w:hAnsi="Times New Roman" w:eastAsia="Times New Roman" w:cs="Times New Roman"/>
                <w:sz w:val="20"/>
                <w:lang w:val="en-US"/>
              </w:rPr>
              <w:t xml:space="preserve">11139103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</w:tr>
      <w:tr>
        <w:trPr/>
        <w:tc>
          <w:tcPr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left w:w="100" w:type="dxa"/>
              <w:top w:w="80" w:type="dxa"/>
              <w:right w:w="100" w:type="dxa"/>
              <w:bottom w:w="80" w:type="dxa"/>
            </w:tcMar>
            <w:tcW w:w="809" w:type="dxa"/>
            <w:textDirection w:val="lrTb"/>
            <w:noWrap w:val="false"/>
          </w:tcPr>
          <w:p>
            <w:pPr>
              <w:pBdr/>
              <w:spacing w:after="0" w:before="40" w:line="276" w:lineRule="auto"/>
              <w:ind/>
              <w:jc w:val="center"/>
              <w:rPr>
                <w:rFonts w:ascii="Times New Roman" w:hAnsi="Times New Roman" w:cs="Times New Roman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sz w:val="20"/>
                <w:highlight w:val="none"/>
              </w:rPr>
              <w:t xml:space="preserve">3</w:t>
            </w:r>
            <w:r>
              <w:rPr>
                <w:rFonts w:ascii="Times New Roman" w:hAnsi="Times New Roman" w:cs="Times New Roman"/>
                <w:highlight w:val="white"/>
              </w:rPr>
            </w:r>
            <w:r>
              <w:rPr>
                <w:rFonts w:ascii="Times New Roman" w:hAnsi="Times New Roman" w:cs="Times New Roman"/>
                <w:highlight w:val="white"/>
              </w:rPr>
            </w:r>
          </w:p>
        </w:tc>
        <w:tc>
          <w:tcPr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left w:w="100" w:type="dxa"/>
              <w:top w:w="80" w:type="dxa"/>
              <w:right w:w="100" w:type="dxa"/>
              <w:bottom w:w="80" w:type="dxa"/>
            </w:tcMar>
            <w:tcW w:w="2693" w:type="dxa"/>
            <w:textDirection w:val="lrTb"/>
            <w:noWrap w:val="false"/>
          </w:tcPr>
          <w:p>
            <w:pPr>
              <w:pBdr/>
              <w:spacing w:after="0" w:before="40" w:line="276" w:lineRule="auto"/>
              <w:ind/>
              <w:rPr>
                <w:rFonts w:ascii="Times New Roman" w:hAnsi="Times New Roman" w:cs="Times New Roman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sz w:val="20"/>
                <w:highlight w:val="white"/>
              </w:rPr>
              <w:t xml:space="preserve">Мультимедійний проектор Acer</w:t>
            </w:r>
            <w:r>
              <w:rPr>
                <w:rFonts w:ascii="Times New Roman" w:hAnsi="Times New Roman" w:cs="Times New Roman"/>
                <w:highlight w:val="white"/>
              </w:rPr>
            </w:r>
            <w:r>
              <w:rPr>
                <w:rFonts w:ascii="Times New Roman" w:hAnsi="Times New Roman" w:cs="Times New Roman"/>
                <w:highlight w:val="white"/>
              </w:rPr>
            </w:r>
          </w:p>
        </w:tc>
        <w:tc>
          <w:tcPr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left w:w="100" w:type="dxa"/>
              <w:top w:w="80" w:type="dxa"/>
              <w:right w:w="100" w:type="dxa"/>
              <w:bottom w:w="80" w:type="dxa"/>
            </w:tcMar>
            <w:tcW w:w="1865" w:type="dxa"/>
            <w:textDirection w:val="lrTb"/>
            <w:noWrap w:val="false"/>
          </w:tcPr>
          <w:p>
            <w:pPr>
              <w:pBdr/>
              <w:spacing w:after="0" w:before="40" w:line="276" w:lineRule="auto"/>
              <w:ind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xml:space="preserve">Демонстрація інструкцій, інструктажів під час оцінювання.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  <w:tc>
          <w:tcPr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left w:w="100" w:type="dxa"/>
              <w:top w:w="80" w:type="dxa"/>
              <w:right w:w="100" w:type="dxa"/>
              <w:bottom w:w="80" w:type="dxa"/>
            </w:tcMar>
            <w:tcW w:w="1579" w:type="dxa"/>
            <w:textDirection w:val="lrTb"/>
            <w:noWrap w:val="false"/>
          </w:tcPr>
          <w:p>
            <w:pPr>
              <w:pBdr/>
              <w:spacing w:after="0" w:before="40" w:line="276" w:lineRule="auto"/>
              <w:ind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xml:space="preserve">м. Запоріжжя, вул. Незалежної України, 57А, підвальне приміщення літ. А-4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  <w:tc>
          <w:tcPr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left w:w="100" w:type="dxa"/>
              <w:top w:w="80" w:type="dxa"/>
              <w:right w:w="100" w:type="dxa"/>
              <w:bottom w:w="80" w:type="dxa"/>
            </w:tcMar>
            <w:tcW w:w="1627" w:type="dxa"/>
            <w:textDirection w:val="lrTb"/>
            <w:noWrap w:val="false"/>
          </w:tcPr>
          <w:p>
            <w:pPr>
              <w:pBdr/>
              <w:spacing w:after="0" w:before="40" w:line="276" w:lineRule="auto"/>
              <w:ind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xml:space="preserve">КЗ «ЗОІППО» ЗОР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  <w:tc>
          <w:tcPr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left w:w="100" w:type="dxa"/>
              <w:top w:w="80" w:type="dxa"/>
              <w:right w:w="100" w:type="dxa"/>
              <w:bottom w:w="80" w:type="dxa"/>
            </w:tcMar>
            <w:tcW w:w="1600" w:type="dxa"/>
            <w:textDirection w:val="lrTb"/>
            <w:noWrap w:val="false"/>
          </w:tcPr>
          <w:p>
            <w:pPr>
              <w:pBdr/>
              <w:spacing w:after="0" w:before="40" w:line="276" w:lineRule="auto"/>
              <w:ind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xml:space="preserve">Власність закладу, без строку дії</w:t>
            </w:r>
            <w:r>
              <w:rPr>
                <w:rFonts w:ascii="Times New Roman" w:hAnsi="Times New Roman" w:eastAsia="Times New Roman" w:cs="Times New Roman"/>
                <w:sz w:val="20"/>
                <w:lang w:val="uk-UA"/>
              </w:rPr>
              <w:t xml:space="preserve">, інв №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</w:tr>
      <w:tr>
        <w:trPr/>
        <w:tc>
          <w:tcPr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left w:w="100" w:type="dxa"/>
              <w:top w:w="80" w:type="dxa"/>
              <w:right w:w="100" w:type="dxa"/>
              <w:bottom w:w="80" w:type="dxa"/>
            </w:tcMar>
            <w:tcW w:w="809" w:type="dxa"/>
            <w:textDirection w:val="lrTb"/>
            <w:noWrap w:val="false"/>
          </w:tcPr>
          <w:p>
            <w:pPr>
              <w:pBdr/>
              <w:spacing w:after="0" w:before="40" w:line="276" w:lineRule="auto"/>
              <w:ind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xml:space="preserve">4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  <w:tc>
          <w:tcPr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left w:w="100" w:type="dxa"/>
              <w:top w:w="80" w:type="dxa"/>
              <w:right w:w="100" w:type="dxa"/>
              <w:bottom w:w="80" w:type="dxa"/>
            </w:tcMar>
            <w:tcW w:w="2693" w:type="dxa"/>
            <w:textDirection w:val="lrTb"/>
            <w:noWrap w:val="false"/>
          </w:tcPr>
          <w:p>
            <w:pPr>
              <w:pBdr/>
              <w:spacing w:after="0" w:before="40" w:line="276" w:lineRule="auto"/>
              <w:ind/>
              <w:rPr>
                <w:rFonts w:ascii="Times New Roman" w:hAnsi="Times New Roman" w:cs="Times New Roman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sz w:val="20"/>
                <w:highlight w:val="white"/>
              </w:rPr>
              <w:t xml:space="preserve">Меблі офісні (столи робочі - 8 од., стільці - 24 од.)</w:t>
            </w:r>
            <w:r>
              <w:rPr>
                <w:rFonts w:ascii="Times New Roman" w:hAnsi="Times New Roman" w:cs="Times New Roman"/>
                <w:highlight w:val="white"/>
              </w:rPr>
            </w:r>
            <w:r>
              <w:rPr>
                <w:rFonts w:ascii="Times New Roman" w:hAnsi="Times New Roman" w:cs="Times New Roman"/>
                <w:highlight w:val="white"/>
              </w:rPr>
            </w:r>
          </w:p>
        </w:tc>
        <w:tc>
          <w:tcPr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left w:w="100" w:type="dxa"/>
              <w:top w:w="80" w:type="dxa"/>
              <w:right w:w="100" w:type="dxa"/>
              <w:bottom w:w="80" w:type="dxa"/>
            </w:tcMar>
            <w:tcW w:w="1865" w:type="dxa"/>
            <w:textDirection w:val="lrTb"/>
            <w:noWrap w:val="false"/>
          </w:tcPr>
          <w:p>
            <w:pPr>
              <w:pBdr/>
              <w:spacing w:after="0" w:before="40" w:line="276" w:lineRule="auto"/>
              <w:ind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xml:space="preserve">Для зручного розташування здобувачів та членів комісії під час проведення теоретичного та практичного оцінювання.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  <w:tc>
          <w:tcPr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left w:w="100" w:type="dxa"/>
              <w:top w:w="80" w:type="dxa"/>
              <w:right w:w="100" w:type="dxa"/>
              <w:bottom w:w="80" w:type="dxa"/>
            </w:tcMar>
            <w:tcW w:w="1579" w:type="dxa"/>
            <w:textDirection w:val="lrTb"/>
            <w:noWrap w:val="false"/>
          </w:tcPr>
          <w:p>
            <w:pPr>
              <w:pBdr/>
              <w:spacing w:after="0" w:before="40" w:line="276" w:lineRule="auto"/>
              <w:ind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xml:space="preserve">м. Запоріжжя, вул. Незалежної України, 57А, підвальне приміщення літ. А-4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  <w:tc>
          <w:tcPr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left w:w="100" w:type="dxa"/>
              <w:top w:w="80" w:type="dxa"/>
              <w:right w:w="100" w:type="dxa"/>
              <w:bottom w:w="80" w:type="dxa"/>
            </w:tcMar>
            <w:tcW w:w="1627" w:type="dxa"/>
            <w:textDirection w:val="lrTb"/>
            <w:noWrap w:val="false"/>
          </w:tcPr>
          <w:p>
            <w:pPr>
              <w:pBdr/>
              <w:spacing w:after="0" w:before="40" w:line="276" w:lineRule="auto"/>
              <w:ind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xml:space="preserve">КЗ «ЗОІППО» ЗОР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  <w:tc>
          <w:tcPr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left w:w="100" w:type="dxa"/>
              <w:top w:w="80" w:type="dxa"/>
              <w:right w:w="100" w:type="dxa"/>
              <w:bottom w:w="80" w:type="dxa"/>
            </w:tcMar>
            <w:tcW w:w="1600" w:type="dxa"/>
            <w:textDirection w:val="lrTb"/>
            <w:noWrap w:val="false"/>
          </w:tcPr>
          <w:p>
            <w:pPr>
              <w:pBdr/>
              <w:spacing w:after="0" w:before="40" w:line="276" w:lineRule="auto"/>
              <w:ind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xml:space="preserve">Власність закладу, без строку дії</w:t>
            </w:r>
            <w:r>
              <w:rPr>
                <w:rFonts w:ascii="Times New Roman" w:hAnsi="Times New Roman" w:eastAsia="Times New Roman" w:cs="Times New Roman"/>
                <w:sz w:val="20"/>
                <w:lang w:val="uk-UA"/>
              </w:rPr>
              <w:t xml:space="preserve">, інв №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</w:tr>
      <w:tr>
        <w:trPr/>
        <w:tc>
          <w:tcPr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left w:w="100" w:type="dxa"/>
              <w:top w:w="80" w:type="dxa"/>
              <w:right w:w="100" w:type="dxa"/>
              <w:bottom w:w="80" w:type="dxa"/>
            </w:tcMar>
            <w:tcW w:w="809" w:type="dxa"/>
            <w:textDirection w:val="lrTb"/>
            <w:noWrap w:val="false"/>
          </w:tcPr>
          <w:p>
            <w:pPr>
              <w:pBdr/>
              <w:spacing w:after="0" w:before="40" w:line="276" w:lineRule="auto"/>
              <w:ind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xml:space="preserve">5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  <w:tc>
          <w:tcPr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left w:w="100" w:type="dxa"/>
              <w:top w:w="80" w:type="dxa"/>
              <w:right w:w="100" w:type="dxa"/>
              <w:bottom w:w="80" w:type="dxa"/>
            </w:tcMar>
            <w:tcW w:w="2693" w:type="dxa"/>
            <w:textDirection w:val="lrTb"/>
            <w:noWrap w:val="false"/>
          </w:tcPr>
          <w:p>
            <w:pPr>
              <w:pBdr/>
              <w:spacing w:after="0" w:before="40" w:line="276" w:lineRule="auto"/>
              <w:ind/>
              <w:rPr>
                <w:rFonts w:ascii="Times New Roman" w:hAnsi="Times New Roman" w:cs="Times New Roman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sz w:val="20"/>
                <w:highlight w:val="white"/>
              </w:rPr>
              <w:t xml:space="preserve">Сейф металевий</w:t>
            </w:r>
            <w:r>
              <w:rPr>
                <w:rFonts w:ascii="Times New Roman" w:hAnsi="Times New Roman" w:cs="Times New Roman"/>
                <w:highlight w:val="white"/>
              </w:rPr>
            </w:r>
            <w:r>
              <w:rPr>
                <w:rFonts w:ascii="Times New Roman" w:hAnsi="Times New Roman" w:cs="Times New Roman"/>
                <w:highlight w:val="white"/>
              </w:rPr>
            </w:r>
          </w:p>
        </w:tc>
        <w:tc>
          <w:tcPr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left w:w="100" w:type="dxa"/>
              <w:top w:w="80" w:type="dxa"/>
              <w:right w:w="100" w:type="dxa"/>
              <w:bottom w:w="80" w:type="dxa"/>
            </w:tcMar>
            <w:tcW w:w="1865" w:type="dxa"/>
            <w:textDirection w:val="lrTb"/>
            <w:noWrap w:val="false"/>
          </w:tcPr>
          <w:p>
            <w:pPr>
              <w:pBdr/>
              <w:spacing w:after="0" w:before="40" w:line="276" w:lineRule="auto"/>
              <w:ind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xml:space="preserve">Для надійного та безпечного зберігання конфіденційних матеріалів.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  <w:tc>
          <w:tcPr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left w:w="100" w:type="dxa"/>
              <w:top w:w="80" w:type="dxa"/>
              <w:right w:w="100" w:type="dxa"/>
              <w:bottom w:w="80" w:type="dxa"/>
            </w:tcMar>
            <w:tcW w:w="1579" w:type="dxa"/>
            <w:textDirection w:val="lrTb"/>
            <w:noWrap w:val="false"/>
          </w:tcPr>
          <w:p>
            <w:pPr>
              <w:pBdr/>
              <w:spacing w:after="0" w:before="40" w:line="276" w:lineRule="auto"/>
              <w:ind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xml:space="preserve">м. Запоріжжя, вул. Незалежної України, 57А, підвальне приміщення літ. А-4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  <w:tc>
          <w:tcPr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left w:w="100" w:type="dxa"/>
              <w:top w:w="80" w:type="dxa"/>
              <w:right w:w="100" w:type="dxa"/>
              <w:bottom w:w="80" w:type="dxa"/>
            </w:tcMar>
            <w:tcW w:w="1627" w:type="dxa"/>
            <w:textDirection w:val="lrTb"/>
            <w:noWrap w:val="false"/>
          </w:tcPr>
          <w:p>
            <w:pPr>
              <w:pBdr/>
              <w:spacing w:after="0" w:before="40" w:line="276" w:lineRule="auto"/>
              <w:ind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xml:space="preserve">КЗ «ЗОІППО» ЗОР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  <w:tc>
          <w:tcPr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left w:w="100" w:type="dxa"/>
              <w:top w:w="80" w:type="dxa"/>
              <w:right w:w="100" w:type="dxa"/>
              <w:bottom w:w="80" w:type="dxa"/>
            </w:tcMar>
            <w:tcW w:w="1600" w:type="dxa"/>
            <w:textDirection w:val="lrTb"/>
            <w:noWrap w:val="false"/>
          </w:tcPr>
          <w:p>
            <w:pPr>
              <w:pBdr/>
              <w:spacing w:after="0" w:before="40" w:line="276" w:lineRule="auto"/>
              <w:ind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xml:space="preserve">Власність закладу, без строку дії</w:t>
            </w:r>
            <w:r>
              <w:rPr>
                <w:rFonts w:ascii="Times New Roman" w:hAnsi="Times New Roman" w:eastAsia="Times New Roman" w:cs="Times New Roman"/>
                <w:sz w:val="20"/>
                <w:lang w:val="uk-UA"/>
              </w:rPr>
              <w:t xml:space="preserve">, Інв №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</w:tr>
      <w:tr>
        <w:trPr/>
        <w:tc>
          <w:tcPr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left w:w="100" w:type="dxa"/>
              <w:top w:w="80" w:type="dxa"/>
              <w:right w:w="100" w:type="dxa"/>
              <w:bottom w:w="80" w:type="dxa"/>
            </w:tcMar>
            <w:tcW w:w="809" w:type="dxa"/>
            <w:textDirection w:val="lrTb"/>
            <w:noWrap w:val="false"/>
          </w:tcPr>
          <w:p>
            <w:pPr>
              <w:pBdr/>
              <w:spacing w:after="0" w:before="40" w:line="276" w:lineRule="auto"/>
              <w:ind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sz w:val="20"/>
                <w:lang w:val="uk-UA"/>
              </w:rPr>
              <w:t xml:space="preserve">6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  <w:tc>
          <w:tcPr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left w:w="100" w:type="dxa"/>
              <w:top w:w="80" w:type="dxa"/>
              <w:right w:w="100" w:type="dxa"/>
              <w:bottom w:w="80" w:type="dxa"/>
            </w:tcMar>
            <w:tcW w:w="2693" w:type="dxa"/>
            <w:textDirection w:val="lrTb"/>
            <w:noWrap w:val="false"/>
          </w:tcPr>
          <w:p>
            <w:pPr>
              <w:pBdr/>
              <w:spacing w:after="0" w:before="40" w:line="276" w:lineRule="auto"/>
              <w:ind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xml:space="preserve">Приміщення Кваліфікаційного центру (загальна площа 658.5 кв. м)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  <w:tc>
          <w:tcPr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left w:w="100" w:type="dxa"/>
              <w:top w:w="80" w:type="dxa"/>
              <w:right w:w="100" w:type="dxa"/>
              <w:bottom w:w="80" w:type="dxa"/>
            </w:tcMar>
            <w:tcW w:w="1865" w:type="dxa"/>
            <w:textDirection w:val="lrTb"/>
            <w:noWrap w:val="false"/>
          </w:tcPr>
          <w:p>
            <w:pPr>
              <w:pBdr/>
              <w:spacing w:after="0" w:before="40" w:line="276" w:lineRule="auto"/>
              <w:ind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xml:space="preserve">Для розташування робочих місць та безпосереднього проведення процедур оцінювання кандидатів в безпечних умовах.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  <w:tc>
          <w:tcPr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left w:w="100" w:type="dxa"/>
              <w:top w:w="80" w:type="dxa"/>
              <w:right w:w="100" w:type="dxa"/>
              <w:bottom w:w="80" w:type="dxa"/>
            </w:tcMar>
            <w:tcW w:w="1579" w:type="dxa"/>
            <w:textDirection w:val="lrTb"/>
            <w:noWrap w:val="false"/>
          </w:tcPr>
          <w:p>
            <w:pPr>
              <w:pBdr/>
              <w:spacing w:after="0" w:before="40" w:line="276" w:lineRule="auto"/>
              <w:ind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xml:space="preserve">м. Запоріжжя, вул. Незалежної України, 57А, підвальне приміщення літ. А-4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  <w:tc>
          <w:tcPr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left w:w="100" w:type="dxa"/>
              <w:top w:w="80" w:type="dxa"/>
              <w:right w:w="100" w:type="dxa"/>
              <w:bottom w:w="80" w:type="dxa"/>
            </w:tcMar>
            <w:tcW w:w="1627" w:type="dxa"/>
            <w:textDirection w:val="lrTb"/>
            <w:noWrap w:val="false"/>
          </w:tcPr>
          <w:p>
            <w:pPr>
              <w:pBdr/>
              <w:spacing w:after="0" w:before="40" w:line="276" w:lineRule="auto"/>
              <w:ind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xml:space="preserve">КЗ «ЗОІППО» ЗОР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  <w:tc>
          <w:tcPr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left w:w="100" w:type="dxa"/>
              <w:top w:w="80" w:type="dxa"/>
              <w:right w:w="100" w:type="dxa"/>
              <w:bottom w:w="80" w:type="dxa"/>
            </w:tcMar>
            <w:tcW w:w="1600" w:type="dxa"/>
            <w:textDirection w:val="lrTb"/>
            <w:noWrap w:val="false"/>
          </w:tcPr>
          <w:p>
            <w:pPr>
              <w:pBdr/>
              <w:spacing w:after="0" w:before="40" w:line="276" w:lineRule="auto"/>
              <w:ind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xml:space="preserve">Власність закладу на підставі свідоцтва про право власності, без строку дії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</w:tr>
    </w:tbl>
    <w:p>
      <w:pPr>
        <w:pBdr/>
        <w:spacing w:after="0" w:before="0" w:line="276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pBdr/>
        <w:spacing w:after="0" w:before="0" w:line="276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b/>
          <w:i w:val="0"/>
          <w:sz w:val="22"/>
        </w:rPr>
        <w:t xml:space="preserve">Керівник (уповноважена особа)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tbl>
      <w:tblPr>
        <w:jc w:val="center"/>
        <w:tblW w:w="0" w:type="auto"/>
        <w:tblBorders/>
        <w:tblLook w:val="04A0" w:firstRow="1" w:lastRow="0" w:firstColumn="1" w:lastColumn="0" w:noHBand="0" w:noVBand="1"/>
      </w:tblPr>
      <w:tblGrid>
        <w:gridCol w:w="3324"/>
        <w:gridCol w:w="3324"/>
        <w:gridCol w:w="3324"/>
      </w:tblGrid>
      <w:tr>
        <w:trPr/>
        <w:tc>
          <w:tcPr>
            <w:tcBorders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</w:tcBorders>
            <w:tcMar>
              <w:left w:w="50" w:type="dxa"/>
              <w:top w:w="0" w:type="dxa"/>
              <w:right w:w="50" w:type="dxa"/>
              <w:bottom w:w="0" w:type="dxa"/>
            </w:tcMar>
            <w:tcW w:w="3324" w:type="dxa"/>
            <w:textDirection w:val="lrTb"/>
            <w:noWrap w:val="false"/>
          </w:tcPr>
          <w:p>
            <w:pPr>
              <w:pBdr/>
              <w:spacing w:after="0"/>
              <w:ind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 xml:space="preserve">Ректор КЗ «ЗОІППО» ЗОР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  <w:tc>
          <w:tcPr>
            <w:tcBorders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</w:tcBorders>
            <w:tcMar>
              <w:left w:w="50" w:type="dxa"/>
              <w:top w:w="0" w:type="dxa"/>
              <w:right w:w="50" w:type="dxa"/>
              <w:bottom w:w="0" w:type="dxa"/>
            </w:tcMar>
            <w:tcW w:w="3324" w:type="dxa"/>
            <w:textDirection w:val="lrTb"/>
            <w:noWrap w:val="false"/>
          </w:tcPr>
          <w:p>
            <w:pPr>
              <w:pBdr/>
              <w:spacing w:after="0"/>
              <w:ind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 xml:space="preserve">____________________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  <w:tc>
          <w:tcPr>
            <w:tcBorders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</w:tcBorders>
            <w:tcMar>
              <w:left w:w="50" w:type="dxa"/>
              <w:top w:w="0" w:type="dxa"/>
              <w:right w:w="50" w:type="dxa"/>
              <w:bottom w:w="0" w:type="dxa"/>
            </w:tcMar>
            <w:tcW w:w="3324" w:type="dxa"/>
            <w:textDirection w:val="lrTb"/>
            <w:noWrap w:val="false"/>
          </w:tcPr>
          <w:p>
            <w:pPr>
              <w:pBdr/>
              <w:spacing w:after="0"/>
              <w:ind/>
              <w:jc w:val="righ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 xml:space="preserve">Е.А. ГУГНІН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</w:tr>
    </w:tbl>
    <w:p>
      <w:pPr>
        <w:pBdr/>
        <w:spacing w:after="0" w:before="40" w:line="276" w:lineRule="auto"/>
        <w:ind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i/>
          <w:sz w:val="18"/>
        </w:rPr>
        <w:t xml:space="preserve"> </w:t>
      </w:r>
      <w:r>
        <w:rPr>
          <w:rFonts w:ascii="Times New Roman" w:hAnsi="Times New Roman" w:eastAsia="Times New Roman" w:cs="Times New Roman"/>
          <w:i/>
          <w:sz w:val="18"/>
          <w:lang w:val="uk-UA"/>
        </w:rPr>
        <w:t xml:space="preserve">                                                  </w:t>
      </w:r>
      <w:r>
        <w:rPr>
          <w:rFonts w:ascii="Times New Roman" w:hAnsi="Times New Roman" w:eastAsia="Times New Roman" w:cs="Times New Roman"/>
          <w:i/>
          <w:sz w:val="18"/>
        </w:rPr>
        <w:t xml:space="preserve">          </w:t>
      </w:r>
      <w:r>
        <w:rPr>
          <w:rFonts w:ascii="Times New Roman" w:hAnsi="Times New Roman" w:eastAsia="Times New Roman" w:cs="Times New Roman"/>
          <w:i/>
          <w:sz w:val="18"/>
          <w:lang w:val="uk-UA"/>
        </w:rPr>
        <w:t xml:space="preserve">                              </w:t>
      </w:r>
      <w:r>
        <w:rPr>
          <w:rFonts w:ascii="Times New Roman" w:hAnsi="Times New Roman" w:eastAsia="Times New Roman" w:cs="Times New Roman"/>
          <w:i/>
          <w:sz w:val="18"/>
        </w:rPr>
        <w:t xml:space="preserve">          (підпис)                              </w:t>
      </w:r>
      <w:r>
        <w:rPr>
          <w:rFonts w:ascii="Times New Roman" w:hAnsi="Times New Roman" w:eastAsia="Times New Roman" w:cs="Times New Roman"/>
          <w:i/>
          <w:sz w:val="18"/>
          <w:lang w:val="uk-UA"/>
        </w:rPr>
        <w:t xml:space="preserve">                                 </w:t>
      </w:r>
      <w:r>
        <w:rPr>
          <w:rFonts w:ascii="Times New Roman" w:hAnsi="Times New Roman" w:eastAsia="Times New Roman" w:cs="Times New Roman"/>
          <w:i/>
          <w:sz w:val="18"/>
        </w:rPr>
        <w:t xml:space="preserve"> (прізвище, ініціали)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pBdr/>
        <w:spacing w:after="0" w:before="0" w:line="276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b/>
          <w:i w:val="0"/>
          <w:sz w:val="22"/>
        </w:rPr>
        <w:t xml:space="preserve">"___" ____________ 2026 р.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pBdr/>
        <w:spacing w:after="0" w:before="0" w:line="276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b/>
          <w:i w:val="0"/>
          <w:sz w:val="22"/>
        </w:rPr>
        <w:t xml:space="preserve">М.П.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pBdr/>
        <w:spacing w:after="0" w:before="240" w:line="276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b/>
          <w:i w:val="0"/>
          <w:sz w:val="20"/>
        </w:rPr>
        <w:t xml:space="preserve">Примітка: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pBdr/>
        <w:spacing w:after="0" w:before="0" w:line="276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b/>
          <w:i w:val="0"/>
          <w:sz w:val="19"/>
        </w:rPr>
        <w:t xml:space="preserve">1. </w:t>
      </w:r>
      <w:r>
        <w:rPr>
          <w:rFonts w:ascii="Times New Roman" w:hAnsi="Times New Roman" w:eastAsia="Times New Roman" w:cs="Times New Roman"/>
          <w:b w:val="0"/>
          <w:i w:val="0"/>
          <w:sz w:val="19"/>
        </w:rPr>
        <w:t xml:space="preserve">Зазначена в таблиці 3 інформація включає основні засоби (матеріальні активи, які кваліфікаційний центр або його відокремлен</w:t>
      </w:r>
      <w:r>
        <w:rPr>
          <w:rFonts w:ascii="Times New Roman" w:hAnsi="Times New Roman" w:eastAsia="Times New Roman" w:cs="Times New Roman"/>
          <w:b w:val="0"/>
          <w:i w:val="0"/>
          <w:sz w:val="19"/>
        </w:rPr>
        <w:t xml:space="preserve">ий підрозділ утримує з метою використання їх у процесі виробництва або постачання товарів, надання послуг, здавання в оренду іншим особам або для здійснення адміністративних і соціально-культурних функцій, очікуваний строк корисного використання (експлуата</w:t>
      </w:r>
      <w:r>
        <w:rPr>
          <w:rFonts w:ascii="Times New Roman" w:hAnsi="Times New Roman" w:eastAsia="Times New Roman" w:cs="Times New Roman"/>
          <w:b w:val="0"/>
          <w:i w:val="0"/>
          <w:sz w:val="19"/>
        </w:rPr>
        <w:t xml:space="preserve">ції) яких становить більше одного року або операційного циклу, якщо він довший за рік), не включає витратні та малоцінні матеріали та ручний інструмент; повинна підтверджуватися копіями документів, які засвідчують право власності, користування обладнанням.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pBdr/>
        <w:spacing w:after="0" w:before="0" w:line="276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b/>
          <w:i w:val="0"/>
          <w:sz w:val="19"/>
        </w:rPr>
        <w:t xml:space="preserve">2. </w:t>
      </w:r>
      <w:r>
        <w:rPr>
          <w:rFonts w:ascii="Times New Roman" w:hAnsi="Times New Roman" w:eastAsia="Times New Roman" w:cs="Times New Roman"/>
          <w:b w:val="0"/>
          <w:i w:val="0"/>
          <w:sz w:val="19"/>
        </w:rPr>
        <w:t xml:space="preserve">Вимоги до рівня безпеки здобувача під час проведення процедур оцінювання забезпечує кваліфікаційний центр.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pBdr/>
        <w:spacing w:after="0" w:before="0" w:line="276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b/>
          <w:i w:val="0"/>
          <w:sz w:val="19"/>
        </w:rPr>
        <w:t xml:space="preserve">3. </w:t>
      </w:r>
      <w:r>
        <w:rPr>
          <w:rFonts w:ascii="Times New Roman" w:hAnsi="Times New Roman" w:eastAsia="Times New Roman" w:cs="Times New Roman"/>
          <w:b w:val="0"/>
          <w:i w:val="0"/>
          <w:sz w:val="19"/>
        </w:rPr>
        <w:t xml:space="preserve">У звіті експертна комісія зазначає бали за кожною з трьох таблиць, що містяться у цих відомостях.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sectPr>
      <w:footnotePr/>
      <w:endnotePr/>
      <w:type w:val="nextPage"/>
      <w:pgSz w:h="15840" w:orient="portrait" w:w="12240"/>
      <w:pgMar w:top="1134" w:right="850" w:bottom="1134" w:left="1417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</w:font>
  <w:font w:name="Symbol">
    <w:panose1 w:val="05010000000000000000"/>
  </w:font>
  <w:font w:name="Courier">
    <w:panose1 w:val="020703090202050204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7C"/>
    <w:lvl w:ilvl="0">
      <w:isLgl w:val="false"/>
      <w:lvlJc w:val="left"/>
      <w:lvlText w:val="%1."/>
      <w:numFmt w:val="decimal"/>
      <w:pPr>
        <w:pBdr/>
        <w:tabs>
          <w:tab w:val="num" w:leader="none" w:pos="1800"/>
        </w:tabs>
        <w:spacing/>
        <w:ind w:hanging="360" w:left="180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">
    <w:nsid w:val="FFFFFF7D"/>
    <w:lvl w:ilvl="0">
      <w:isLgl w:val="false"/>
      <w:lvlJc w:val="left"/>
      <w:lvlText w:val="%1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">
    <w:nsid w:val="FFFFFF7E"/>
    <w:lvl w:ilvl="0">
      <w:isLgl w:val="false"/>
      <w:lvlJc w:val="left"/>
      <w:lvlText w:val="%1."/>
      <w:numFmt w:val="decimal"/>
      <w:pPr>
        <w:pBdr/>
        <w:tabs>
          <w:tab w:val="num" w:leader="none" w:pos="1080"/>
        </w:tabs>
        <w:spacing/>
        <w:ind w:hanging="360" w:left="1080"/>
      </w:pPr>
      <w:pStyle w:val="909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3">
    <w:nsid w:val="FFFFFF7F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pStyle w:val="908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4">
    <w:nsid w:val="FFFFFF81"/>
    <w:lvl w:ilvl="0">
      <w:isLgl w:val="false"/>
      <w:lvlJc w:val="left"/>
      <w:lvlText w:val="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5">
    <w:nsid w:val="FFFFFF82"/>
    <w:lvl w:ilvl="0">
      <w:isLgl w:val="false"/>
      <w:lvlJc w:val="left"/>
      <w:lvlText w:val=""/>
      <w:numFmt w:val="bullet"/>
      <w:pPr>
        <w:pBdr/>
        <w:tabs>
          <w:tab w:val="num" w:leader="none" w:pos="1080"/>
        </w:tabs>
        <w:spacing/>
        <w:ind w:hanging="360" w:left="1080"/>
      </w:pPr>
      <w:pStyle w:val="906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6">
    <w:nsid w:val="FFFFFF83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pStyle w:val="905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7">
    <w:nsid w:val="FFFFFF88"/>
    <w:lvl w:ilvl="0">
      <w:isLgl w:val="false"/>
      <w:lvlJc w:val="left"/>
      <w:lvlText w:val="%1."/>
      <w:numFmt w:val="decimal"/>
      <w:pPr>
        <w:pBdr/>
        <w:tabs>
          <w:tab w:val="num" w:leader="none" w:pos="360"/>
        </w:tabs>
        <w:spacing/>
        <w:ind w:hanging="360" w:left="360"/>
      </w:pPr>
      <w:pStyle w:val="907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8">
    <w:nsid w:val="FFFFFF89"/>
    <w:lvl w:ilvl="0">
      <w:isLgl w:val="false"/>
      <w:lvlJc w:val="left"/>
      <w:lvlText w:val=""/>
      <w:numFmt w:val="bullet"/>
      <w:pPr>
        <w:pBdr/>
        <w:tabs>
          <w:tab w:val="num" w:leader="none" w:pos="360"/>
        </w:tabs>
        <w:spacing/>
        <w:ind w:hanging="360" w:left="360"/>
      </w:pPr>
      <w:pStyle w:val="904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seFELayout w:val="true"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EastAsia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25">
    <w:name w:val="Table Grid Light"/>
    <w:basedOn w:val="88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Plain Table 1"/>
    <w:basedOn w:val="88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Plain Table 2"/>
    <w:basedOn w:val="88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Plain Table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Plain Table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Plain Table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1 Light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1 Light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1 Light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1 Light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1 Light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1 Light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1 Light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2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2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2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2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2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2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3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3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3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3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3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3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4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4 - Accent 1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4 - Accent 2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4 - Accent 3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4 - Accent 4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4 - Accent 5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4 - Accent 6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5 Dark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5 Dark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5 Dark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5 Dark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5 Dark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5 Dark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5 Dark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6 Colorful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6 Colorful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6 Colorful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6 Colorful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6 Colorful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6 Colorful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6 Colorful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7 Colorful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7 Colorful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7 Colorful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7 Colorful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7 Colorful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7 Colorful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7 Colorful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1 Light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1 Light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1 Light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1 Light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1 Light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1 Light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1 Light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2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2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2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2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2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2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3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3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3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3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3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3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4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4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4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4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4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4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5 Dark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5 Dark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5 Dark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5 Dark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5 Dark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5 Dark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5 Dark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6 Colorful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6 Colorful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6 Colorful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6 Colorful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6 Colorful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6 Colorful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6 Colorful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7 Colorful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7 Colorful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7 Colorful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7 Colorful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7 Colorful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7 Colorful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7 Colorful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ned - Accent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ned - Accent 1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ned - Accent 2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ned - Accent 3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ned - Accent 4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ned - Accent 5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ned - Accent 6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Bordered &amp; Lined - Accent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Bordered &amp; Lined - Accent 1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Bordered &amp; Lined - Accent 2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Bordered &amp; Lined - Accent 3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Bordered &amp; Lined - Accent 4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Bordered &amp; Lined - Accent 5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Bordered &amp; Lined - Accent 6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Bordered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Bordered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Bordered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Bordered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Bordered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Bordered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Bordered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50">
    <w:name w:val="footnote text"/>
    <w:basedOn w:val="869"/>
    <w:link w:val="851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51">
    <w:name w:val="Footnote Text Char"/>
    <w:basedOn w:val="883"/>
    <w:link w:val="850"/>
    <w:uiPriority w:val="99"/>
    <w:semiHidden/>
    <w:pPr>
      <w:pBdr/>
      <w:spacing/>
      <w:ind/>
    </w:pPr>
    <w:rPr>
      <w:sz w:val="20"/>
      <w:szCs w:val="20"/>
    </w:rPr>
  </w:style>
  <w:style w:type="character" w:styleId="852">
    <w:name w:val="footnote reference"/>
    <w:basedOn w:val="883"/>
    <w:uiPriority w:val="99"/>
    <w:semiHidden/>
    <w:unhideWhenUsed/>
    <w:pPr>
      <w:pBdr/>
      <w:spacing/>
      <w:ind/>
    </w:pPr>
    <w:rPr>
      <w:vertAlign w:val="superscript"/>
    </w:rPr>
  </w:style>
  <w:style w:type="paragraph" w:styleId="853">
    <w:name w:val="endnote text"/>
    <w:basedOn w:val="869"/>
    <w:link w:val="854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54">
    <w:name w:val="Endnote Text Char"/>
    <w:basedOn w:val="883"/>
    <w:link w:val="853"/>
    <w:uiPriority w:val="99"/>
    <w:semiHidden/>
    <w:pPr>
      <w:pBdr/>
      <w:spacing/>
      <w:ind/>
    </w:pPr>
    <w:rPr>
      <w:sz w:val="20"/>
      <w:szCs w:val="20"/>
    </w:rPr>
  </w:style>
  <w:style w:type="character" w:styleId="855">
    <w:name w:val="endnote reference"/>
    <w:basedOn w:val="883"/>
    <w:uiPriority w:val="99"/>
    <w:semiHidden/>
    <w:unhideWhenUsed/>
    <w:pPr>
      <w:pBdr/>
      <w:spacing/>
      <w:ind/>
    </w:pPr>
    <w:rPr>
      <w:vertAlign w:val="superscript"/>
    </w:rPr>
  </w:style>
  <w:style w:type="character" w:styleId="856">
    <w:name w:val="Hyperlink"/>
    <w:basedOn w:val="883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57">
    <w:name w:val="FollowedHyperlink"/>
    <w:basedOn w:val="883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58">
    <w:name w:val="toc 1"/>
    <w:basedOn w:val="869"/>
    <w:next w:val="869"/>
    <w:uiPriority w:val="39"/>
    <w:unhideWhenUsed/>
    <w:pPr>
      <w:pBdr/>
      <w:spacing w:after="100"/>
      <w:ind/>
    </w:pPr>
  </w:style>
  <w:style w:type="paragraph" w:styleId="859">
    <w:name w:val="toc 2"/>
    <w:basedOn w:val="869"/>
    <w:next w:val="869"/>
    <w:uiPriority w:val="39"/>
    <w:unhideWhenUsed/>
    <w:pPr>
      <w:pBdr/>
      <w:spacing w:after="100"/>
      <w:ind w:left="220"/>
    </w:pPr>
  </w:style>
  <w:style w:type="paragraph" w:styleId="860">
    <w:name w:val="toc 3"/>
    <w:basedOn w:val="869"/>
    <w:next w:val="869"/>
    <w:uiPriority w:val="39"/>
    <w:unhideWhenUsed/>
    <w:pPr>
      <w:pBdr/>
      <w:spacing w:after="100"/>
      <w:ind w:left="440"/>
    </w:pPr>
  </w:style>
  <w:style w:type="paragraph" w:styleId="861">
    <w:name w:val="toc 4"/>
    <w:basedOn w:val="869"/>
    <w:next w:val="869"/>
    <w:uiPriority w:val="39"/>
    <w:unhideWhenUsed/>
    <w:pPr>
      <w:pBdr/>
      <w:spacing w:after="100"/>
      <w:ind w:left="660"/>
    </w:pPr>
  </w:style>
  <w:style w:type="paragraph" w:styleId="862">
    <w:name w:val="toc 5"/>
    <w:basedOn w:val="869"/>
    <w:next w:val="869"/>
    <w:uiPriority w:val="39"/>
    <w:unhideWhenUsed/>
    <w:pPr>
      <w:pBdr/>
      <w:spacing w:after="100"/>
      <w:ind w:left="880"/>
    </w:pPr>
  </w:style>
  <w:style w:type="paragraph" w:styleId="863">
    <w:name w:val="toc 6"/>
    <w:basedOn w:val="869"/>
    <w:next w:val="869"/>
    <w:uiPriority w:val="39"/>
    <w:unhideWhenUsed/>
    <w:pPr>
      <w:pBdr/>
      <w:spacing w:after="100"/>
      <w:ind w:left="1100"/>
    </w:pPr>
  </w:style>
  <w:style w:type="paragraph" w:styleId="864">
    <w:name w:val="toc 7"/>
    <w:basedOn w:val="869"/>
    <w:next w:val="869"/>
    <w:uiPriority w:val="39"/>
    <w:unhideWhenUsed/>
    <w:pPr>
      <w:pBdr/>
      <w:spacing w:after="100"/>
      <w:ind w:left="1320"/>
    </w:pPr>
  </w:style>
  <w:style w:type="paragraph" w:styleId="865">
    <w:name w:val="toc 8"/>
    <w:basedOn w:val="869"/>
    <w:next w:val="869"/>
    <w:uiPriority w:val="39"/>
    <w:unhideWhenUsed/>
    <w:pPr>
      <w:pBdr/>
      <w:spacing w:after="100"/>
      <w:ind w:left="1540"/>
    </w:pPr>
  </w:style>
  <w:style w:type="paragraph" w:styleId="866">
    <w:name w:val="toc 9"/>
    <w:basedOn w:val="869"/>
    <w:next w:val="869"/>
    <w:uiPriority w:val="39"/>
    <w:unhideWhenUsed/>
    <w:pPr>
      <w:pBdr/>
      <w:spacing w:after="100"/>
      <w:ind w:left="1760"/>
    </w:pPr>
  </w:style>
  <w:style w:type="character" w:styleId="867">
    <w:name w:val="Placeholder Text"/>
    <w:basedOn w:val="883"/>
    <w:uiPriority w:val="99"/>
    <w:semiHidden/>
    <w:pPr>
      <w:pBdr/>
      <w:spacing/>
      <w:ind/>
    </w:pPr>
    <w:rPr>
      <w:color w:val="666666"/>
    </w:rPr>
  </w:style>
  <w:style w:type="paragraph" w:styleId="868">
    <w:name w:val="table of figures"/>
    <w:basedOn w:val="869"/>
    <w:next w:val="869"/>
    <w:uiPriority w:val="99"/>
    <w:unhideWhenUsed/>
    <w:pPr>
      <w:pBdr/>
      <w:spacing w:after="0" w:afterAutospacing="0"/>
      <w:ind/>
    </w:pPr>
  </w:style>
  <w:style w:type="paragraph" w:styleId="869" w:default="1">
    <w:name w:val="Normal"/>
    <w:qFormat/>
    <w:pPr>
      <w:pBdr/>
      <w:spacing/>
      <w:ind/>
    </w:pPr>
  </w:style>
  <w:style w:type="paragraph" w:styleId="870">
    <w:name w:val="Header"/>
    <w:basedOn w:val="869"/>
    <w:link w:val="871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871" w:customStyle="1">
    <w:name w:val="Header Char"/>
    <w:basedOn w:val="883"/>
    <w:link w:val="870"/>
    <w:uiPriority w:val="99"/>
    <w:pPr>
      <w:pBdr/>
      <w:spacing/>
      <w:ind/>
    </w:pPr>
  </w:style>
  <w:style w:type="paragraph" w:styleId="872">
    <w:name w:val="Footer"/>
    <w:basedOn w:val="869"/>
    <w:link w:val="873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873" w:customStyle="1">
    <w:name w:val="Footer Char"/>
    <w:basedOn w:val="883"/>
    <w:link w:val="872"/>
    <w:uiPriority w:val="99"/>
    <w:pPr>
      <w:pBdr/>
      <w:spacing/>
      <w:ind/>
    </w:pPr>
  </w:style>
  <w:style w:type="paragraph" w:styleId="874">
    <w:name w:val="Heading 1"/>
    <w:basedOn w:val="869"/>
    <w:next w:val="869"/>
    <w:link w:val="887"/>
    <w:uiPriority w:val="9"/>
    <w:qFormat/>
    <w:pPr>
      <w:keepNext w:val="true"/>
      <w:keepLines w:val="true"/>
      <w:pBdr/>
      <w:spacing w:after="0" w:before="480"/>
      <w:ind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875">
    <w:name w:val="Heading 2"/>
    <w:basedOn w:val="869"/>
    <w:next w:val="869"/>
    <w:link w:val="888"/>
    <w:uiPriority w:val="9"/>
    <w:unhideWhenUsed/>
    <w:qFormat/>
    <w:pPr>
      <w:keepNext w:val="true"/>
      <w:keepLines w:val="true"/>
      <w:pBdr/>
      <w:spacing w:after="0" w:before="200"/>
      <w:ind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876">
    <w:name w:val="Heading 3"/>
    <w:basedOn w:val="869"/>
    <w:next w:val="869"/>
    <w:link w:val="889"/>
    <w:uiPriority w:val="9"/>
    <w:unhideWhenUsed/>
    <w:qFormat/>
    <w:pPr>
      <w:keepNext w:val="true"/>
      <w:keepLines w:val="true"/>
      <w:pBdr/>
      <w:spacing w:after="0" w:before="200"/>
      <w:ind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877">
    <w:name w:val="Heading 4"/>
    <w:basedOn w:val="869"/>
    <w:next w:val="869"/>
    <w:link w:val="917"/>
    <w:uiPriority w:val="9"/>
    <w:semiHidden/>
    <w:unhideWhenUsed/>
    <w:qFormat/>
    <w:pPr>
      <w:keepNext w:val="true"/>
      <w:keepLines w:val="true"/>
      <w:pBdr/>
      <w:spacing w:after="0" w:before="200"/>
      <w:ind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878">
    <w:name w:val="Heading 5"/>
    <w:basedOn w:val="869"/>
    <w:next w:val="869"/>
    <w:link w:val="918"/>
    <w:uiPriority w:val="9"/>
    <w:semiHidden/>
    <w:unhideWhenUsed/>
    <w:qFormat/>
    <w:pPr>
      <w:keepNext w:val="true"/>
      <w:keepLines w:val="true"/>
      <w:pBdr/>
      <w:spacing w:after="0" w:before="200"/>
      <w:ind/>
      <w:outlineLvl w:val="4"/>
    </w:pPr>
    <w:rPr>
      <w:rFonts w:asciiTheme="majorHAnsi" w:hAnsiTheme="majorHAnsi" w:eastAsiaTheme="majorEastAsia" w:cstheme="majorBidi"/>
      <w:color w:val="243f60" w:themeColor="accent1" w:themeShade="7F"/>
    </w:rPr>
  </w:style>
  <w:style w:type="paragraph" w:styleId="879">
    <w:name w:val="Heading 6"/>
    <w:basedOn w:val="869"/>
    <w:next w:val="869"/>
    <w:link w:val="919"/>
    <w:uiPriority w:val="9"/>
    <w:semiHidden/>
    <w:unhideWhenUsed/>
    <w:qFormat/>
    <w:pPr>
      <w:keepNext w:val="true"/>
      <w:keepLines w:val="true"/>
      <w:pBdr/>
      <w:spacing w:after="0" w:before="200"/>
      <w:ind/>
      <w:outlineLvl w:val="5"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paragraph" w:styleId="880">
    <w:name w:val="Heading 7"/>
    <w:basedOn w:val="869"/>
    <w:next w:val="869"/>
    <w:link w:val="920"/>
    <w:uiPriority w:val="9"/>
    <w:semiHidden/>
    <w:unhideWhenUsed/>
    <w:qFormat/>
    <w:pPr>
      <w:keepNext w:val="true"/>
      <w:keepLines w:val="true"/>
      <w:pBdr/>
      <w:spacing w:after="0" w:before="200"/>
      <w:ind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paragraph" w:styleId="881">
    <w:name w:val="Heading 8"/>
    <w:basedOn w:val="869"/>
    <w:next w:val="869"/>
    <w:link w:val="921"/>
    <w:uiPriority w:val="9"/>
    <w:semiHidden/>
    <w:unhideWhenUsed/>
    <w:qFormat/>
    <w:pPr>
      <w:keepNext w:val="true"/>
      <w:keepLines w:val="true"/>
      <w:pBdr/>
      <w:spacing w:after="0" w:before="200"/>
      <w:ind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paragraph" w:styleId="882">
    <w:name w:val="Heading 9"/>
    <w:basedOn w:val="869"/>
    <w:next w:val="869"/>
    <w:link w:val="922"/>
    <w:uiPriority w:val="9"/>
    <w:semiHidden/>
    <w:unhideWhenUsed/>
    <w:qFormat/>
    <w:pPr>
      <w:keepNext w:val="true"/>
      <w:keepLines w:val="true"/>
      <w:pBdr/>
      <w:spacing w:after="0" w:before="200"/>
      <w:ind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character" w:styleId="883" w:default="1">
    <w:name w:val="Default Paragraph Font"/>
    <w:uiPriority w:val="1"/>
    <w:semiHidden/>
    <w:unhideWhenUsed/>
    <w:pPr>
      <w:pBdr/>
      <w:spacing/>
      <w:ind/>
    </w:pPr>
  </w:style>
  <w:style w:type="table" w:styleId="884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85" w:default="1">
    <w:name w:val="No List"/>
    <w:uiPriority w:val="99"/>
    <w:semiHidden/>
    <w:unhideWhenUsed/>
    <w:pPr>
      <w:pBdr/>
      <w:spacing/>
      <w:ind/>
    </w:pPr>
  </w:style>
  <w:style w:type="paragraph" w:styleId="886">
    <w:name w:val="No Spacing"/>
    <w:uiPriority w:val="1"/>
    <w:qFormat/>
    <w:pPr>
      <w:pBdr/>
      <w:spacing w:after="0" w:line="240" w:lineRule="auto"/>
      <w:ind/>
    </w:pPr>
  </w:style>
  <w:style w:type="character" w:styleId="887" w:customStyle="1">
    <w:name w:val="Heading 1 Char"/>
    <w:basedOn w:val="883"/>
    <w:link w:val="874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888" w:customStyle="1">
    <w:name w:val="Heading 2 Char"/>
    <w:basedOn w:val="883"/>
    <w:link w:val="875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889" w:customStyle="1">
    <w:name w:val="Heading 3 Char"/>
    <w:basedOn w:val="883"/>
    <w:link w:val="876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890">
    <w:name w:val="Title"/>
    <w:basedOn w:val="869"/>
    <w:next w:val="869"/>
    <w:link w:val="891"/>
    <w:uiPriority w:val="10"/>
    <w:qFormat/>
    <w:pPr>
      <w:pBdr>
        <w:bottom w:val="single" w:color="4f81bd" w:themeColor="accent1" w:sz="8" w:space="4"/>
      </w:pBdr>
      <w:spacing w:after="300" w:line="240" w:lineRule="auto"/>
      <w:ind/>
      <w:contextualSpacing w:val="true"/>
    </w:pPr>
    <w:rPr>
      <w:rFonts w:asciiTheme="majorHAnsi" w:hAnsiTheme="majorHAnsi" w:eastAsiaTheme="majorEastAsia" w:cstheme="majorBidi"/>
      <w:color w:val="17365d" w:themeColor="text2" w:themeShade="BF"/>
      <w:spacing w:val="5"/>
      <w:sz w:val="52"/>
      <w:szCs w:val="52"/>
    </w:rPr>
  </w:style>
  <w:style w:type="character" w:styleId="891" w:customStyle="1">
    <w:name w:val="Title Char"/>
    <w:basedOn w:val="883"/>
    <w:link w:val="890"/>
    <w:uiPriority w:val="10"/>
    <w:pPr>
      <w:pBdr/>
      <w:spacing/>
      <w:ind/>
    </w:pPr>
    <w:rPr>
      <w:rFonts w:asciiTheme="majorHAnsi" w:hAnsiTheme="majorHAnsi" w:eastAsiaTheme="majorEastAsia" w:cstheme="majorBidi"/>
      <w:color w:val="17365d" w:themeColor="text2" w:themeShade="BF"/>
      <w:spacing w:val="5"/>
      <w:sz w:val="52"/>
      <w:szCs w:val="52"/>
    </w:rPr>
  </w:style>
  <w:style w:type="paragraph" w:styleId="892">
    <w:name w:val="Subtitle"/>
    <w:basedOn w:val="869"/>
    <w:next w:val="869"/>
    <w:link w:val="893"/>
    <w:uiPriority w:val="11"/>
    <w:qFormat/>
    <w:pPr>
      <w:numPr>
        <w:ilvl w:val="1"/>
      </w:numPr>
      <w:pBdr/>
      <w:spacing/>
      <w:ind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893" w:customStyle="1">
    <w:name w:val="Subtitle Char"/>
    <w:basedOn w:val="883"/>
    <w:link w:val="892"/>
    <w:uiPriority w:val="11"/>
    <w:pPr>
      <w:pBdr/>
      <w:spacing/>
      <w:ind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894">
    <w:name w:val="List Paragraph"/>
    <w:basedOn w:val="869"/>
    <w:uiPriority w:val="34"/>
    <w:qFormat/>
    <w:pPr>
      <w:pBdr/>
      <w:spacing/>
      <w:ind w:left="720"/>
      <w:contextualSpacing w:val="true"/>
    </w:pPr>
  </w:style>
  <w:style w:type="paragraph" w:styleId="895">
    <w:name w:val="Body Text"/>
    <w:basedOn w:val="869"/>
    <w:link w:val="896"/>
    <w:uiPriority w:val="99"/>
    <w:unhideWhenUsed/>
    <w:pPr>
      <w:pBdr/>
      <w:spacing w:after="120"/>
      <w:ind/>
    </w:pPr>
  </w:style>
  <w:style w:type="character" w:styleId="896" w:customStyle="1">
    <w:name w:val="Body Text Char"/>
    <w:basedOn w:val="883"/>
    <w:link w:val="895"/>
    <w:uiPriority w:val="99"/>
    <w:pPr>
      <w:pBdr/>
      <w:spacing/>
      <w:ind/>
    </w:pPr>
  </w:style>
  <w:style w:type="paragraph" w:styleId="897">
    <w:name w:val="Body Text 2"/>
    <w:basedOn w:val="869"/>
    <w:link w:val="898"/>
    <w:uiPriority w:val="99"/>
    <w:unhideWhenUsed/>
    <w:pPr>
      <w:pBdr/>
      <w:spacing w:after="120" w:line="480" w:lineRule="auto"/>
      <w:ind/>
    </w:pPr>
  </w:style>
  <w:style w:type="character" w:styleId="898" w:customStyle="1">
    <w:name w:val="Body Text 2 Char"/>
    <w:basedOn w:val="883"/>
    <w:link w:val="897"/>
    <w:uiPriority w:val="99"/>
    <w:pPr>
      <w:pBdr/>
      <w:spacing/>
      <w:ind/>
    </w:pPr>
  </w:style>
  <w:style w:type="paragraph" w:styleId="899">
    <w:name w:val="Body Text 3"/>
    <w:basedOn w:val="869"/>
    <w:link w:val="900"/>
    <w:uiPriority w:val="99"/>
    <w:unhideWhenUsed/>
    <w:pPr>
      <w:pBdr/>
      <w:spacing w:after="120"/>
      <w:ind/>
    </w:pPr>
    <w:rPr>
      <w:sz w:val="16"/>
      <w:szCs w:val="16"/>
    </w:rPr>
  </w:style>
  <w:style w:type="character" w:styleId="900" w:customStyle="1">
    <w:name w:val="Body Text 3 Char"/>
    <w:basedOn w:val="883"/>
    <w:link w:val="899"/>
    <w:uiPriority w:val="99"/>
    <w:pPr>
      <w:pBdr/>
      <w:spacing/>
      <w:ind/>
    </w:pPr>
    <w:rPr>
      <w:sz w:val="16"/>
      <w:szCs w:val="16"/>
    </w:rPr>
  </w:style>
  <w:style w:type="paragraph" w:styleId="901">
    <w:name w:val="List"/>
    <w:basedOn w:val="869"/>
    <w:uiPriority w:val="99"/>
    <w:unhideWhenUsed/>
    <w:pPr>
      <w:pBdr/>
      <w:spacing/>
      <w:ind w:hanging="360" w:left="360"/>
      <w:contextualSpacing w:val="true"/>
    </w:pPr>
  </w:style>
  <w:style w:type="paragraph" w:styleId="902">
    <w:name w:val="List 2"/>
    <w:basedOn w:val="869"/>
    <w:uiPriority w:val="99"/>
    <w:unhideWhenUsed/>
    <w:pPr>
      <w:pBdr/>
      <w:spacing/>
      <w:ind w:hanging="360" w:left="720"/>
      <w:contextualSpacing w:val="true"/>
    </w:pPr>
  </w:style>
  <w:style w:type="paragraph" w:styleId="903">
    <w:name w:val="List 3"/>
    <w:basedOn w:val="869"/>
    <w:uiPriority w:val="99"/>
    <w:unhideWhenUsed/>
    <w:pPr>
      <w:pBdr/>
      <w:spacing/>
      <w:ind w:hanging="360" w:left="1080"/>
      <w:contextualSpacing w:val="true"/>
    </w:pPr>
  </w:style>
  <w:style w:type="paragraph" w:styleId="904">
    <w:name w:val="List Bullet"/>
    <w:basedOn w:val="869"/>
    <w:uiPriority w:val="99"/>
    <w:unhideWhenUsed/>
    <w:pPr>
      <w:numPr>
        <w:numId w:val="1"/>
      </w:numPr>
      <w:pBdr/>
      <w:spacing/>
      <w:ind/>
      <w:contextualSpacing w:val="true"/>
    </w:pPr>
  </w:style>
  <w:style w:type="paragraph" w:styleId="905">
    <w:name w:val="List Bullet 2"/>
    <w:basedOn w:val="869"/>
    <w:uiPriority w:val="99"/>
    <w:unhideWhenUsed/>
    <w:pPr>
      <w:numPr>
        <w:numId w:val="2"/>
      </w:numPr>
      <w:pBdr/>
      <w:spacing/>
      <w:ind/>
      <w:contextualSpacing w:val="true"/>
    </w:pPr>
  </w:style>
  <w:style w:type="paragraph" w:styleId="906">
    <w:name w:val="List Bullet 3"/>
    <w:basedOn w:val="869"/>
    <w:uiPriority w:val="99"/>
    <w:unhideWhenUsed/>
    <w:pPr>
      <w:numPr>
        <w:numId w:val="3"/>
      </w:numPr>
      <w:pBdr/>
      <w:spacing/>
      <w:ind/>
      <w:contextualSpacing w:val="true"/>
    </w:pPr>
  </w:style>
  <w:style w:type="paragraph" w:styleId="907">
    <w:name w:val="List Number"/>
    <w:basedOn w:val="869"/>
    <w:uiPriority w:val="99"/>
    <w:unhideWhenUsed/>
    <w:pPr>
      <w:numPr>
        <w:numId w:val="5"/>
      </w:numPr>
      <w:pBdr/>
      <w:spacing/>
      <w:ind/>
      <w:contextualSpacing w:val="true"/>
    </w:pPr>
  </w:style>
  <w:style w:type="paragraph" w:styleId="908">
    <w:name w:val="List Number 2"/>
    <w:basedOn w:val="869"/>
    <w:uiPriority w:val="99"/>
    <w:unhideWhenUsed/>
    <w:pPr>
      <w:numPr>
        <w:numId w:val="6"/>
      </w:numPr>
      <w:pBdr/>
      <w:spacing/>
      <w:ind/>
      <w:contextualSpacing w:val="true"/>
    </w:pPr>
  </w:style>
  <w:style w:type="paragraph" w:styleId="909">
    <w:name w:val="List Number 3"/>
    <w:basedOn w:val="869"/>
    <w:uiPriority w:val="99"/>
    <w:unhideWhenUsed/>
    <w:pPr>
      <w:numPr>
        <w:numId w:val="7"/>
      </w:numPr>
      <w:pBdr/>
      <w:spacing/>
      <w:ind/>
      <w:contextualSpacing w:val="true"/>
    </w:pPr>
  </w:style>
  <w:style w:type="paragraph" w:styleId="910">
    <w:name w:val="List Continue"/>
    <w:basedOn w:val="869"/>
    <w:uiPriority w:val="99"/>
    <w:unhideWhenUsed/>
    <w:pPr>
      <w:pBdr/>
      <w:spacing w:after="120"/>
      <w:ind w:left="360"/>
      <w:contextualSpacing w:val="true"/>
    </w:pPr>
  </w:style>
  <w:style w:type="paragraph" w:styleId="911">
    <w:name w:val="List Continue 2"/>
    <w:basedOn w:val="869"/>
    <w:uiPriority w:val="99"/>
    <w:unhideWhenUsed/>
    <w:pPr>
      <w:pBdr/>
      <w:spacing w:after="120"/>
      <w:ind w:left="720"/>
      <w:contextualSpacing w:val="true"/>
    </w:pPr>
  </w:style>
  <w:style w:type="paragraph" w:styleId="912">
    <w:name w:val="List Continue 3"/>
    <w:basedOn w:val="869"/>
    <w:uiPriority w:val="99"/>
    <w:unhideWhenUsed/>
    <w:pPr>
      <w:pBdr/>
      <w:spacing w:after="120"/>
      <w:ind w:left="1080"/>
      <w:contextualSpacing w:val="true"/>
    </w:pPr>
  </w:style>
  <w:style w:type="paragraph" w:styleId="913">
    <w:name w:val="macro"/>
    <w:link w:val="914"/>
    <w:uiPriority w:val="99"/>
    <w:unhideWhenUsed/>
    <w:pPr>
      <w:pBdr/>
      <w:tabs>
        <w:tab w:val="left" w:leader="none" w:pos="576"/>
        <w:tab w:val="left" w:leader="none" w:pos="1152"/>
        <w:tab w:val="left" w:leader="none" w:pos="1728"/>
        <w:tab w:val="left" w:leader="none" w:pos="2304"/>
        <w:tab w:val="left" w:leader="none" w:pos="2880"/>
        <w:tab w:val="left" w:leader="none" w:pos="3456"/>
        <w:tab w:val="left" w:leader="none" w:pos="4032"/>
      </w:tabs>
      <w:spacing/>
      <w:ind/>
    </w:pPr>
    <w:rPr>
      <w:rFonts w:ascii="Courier" w:hAnsi="Courier"/>
      <w:sz w:val="20"/>
      <w:szCs w:val="20"/>
    </w:rPr>
  </w:style>
  <w:style w:type="character" w:styleId="914" w:customStyle="1">
    <w:name w:val="Macro Text Char"/>
    <w:basedOn w:val="883"/>
    <w:link w:val="913"/>
    <w:uiPriority w:val="99"/>
    <w:pPr>
      <w:pBdr/>
      <w:spacing/>
      <w:ind/>
    </w:pPr>
    <w:rPr>
      <w:rFonts w:ascii="Courier" w:hAnsi="Courier"/>
      <w:sz w:val="20"/>
      <w:szCs w:val="20"/>
    </w:rPr>
  </w:style>
  <w:style w:type="paragraph" w:styleId="915">
    <w:name w:val="Quote"/>
    <w:basedOn w:val="869"/>
    <w:next w:val="869"/>
    <w:link w:val="916"/>
    <w:uiPriority w:val="29"/>
    <w:qFormat/>
    <w:pPr>
      <w:pBdr/>
      <w:spacing/>
      <w:ind/>
    </w:pPr>
    <w:rPr>
      <w:i/>
      <w:iCs/>
      <w:color w:val="000000" w:themeColor="text1"/>
    </w:rPr>
  </w:style>
  <w:style w:type="character" w:styleId="916" w:customStyle="1">
    <w:name w:val="Quote Char"/>
    <w:basedOn w:val="883"/>
    <w:link w:val="915"/>
    <w:uiPriority w:val="29"/>
    <w:pPr>
      <w:pBdr/>
      <w:spacing/>
      <w:ind/>
    </w:pPr>
    <w:rPr>
      <w:i/>
      <w:iCs/>
      <w:color w:val="000000" w:themeColor="text1"/>
    </w:rPr>
  </w:style>
  <w:style w:type="character" w:styleId="917" w:customStyle="1">
    <w:name w:val="Heading 4 Char"/>
    <w:basedOn w:val="883"/>
    <w:link w:val="877"/>
    <w:uiPriority w:val="9"/>
    <w:semiHidden/>
    <w:pPr>
      <w:pBdr/>
      <w:spacing/>
      <w:ind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918" w:customStyle="1">
    <w:name w:val="Heading 5 Char"/>
    <w:basedOn w:val="883"/>
    <w:link w:val="878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243f60" w:themeColor="accent1" w:themeShade="7F"/>
    </w:rPr>
  </w:style>
  <w:style w:type="character" w:styleId="919" w:customStyle="1">
    <w:name w:val="Heading 6 Char"/>
    <w:basedOn w:val="883"/>
    <w:link w:val="879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character" w:styleId="920" w:customStyle="1">
    <w:name w:val="Heading 7 Char"/>
    <w:basedOn w:val="883"/>
    <w:link w:val="880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character" w:styleId="921" w:customStyle="1">
    <w:name w:val="Heading 8 Char"/>
    <w:basedOn w:val="883"/>
    <w:link w:val="881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character" w:styleId="922" w:customStyle="1">
    <w:name w:val="Heading 9 Char"/>
    <w:basedOn w:val="883"/>
    <w:link w:val="882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paragraph" w:styleId="923">
    <w:name w:val="Caption"/>
    <w:basedOn w:val="869"/>
    <w:next w:val="869"/>
    <w:uiPriority w:val="35"/>
    <w:semiHidden/>
    <w:unhideWhenUsed/>
    <w:qFormat/>
    <w:pPr>
      <w:pBdr/>
      <w:spacing w:line="240" w:lineRule="auto"/>
      <w:ind/>
    </w:pPr>
    <w:rPr>
      <w:b/>
      <w:bCs/>
      <w:color w:val="4f81bd" w:themeColor="accent1"/>
      <w:sz w:val="18"/>
      <w:szCs w:val="18"/>
    </w:rPr>
  </w:style>
  <w:style w:type="character" w:styleId="924">
    <w:name w:val="Strong"/>
    <w:basedOn w:val="883"/>
    <w:uiPriority w:val="22"/>
    <w:qFormat/>
    <w:pPr>
      <w:pBdr/>
      <w:spacing/>
      <w:ind/>
    </w:pPr>
    <w:rPr>
      <w:b/>
      <w:bCs/>
    </w:rPr>
  </w:style>
  <w:style w:type="character" w:styleId="925">
    <w:name w:val="Emphasis"/>
    <w:basedOn w:val="883"/>
    <w:uiPriority w:val="20"/>
    <w:qFormat/>
    <w:pPr>
      <w:pBdr/>
      <w:spacing/>
      <w:ind/>
    </w:pPr>
    <w:rPr>
      <w:i/>
      <w:iCs/>
    </w:rPr>
  </w:style>
  <w:style w:type="paragraph" w:styleId="926">
    <w:name w:val="Intense Quote"/>
    <w:basedOn w:val="869"/>
    <w:next w:val="869"/>
    <w:link w:val="927"/>
    <w:uiPriority w:val="30"/>
    <w:qFormat/>
    <w:pPr>
      <w:pBdr>
        <w:bottom w:val="single" w:color="4f81bd" w:themeColor="accent1" w:sz="4" w:space="4"/>
      </w:pBdr>
      <w:spacing w:after="280" w:before="200"/>
      <w:ind w:right="936" w:left="936"/>
    </w:pPr>
    <w:rPr>
      <w:b/>
      <w:bCs/>
      <w:i/>
      <w:iCs/>
      <w:color w:val="4f81bd" w:themeColor="accent1"/>
    </w:rPr>
  </w:style>
  <w:style w:type="character" w:styleId="927" w:customStyle="1">
    <w:name w:val="Intense Quote Char"/>
    <w:basedOn w:val="883"/>
    <w:link w:val="926"/>
    <w:uiPriority w:val="30"/>
    <w:pPr>
      <w:pBdr/>
      <w:spacing/>
      <w:ind/>
    </w:pPr>
    <w:rPr>
      <w:b/>
      <w:bCs/>
      <w:i/>
      <w:iCs/>
      <w:color w:val="4f81bd" w:themeColor="accent1"/>
    </w:rPr>
  </w:style>
  <w:style w:type="character" w:styleId="928">
    <w:name w:val="Subtle Emphasis"/>
    <w:basedOn w:val="883"/>
    <w:uiPriority w:val="19"/>
    <w:qFormat/>
    <w:pPr>
      <w:pBdr/>
      <w:spacing/>
      <w:ind/>
    </w:pPr>
    <w:rPr>
      <w:i/>
      <w:iCs/>
      <w:color w:val="808080" w:themeColor="text1" w:themeTint="7F"/>
    </w:rPr>
  </w:style>
  <w:style w:type="character" w:styleId="929">
    <w:name w:val="Intense Emphasis"/>
    <w:basedOn w:val="883"/>
    <w:uiPriority w:val="21"/>
    <w:qFormat/>
    <w:pPr>
      <w:pBdr/>
      <w:spacing/>
      <w:ind/>
    </w:pPr>
    <w:rPr>
      <w:b/>
      <w:bCs/>
      <w:i/>
      <w:iCs/>
      <w:color w:val="4f81bd" w:themeColor="accent1"/>
    </w:rPr>
  </w:style>
  <w:style w:type="character" w:styleId="930">
    <w:name w:val="Subtle Reference"/>
    <w:basedOn w:val="883"/>
    <w:uiPriority w:val="31"/>
    <w:qFormat/>
    <w:pPr>
      <w:pBdr/>
      <w:spacing/>
      <w:ind/>
    </w:pPr>
    <w:rPr>
      <w:smallCaps/>
      <w:color w:val="c0504d" w:themeColor="accent2"/>
      <w:u w:val="single"/>
    </w:rPr>
  </w:style>
  <w:style w:type="character" w:styleId="931">
    <w:name w:val="Intense Reference"/>
    <w:basedOn w:val="883"/>
    <w:uiPriority w:val="32"/>
    <w:qFormat/>
    <w:pPr>
      <w:pBdr/>
      <w:spacing/>
      <w:ind/>
    </w:pPr>
    <w:rPr>
      <w:b/>
      <w:bCs/>
      <w:smallCaps/>
      <w:color w:val="c0504d" w:themeColor="accent2"/>
      <w:spacing w:val="5"/>
      <w:u w:val="single"/>
    </w:rPr>
  </w:style>
  <w:style w:type="character" w:styleId="932">
    <w:name w:val="Book Title"/>
    <w:basedOn w:val="883"/>
    <w:uiPriority w:val="33"/>
    <w:qFormat/>
    <w:pPr>
      <w:pBdr/>
      <w:spacing/>
      <w:ind/>
    </w:pPr>
    <w:rPr>
      <w:b/>
      <w:bCs/>
      <w:smallCaps/>
      <w:spacing w:val="5"/>
    </w:rPr>
  </w:style>
  <w:style w:type="paragraph" w:styleId="933">
    <w:name w:val="TOC Heading"/>
    <w:basedOn w:val="874"/>
    <w:next w:val="869"/>
    <w:uiPriority w:val="39"/>
    <w:semiHidden/>
    <w:unhideWhenUsed/>
    <w:qFormat/>
    <w:pPr>
      <w:pBdr/>
      <w:spacing/>
      <w:ind/>
      <w:outlineLvl w:val="9"/>
    </w:pPr>
  </w:style>
  <w:style w:type="table" w:styleId="934">
    <w:name w:val="Table Grid"/>
    <w:basedOn w:val="88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5">
    <w:name w:val="Light Shading"/>
    <w:basedOn w:val="884"/>
    <w:uiPriority w:val="60"/>
    <w:pPr>
      <w:pBdr/>
      <w:spacing w:after="0" w:line="240" w:lineRule="auto"/>
      <w:ind/>
    </w:pPr>
    <w:rPr>
      <w:color w:val="000000" w:themeColor="text1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bottom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none" w:color="000000" w:sz="4" w:space="0"/>
          <w:bottom w:val="single" w:color="000000" w:themeColor="text1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none" w:color="000000" w:sz="4" w:space="0"/>
          <w:bottom w:val="single" w:color="000000" w:themeColor="text1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6">
    <w:name w:val="Light Shading Accent 1"/>
    <w:basedOn w:val="884"/>
    <w:uiPriority w:val="60"/>
    <w:pPr>
      <w:pBdr/>
      <w:spacing w:after="0" w:line="240" w:lineRule="auto"/>
      <w:ind/>
    </w:pPr>
    <w:rPr>
      <w:color w:val="365f91" w:themeColor="accent1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bottom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none" w:color="000000" w:sz="4" w:space="0"/>
          <w:bottom w:val="single" w:color="4f81bd" w:themeColor="accent1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none" w:color="000000" w:sz="4" w:space="0"/>
          <w:bottom w:val="single" w:color="4f81bd" w:themeColor="accent1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7">
    <w:name w:val="Light Shading Accent 2"/>
    <w:basedOn w:val="884"/>
    <w:uiPriority w:val="60"/>
    <w:pPr>
      <w:pBdr/>
      <w:spacing w:after="0" w:line="240" w:lineRule="auto"/>
      <w:ind/>
    </w:pPr>
    <w:rPr>
      <w:color w:val="943634" w:themeColor="accent2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bottom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none" w:color="000000" w:sz="4" w:space="0"/>
          <w:bottom w:val="single" w:color="c0504d" w:themeColor="accent2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none" w:color="000000" w:sz="4" w:space="0"/>
          <w:bottom w:val="single" w:color="c0504d" w:themeColor="accent2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8">
    <w:name w:val="Light Shading Accent 3"/>
    <w:basedOn w:val="884"/>
    <w:uiPriority w:val="60"/>
    <w:pPr>
      <w:pBdr/>
      <w:spacing w:after="0" w:line="240" w:lineRule="auto"/>
      <w:ind/>
    </w:pPr>
    <w:rPr>
      <w:color w:val="76923c" w:themeColor="accent3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bottom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none" w:color="000000" w:sz="4" w:space="0"/>
          <w:bottom w:val="single" w:color="9bbb59" w:themeColor="accent3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none" w:color="000000" w:sz="4" w:space="0"/>
          <w:bottom w:val="single" w:color="9bbb59" w:themeColor="accent3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9">
    <w:name w:val="Light Shading Accent 4"/>
    <w:basedOn w:val="884"/>
    <w:uiPriority w:val="60"/>
    <w:pPr>
      <w:pBdr/>
      <w:spacing w:after="0" w:line="240" w:lineRule="auto"/>
      <w:ind/>
    </w:pPr>
    <w:rPr>
      <w:color w:val="5f497a" w:themeColor="accent4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bottom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none" w:color="000000" w:sz="4" w:space="0"/>
          <w:bottom w:val="single" w:color="8064a2" w:themeColor="accent4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none" w:color="000000" w:sz="4" w:space="0"/>
          <w:bottom w:val="single" w:color="8064a2" w:themeColor="accent4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0">
    <w:name w:val="Light Shading Accent 5"/>
    <w:basedOn w:val="884"/>
    <w:uiPriority w:val="60"/>
    <w:pPr>
      <w:pBdr/>
      <w:spacing w:after="0" w:line="240" w:lineRule="auto"/>
      <w:ind/>
    </w:pPr>
    <w:rPr>
      <w:color w:val="31849b" w:themeColor="accent5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bottom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none" w:color="000000" w:sz="4" w:space="0"/>
          <w:bottom w:val="single" w:color="4bacc6" w:themeColor="accent5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none" w:color="000000" w:sz="4" w:space="0"/>
          <w:bottom w:val="single" w:color="4bacc6" w:themeColor="accent5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1">
    <w:name w:val="Light Shading Accent 6"/>
    <w:basedOn w:val="884"/>
    <w:uiPriority w:val="60"/>
    <w:pPr>
      <w:pBdr/>
      <w:spacing w:after="0" w:line="240" w:lineRule="auto"/>
      <w:ind/>
    </w:pPr>
    <w:rPr>
      <w:color w:val="e36c0a" w:themeColor="accent6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bottom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none" w:color="000000" w:sz="4" w:space="0"/>
          <w:bottom w:val="single" w:color="f79646" w:themeColor="accent6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none" w:color="000000" w:sz="4" w:space="0"/>
          <w:bottom w:val="single" w:color="f79646" w:themeColor="accent6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2">
    <w:name w:val="Light List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3">
    <w:name w:val="Light List Accent 1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4">
    <w:name w:val="Light List Accent 2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5">
    <w:name w:val="Light List Accent 3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6">
    <w:name w:val="Light List Accent 4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7">
    <w:name w:val="Light List Accent 5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8">
    <w:name w:val="Light List Accent 6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9">
    <w:name w:val="Light Grid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0">
    <w:name w:val="Light Grid Accent 1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1">
    <w:name w:val="Light Grid Accent 2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2">
    <w:name w:val="Light Grid Accent 3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3">
    <w:name w:val="Light Grid Accent 4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4">
    <w:name w:val="Light Grid Accent 5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5">
    <w:name w:val="Light Grid Accent 6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6">
    <w:name w:val="Medium Shading 1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>
          <w:top w:val="single" w:color="404040" w:themeColor="text1" w:themeTint="BF" w:sz="8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04040" w:themeColor="text1" w:themeTint="BF" w:sz="6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7">
    <w:name w:val="Medium Shading 1 Accent 1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8">
    <w:name w:val="Medium Shading 1 Accent 2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9">
    <w:name w:val="Medium Shading 1 Accent 3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>
          <w:top w:val="single" w:color="b3cc82" w:themeColor="accent3" w:themeTint="BF" w:sz="8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b3cc82" w:themeColor="accent3" w:themeTint="BF" w:sz="6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0">
    <w:name w:val="Medium Shading 1 Accent 4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1">
    <w:name w:val="Medium Shading 1 Accent 5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2">
    <w:name w:val="Medium Shading 1 Accent 6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3">
    <w:name w:val="Medium Shading 2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4">
    <w:name w:val="Medium Shading 2 Accent 1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5">
    <w:name w:val="Medium Shading 2 Accent 2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6">
    <w:name w:val="Medium Shading 2 Accent 3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7">
    <w:name w:val="Medium Shading 2 Accent 4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8">
    <w:name w:val="Medium Shading 2 Accent 5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9">
    <w:name w:val="Medium Shading 2 Accent 6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0">
    <w:name w:val="Medium List 1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bottom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000000" w:themeColor="text1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1">
    <w:name w:val="Medium List 1 Accent 1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bottom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4f81bd" w:themeColor="accent1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2">
    <w:name w:val="Medium List 1 Accent 2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bottom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c0504d" w:themeColor="accent2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3">
    <w:name w:val="Medium List 1 Accent 3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bottom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9bbb59" w:themeColor="accent3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4">
    <w:name w:val="Medium List 1 Accent 4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bottom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8064a2" w:themeColor="accent4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5">
    <w:name w:val="Medium List 1 Accent 5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bottom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4bacc6" w:themeColor="accent5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6">
    <w:name w:val="Medium List 1 Accent 6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bottom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f79646" w:themeColor="accent6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7">
    <w:name w:val="Medium List 2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000000" w:themeColor="text1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000000" w:themeColor="text1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8">
    <w:name w:val="Medium List 2 Accent 1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f81bd" w:themeColor="accent1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4f81bd" w:themeColor="accent1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4f81bd" w:themeColor="accent1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9">
    <w:name w:val="Medium List 2 Accent 2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0504d" w:themeColor="accent2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c0504d" w:themeColor="accent2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c0504d" w:themeColor="accent2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0">
    <w:name w:val="Medium List 2 Accent 3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bbb59" w:themeColor="accent3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9bbb59" w:themeColor="accent3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9bbb59" w:themeColor="accent3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9bbb59" w:themeColor="accent3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1">
    <w:name w:val="Medium List 2 Accent 4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8064a2" w:themeColor="accent4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8064a2" w:themeColor="accent4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8064a2" w:themeColor="accent4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8064a2" w:themeColor="accent4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2">
    <w:name w:val="Medium List 2 Accent 5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bacc6" w:themeColor="accent5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bacc6" w:themeColor="accent5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4bacc6" w:themeColor="accent5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4bacc6" w:themeColor="accent5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3">
    <w:name w:val="Medium List 2 Accent 6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79646" w:themeColor="accent6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f79646" w:themeColor="accent6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f79646" w:themeColor="accent6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f79646" w:themeColor="accent6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4">
    <w:name w:val="Medium Grid 1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04040" w:themeColor="text1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5">
    <w:name w:val="Medium Grid 1 Accent 1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7ba0cd" w:themeColor="accent1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6">
    <w:name w:val="Medium Grid 1 Accent 2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cf7b79" w:themeColor="accent2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7">
    <w:name w:val="Medium Grid 1 Accent 3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b3cc82" w:themeColor="accent3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8">
    <w:name w:val="Medium Grid 1 Accent 4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9f8ab9" w:themeColor="accent4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9">
    <w:name w:val="Medium Grid 1 Accent 5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78c0d4" w:themeColor="accent5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0">
    <w:name w:val="Medium Grid 1 Accent 6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9b074" w:themeColor="accent6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1">
    <w:name w:val="Medium Grid 2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6e6e6" w:themeFill="text1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2">
    <w:name w:val="Medium Grid 2 Accent 1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df2f8" w:themeFill="accent1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be5f1" w:themeFill="accent1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3">
    <w:name w:val="Medium Grid 2 Accent 2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8eded" w:themeFill="accent2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2dbdb" w:themeFill="accent2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4">
    <w:name w:val="Medium Grid 2 Accent 3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5f8ee" w:themeFill="accent3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af1dd" w:themeFill="accent3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5">
    <w:name w:val="Medium Grid 2 Accent 4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2eff6" w:themeFill="accent4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5dfec" w:themeFill="accent4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6">
    <w:name w:val="Medium Grid 2 Accent 5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df6f9" w:themeFill="accent5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aeef3" w:themeFill="accent5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7">
    <w:name w:val="Medium Grid 2 Accent 6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ef4ec" w:themeFill="accent6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de9d9" w:themeFill="accent6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8">
    <w:name w:val="Medium Grid 3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9">
    <w:name w:val="Medium Grid 3 Accent 1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0">
    <w:name w:val="Medium Grid 3 Accent 2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1">
    <w:name w:val="Medium Grid 3 Accent 3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2">
    <w:name w:val="Medium Grid 3 Accent 4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3">
    <w:name w:val="Medium Grid 3 Accent 5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4">
    <w:name w:val="Medium Grid 3 Accent 6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5">
    <w:name w:val="Dark List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000000" w:themeFill="text1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000000" w:themeFill="text1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6">
    <w:name w:val="Dark List Accent 1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4f81bd" w:themeFill="accent1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243f60" w:themeFill="accent1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7">
    <w:name w:val="Dark List Accent 2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c0504d" w:themeFill="accent2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622423" w:themeFill="accent2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8">
    <w:name w:val="Dark List Accent 3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9bbb59" w:themeFill="accent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4e6128" w:themeFill="accent3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9">
    <w:name w:val="Dark List Accent 4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8064a2" w:themeFill="accent4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3f3151" w:themeFill="accent4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0">
    <w:name w:val="Dark List Accent 5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4bacc6" w:themeFill="accent5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205867" w:themeFill="accent5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1">
    <w:name w:val="Dark List Accent 6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79646" w:themeFill="accent6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974706" w:themeFill="accent6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2">
    <w:name w:val="Colorful Shading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6e6e6" w:themeFill="tex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3">
    <w:name w:val="Colorful Shading Accent 1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4">
    <w:name w:val="Colorful Shading Accent 2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5">
    <w:name w:val="Colorful Shading Accent 3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8064a2" w:themeColor="accent4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single" w:color="ffffff" w:themeColor="background1" w:sz="6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6">
    <w:name w:val="Colorful Shading Accent 4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6" w:themeFill="accent4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9bbb59" w:themeColor="accent3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7">
    <w:name w:val="Colorful Shading Accent 5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f79646" w:themeColor="accent6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8">
    <w:name w:val="Colorful Shading Accent 6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bacc6" w:themeColor="accent5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9">
    <w:name w:val="Colorful List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6e6e6" w:themeFill="tex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0">
    <w:name w:val="Colorful List Accent 1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df2f8" w:themeFill="accen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be5f1" w:themeFill="accen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1">
    <w:name w:val="Colorful List Accent 2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8eded" w:themeFill="accent2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2dbdb" w:themeFill="accent2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2">
    <w:name w:val="Colorful List Accent 3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5f8ee" w:themeFill="accent3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af1dd" w:themeFill="accent3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664e82" w:themeFill="accent4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664e82" w:themeColor="accent4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3">
    <w:name w:val="Colorful List Accent 4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2eff6" w:themeFill="accent4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5dfec" w:themeFill="accent4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e9c40" w:themeFill="accent3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7e9c40" w:themeColor="accent3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4">
    <w:name w:val="Colorful List Accent 5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df6f9" w:themeFill="accent5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aeef3" w:themeFill="accent5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2730a" w:themeFill="accent6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f2730a" w:themeColor="accent6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5">
    <w:name w:val="Colorful List Accent 6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ef4ec" w:themeFill="accent6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9d9" w:themeFill="accent6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48da5" w:themeFill="accent5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348da5" w:themeColor="accent5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6">
    <w:name w:val="Colorful Grid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cccccc" w:themeFill="text1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7">
    <w:name w:val="Colorful Grid Accent 1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8">
    <w:name w:val="Colorful Grid Accent 2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9">
    <w:name w:val="Colorful Grid Accent 3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0">
    <w:name w:val="Colorful Grid Accent 4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1">
    <w:name w:val="Colorful Grid Accent 5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2">
    <w:name w:val="Colorful Grid Accent 6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customXml" Target="../customXml/item1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ONLYOFFICE/9.2.1.43</Application>
  <DocSecurity>0</DocSecurity>
  <ScaleCrop>0</ScaleCrop>
  <HeadingPairs>
    <vt:vector size="0" baseType="variant"/>
  </HeadingPairs>
  <TitlesOfParts>
    <vt:vector size="0" baseType="lpstr"/>
  </TitlesOfParts>
  <Manager/>
  <Company/>
  <LinksUpToDate>0</LinksUpToDate>
  <SharedDoc>0</SharedDoc>
  <HyperlinkBase/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revision>5</cp:revision>
  <dcterms:created xsi:type="dcterms:W3CDTF">2013-12-23T23:15:00Z</dcterms:created>
  <dcterms:modified xsi:type="dcterms:W3CDTF">2026-07-15T11:46:36Z</dcterms:modified>
  <cp:category/>
</cp:coreProperties>
</file>