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Аналіз нормативних документів проєкту</w:t>
      </w:r>
    </w:p>
    <w:p>
      <w:pPr>
        <w:spacing w:after="120"/>
        <w:jc w:val="left"/>
      </w:pPr>
      <w:r>
        <w:t xml:space="preserve">Цей документ містить детальний аналіз нормативно-правової бази та професійного стандарту, які знаходяться в теці проєкту. Ці матеріали є основою для створення вебресурсу Кваліфікаційного центру для тестування та сертифікації фахівців із супроводу ветеранів війни та демобілізованих осіб.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Постанова КМУ № 986 «Деякі питання акредитації кваліфікаційних центрів»</w:t>
      </w:r>
    </w:p>
    <w:p>
      <w:pPr>
        <w:spacing w:after="120"/>
        <w:jc w:val="left"/>
      </w:pPr>
      <w:r>
        <w:t xml:space="preserve">Постанова визначає правові засади створення, функціонування та акредитації кваліфікаційних центрів в Україні Національним агентством кваліфікацій (НАК).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Ключові вимоги для вебресурсу: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Обов'язкова наявність вебсайту</w:t>
      </w:r>
      <w:r>
        <w:t xml:space="preserve">: Згідно з пунктом 8, однією з критеріїв спроможності центру є:</w:t>
      </w:r>
      <w:r>
        <w:t xml:space="preserve">*«наявність веб-сайта для розміщення інформації про кваліфікаційний центр, відповідні професійні кваліфікації та процедуру присвоєння/підтвердження»*.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Публічний доступ до інформації</w:t>
      </w:r>
      <w:r>
        <w:t xml:space="preserve">: На сайті мають бути оприлюднені: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Заява про акредитацію та статус центру.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Відомості про матеріально-технічну базу та оцінювачів (експертів).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Перелік професійних кваліфікацій, на які акредитовано центр.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Процедура присвоєння/підтвердження кваліфікацій.</w:t>
      </w:r>
    </w:p>
    <w:p>
      <w:pPr>
        <w:spacing w:after="100"/>
        <w:ind w:start="440"/>
        <w:jc w:val="left"/>
      </w:pPr>
      <w:r>
        <w:t xml:space="preserve">5. </w:t>
      </w:r>
      <w:r>
        <w:t xml:space="preserve">Рішення про видачу або скасування сертифікатів (пункт 27, 28).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Постанова КМУ № 956 «Порядок присвоєння та підтвердження професійних кваліфікацій»</w:t>
      </w:r>
    </w:p>
    <w:p>
      <w:pPr>
        <w:spacing w:after="120"/>
        <w:jc w:val="left"/>
      </w:pPr>
      <w:r>
        <w:t xml:space="preserve">Постанова регламентує безпосередній процес взаємодії здобувача (ветерана або іншої особи) з кваліфікаційним центром.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Етапи процедури оцінювання (Пункт 5):</w:t>
      </w:r>
    </w:p>
    <w:p>
      <w:pPr>
        <w:spacing w:after="160"/>
        <w:jc w:val="center"/>
      </w:pPr>
      <w:r>
        <w:drawing>
          <wp:inline distT="0" distB="0" distL="0" distR="0">
            <wp:extent cx="554355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Вимоги до сертифіката (Пункт 15):</w:t>
      </w:r>
    </w:p>
    <w:p>
      <w:pPr>
        <w:spacing w:before="240" w:after="160"/>
        <w:jc w:val="center"/>
      </w:pPr>
      <w:r>
        <w:t xml:space="preserve">Сертифікат про присвоєння/підтвердження професійної кваліфікації повинен мати унікальну серію та реєстраційний номер за шаблоном:</w:t>
      </w:r>
      <m:oMath>
        <m:r>
          <m:rPr>
            <m:nor/>
          </m:rPr>
          <m:t xml:space="preserve">СС ХХХХХХХХ/УУУУУУ-ZZ</m:t>
        </m:r>
      </m:oMath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СС</w:t>
      </w:r>
      <w:r>
        <w:t xml:space="preserve">: серія документа (кирилицею).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ХХХХХХХХ</w:t>
      </w:r>
      <w:r>
        <w:t xml:space="preserve">: ЄДРПОУ юридичної особи (кваліфікаційного центру).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УУУУУУ</w:t>
      </w:r>
      <w:r>
        <w:t xml:space="preserve">: порядковий номер документа.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ZZ</w:t>
      </w:r>
      <w:r>
        <w:t xml:space="preserve">: останні дві цифри року видачі.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Професійний стандарт «Фахівець із супроводу ветеранів війни та демобілізованих осіб»</w:t>
      </w:r>
    </w:p>
    <w:p>
      <w:pPr>
        <w:spacing w:after="120"/>
        <w:jc w:val="left"/>
      </w:pPr>
      <w:r>
        <w:t xml:space="preserve">Це ключовий документ, що визначає зміст майбутнього тестування. Стандарт затверджено наказом Мінветеранів № 508 від 31.12.2024.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Рівні кваліфікації та вимоги до освіти/стажу: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15"/>
        <w:gridCol w:w="1276"/>
        <w:gridCol w:w="2695"/>
        <w:gridCol w:w="34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Назва кваліфікації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Рівень НРК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Вимоги до освіти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Вимоги до стажу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Фахівець із супроводу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Бакалавр (усі спеціальності визначених галузей*)</w:t>
            </w:r>
          </w:p>
        </w:tc>
        <w:tc>
          <w:p>
            <w:pPr>
              <w:jc w:val="left"/>
            </w:pPr>
            <w:r>
              <w:t xml:space="preserve">Без вимог до стажу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Фахівець II категорії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Бакалавр (визначених галузей*)</w:t>
            </w:r>
          </w:p>
        </w:tc>
        <w:tc>
          <w:p>
            <w:pPr>
              <w:jc w:val="left"/>
            </w:pPr>
            <w:r>
              <w:t xml:space="preserve">Стаж на посаді фахівця або у сфері соц. роботи/медицини/оборони від 1 року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Фахівець I категорії</w:t>
            </w:r>
          </w:p>
        </w:tc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Бакалавр (визначених галузей*)</w:t>
            </w:r>
          </w:p>
        </w:tc>
        <w:tc>
          <w:p>
            <w:pPr>
              <w:jc w:val="left"/>
            </w:pPr>
            <w:r>
              <w:t xml:space="preserve">Стаж на посаді фахівця II категорії від 2 років або у відповідній сфері від 3 років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Провідний фахівець</w:t>
            </w:r>
          </w:p>
        </w:tc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Магістр (усі спеціальності визначених галузей*)</w:t>
            </w:r>
          </w:p>
        </w:tc>
        <w:tc>
          <w:p>
            <w:pPr>
              <w:jc w:val="left"/>
            </w:pPr>
            <w:r>
              <w:t xml:space="preserve">Стаж не регламентується стандартом (визначається посадовою інструкцією)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rPr>
          <w:b/>
          <w:bCs/>
        </w:rPr>
        <w:t xml:space="preserve">Дозволені галузі знань для кандидатів:</w:t>
      </w:r>
      <w:r>
        <w:t xml:space="preserve"> 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А «Освіта» (усі)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В «Культура, мистецтво та гуманітарні науки» (Богослов’я, Історія, Філологія, Соціокультурна діяльність)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С «Соціальні науки, журналістика та інформація» (Економіка, Політологія, Психологія, Соціологія, Журналістика, Міжнародні відносини)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D «Бізнес, адміністрування та право» (Право, Менеджмент, Публічне управління, Маркетинг, Облік, Фінанси)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F «Інформаційні технології» (усі)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G «Інженерія, виробництво та будівництво» (усі)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I «Охорона здоров’я та соціальне забезпечення» (усі)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J «Транспорт та послуги» (Охорона праці)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К «Безпека та оборона» (усі)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Карта трудових функцій для тестування</w:t>
      </w:r>
    </w:p>
    <w:p>
      <w:pPr>
        <w:spacing w:after="120"/>
        <w:jc w:val="left"/>
      </w:pPr>
      <w:r>
        <w:t xml:space="preserve">Для створення системи тестування ми повинні використати структуру з 8 ключових трудових функцій, визначених стандартом: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А. Організація і планування роботи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Нормативно-правові акти (НПА) та інструкції з діловодства, правила оформлення журналів прийому, НПА про звернення громадян, основи комп'ютерної грамотності.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Б. Ведення обліку ветеранів війни та членів їх сімей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Джерела та методи збору інформації, структура Єдиного державного реєстру ветеранів війни (ЄДРВВ), стандарти інформаційної безпеки, захист персональних даних.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В. Проведення зустрічей та первинне виявлення потреб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Методи первинної оцінки потреб, комунікативні технології (у т.ч. кроскультурна комунікація), основи психології спілкування, виявлення кризових станів.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Г. Інформування та консультування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Права, пільги та гарантії ветеранів (житлові, медичні, освітні, соціальні), механізми надання публічних послуг, НПА з соціального захисту.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Д. Здійснення супроводу ветеранів війни та членів їх сімей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Кейс-менеджмент (ведення випадку), взаємодія з органами місцевого самоврядування, ЦНАП, медичними та реабілітаційними закладами.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Е. Підготовка ветеранів та демобілізованих осіб до переходу до цивільного життя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Адаптаційні програми, профорієнтація, кар'єрне консультування, можливості перенавчання та працевлаштування ветеранів.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Є. Проведення моніторингу та оцінювання потреб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Інструменти збору відгуків, методики оцінки якості наданих послуг, коригування індивідуального плану супроводу.</w:t>
      </w:r>
    </w:p>
    <w:p>
      <w:pPr>
        <w:spacing w:after="100"/>
        <w:ind w:start="20"/>
        <w:jc w:val="left"/>
      </w:pPr>
      <w:r>
        <w:t xml:space="preserve">8. </w:t>
      </w:r>
      <w:r>
        <w:rPr>
          <w:b/>
          <w:bCs/>
        </w:rPr>
        <w:t xml:space="preserve">Ж. Формування та розвиток професійної компетентності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Знання</w:t>
      </w:r>
      <w:r>
        <w:t xml:space="preserve">: Професійна етика, методи запобігання професійному вигоранню, супервізія та інтервізія, самоорганізація.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Концепція вебресурсу Кваліфікаційного центру</w:t>
      </w:r>
    </w:p>
    <w:p>
      <w:pPr>
        <w:spacing w:after="120"/>
        <w:jc w:val="left"/>
      </w:pPr>
      <w:r>
        <w:t xml:space="preserve">Спираючись на ці дані, вебресурс повинен містити такі компоненти: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Інформаційний портал</w:t>
      </w:r>
      <w:r>
        <w:t xml:space="preserve">: Офіційний опис Центру, нормативна база, умови сертифікації, вимоги до освіти кандидатів з інтерактивним калькулятором відповідності.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Особистий кабінет здобувача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Подання заяви (завантаження документів: диплом, паспорт, підтвердження досвіду).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Інтерактивний покроковий майстер (Wizard) з перевіркою та підписанням (емуляція КЕП).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Інтерактивний тренажер тестування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Онлайн-тест з випадковим вибором питань з усіх 8 трудових функцій.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Оцінка результатів з детальною аналітикою (показ сильних та слабких сторін здобувача).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Панель адміністратора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Верифікація поданих заяв.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Видача та реєстр електронних сертифікатів згідно з формулою </w:t>
      </w:r>
      <w:r>
        <w:rPr>
          <w:rFonts w:ascii="Courier New" w:cs="Courier New" w:eastAsia="Courier New" w:hAnsi="Courier New"/>
          <w:shd w:fill="F1F5F9" w:color="auto" w:val="clear"/>
        </w:rPr>
        <w:t xml:space="preserve">СС ХХХХХХХХ/УУУУУУ-ZZ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190b2f0b383a267e3c38d04b8b9b5f94d3f59e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2026-06-20T06:39:50.551Z</dcterms:created>
  <dcterms:modified xsi:type="dcterms:W3CDTF">2026-06-20T06:39:50.551Z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