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1.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tcPr>
          <w:p>
            <w:pPr>
              <w:spacing w:before="80" w:after="80"/>
            </w:pPr>
            <w:r>
              <w:rPr>
                <w:rFonts w:ascii="Arial" w:cs="Arial" w:eastAsia="Arial" w:hAnsi="Arial"/>
                <w:color w:val="000000"/>
                <w:sz w:val="20"/>
                <w:szCs w:val="20"/>
              </w:rPr>
              <w:t xml:space="preserve"/>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tcPr>
          <w:p>
            <w:pPr>
              <w:spacing w:before="80" w:after="80"/>
            </w:pPr>
            <w:r>
              <w:rPr>
                <w:rFonts w:ascii="Arial" w:cs="Arial" w:eastAsia="Arial" w:hAnsi="Arial"/>
                <w:b/>
                <w:bCs/>
                <w:color w:val="FFFFFF"/>
                <w:sz w:val="20"/>
                <w:szCs w:val="20"/>
              </w:rPr>
              <w:t xml:space="preserve">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tcPr>
          <w:p>
            <w:pPr>
              <w:spacing w:before="80" w:after="80"/>
            </w:pPr>
            <w:r>
              <w:rPr>
                <w:rFonts w:ascii="Arial" w:cs="Arial" w:eastAsia="Arial" w:hAnsi="Arial"/>
                <w:b/>
                <w:bCs/>
                <w:color w:val="FFFFFF"/>
                <w:sz w:val="20"/>
                <w:szCs w:val="20"/>
              </w:rPr>
              <w:t xml:space="preserve">Description</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show_service_compilation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Compilation of Financial Statements</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Compilation of annual financial statements in accordance with APES 315 Compilation of Financial Information. Includes Balance Sheet, Profit &amp; Loss Statement, and Notes to Financial Statements.</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show_service_tax_return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Income Tax Return</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Preparation and lodgement of the income tax return for the entity for the relevant income year.</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show_service_bas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BAS Preparation</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Preparation and lodgement of Business Activity Statements for each applicable BAS period. Includes GST reconciliation.</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show_service_asic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ASIC Annual Review</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Review of ASIC annual statement and payment of annual review fee. Preparation of any required solvency declaration.</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show_service_trust_distribution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Trust Distribution Planning</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Review of trust income, preparation of trustee resolutions, distribution minutes, and beneficiary statements prior to 30 June each year.</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show_service_div7a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Division 7A Monitoring</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Annual review of director/shareholder loan accounts for Division 7A compliance. Preparation or review of complying loan agreements and minimum repayment calculations.</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show_service_fbt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Fringe Benefits Tax</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Preparation and lodgement of the annual Fringe Benefits Tax return including calculation of FBT liability and applicable concessions.</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show_service_tpar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Taxable Payments Annual Report (TPAR)</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Preparation and lodgement of the annual Taxable Payments Annual Report where applicable.</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if show_service_payroll_tax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Payroll Tax</w:t>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Preparation and lodgement of payroll tax returns with the relevant State Revenue Office. Includes annual reconciliation.</w:t>
            </w:r>
          </w:p>
        </w:tc>
      </w:tr>
      <w:tr>
        <w:tc>
          <w:tcPr>
            <w:tcW w:type="dxa" w:w="397"/>
            <w:tcBorders>
              <w:top w:val="none" w:color="FFFFFF" w:sz="0"/>
              <w:left w:val="none" w:color="FFFFFF" w:sz="0"/>
              <w:bottom w:val="none" w:color="FFFFFF" w:sz="0"/>
              <w:right w:val="none" w:color="FFFFFF" w:sz="0"/>
            </w:tcBorders>
            <w:tcMar>
              <w:top w:type="dxa" w:w="60"/>
              <w:left w:type="dxa" w:w="0"/>
              <w:bottom w:type="dxa" w:w="60"/>
              <w:right w:type="dxa" w:w="80"/>
            </w:tcMar>
          </w:tcPr>
          <w:p>
            <w:pPr>
              <w:spacing w:before="80" w:after="80"/>
            </w:pPr>
            <w:r>
              <w:rPr>
                <w:rFonts w:ascii="Courier New" w:cs="Courier New" w:eastAsia="Courier New" w:hAnsi="Courier New"/>
                <w:color w:val="888888"/>
                <w:sz w:val="15"/>
                <w:szCs w:val="15"/>
              </w:rPr>
              <w:t xml:space="preserve">{% endif %}</w:t>
            </w:r>
          </w:p>
        </w:tc>
        <w:tc>
          <w:tcPr>
            <w:tcW w:type="dxa" w:w="2552"/>
            <w:tcBorders>
              <w:top w:val="none" w:color="FFFFFF" w:sz="0"/>
              <w:left w:val="none" w:color="FFFFFF" w:sz="0"/>
              <w:bottom w:val="none" w:color="FFFFFF" w:sz="0"/>
              <w:right w:val="none" w:color="FFFFFF" w:sz="0"/>
            </w:tcBorders>
            <w:tcMar>
              <w:top w:type="dxa" w:w="60"/>
              <w:left w:type="dxa" w:w="80"/>
              <w:bottom w:type="dxa" w:w="60"/>
              <w:right w:type="dxa" w:w="80"/>
            </w:tcMar>
          </w:tcPr>
          <w:p>
            <w:pPr>
              <w:spacing w:before="80" w:after="80"/>
            </w:pPr>
            <w:r>
              <w:rPr>
                <w:rFonts w:ascii="Arial" w:cs="Arial" w:eastAsia="Arial" w:hAnsi="Arial"/>
                <w:b/>
                <w:bCs/>
                <w:color w:val="000000"/>
                <w:sz w:val="20"/>
                <w:szCs w:val="20"/>
              </w:rPr>
              <w:t xml:space="preserve"/>
            </w:r>
          </w:p>
        </w:tc>
        <w:tc>
          <w:tcPr>
            <w:tcW w:type="dxa" w:w="6407"/>
            <w:tcBorders>
              <w:top w:val="none" w:color="FFFFFF" w:sz="0"/>
              <w:left w:val="none" w:color="FFFFFF" w:sz="0"/>
              <w:bottom w:val="none" w:color="FFFFFF" w:sz="0"/>
              <w:right w:val="none" w:color="FFFFFF" w:sz="0"/>
            </w:tcBorders>
            <w:tcMar>
              <w:top w:type="dxa" w:w="60"/>
              <w:left w:type="dxa" w:w="80"/>
              <w:bottom w:type="dxa" w:w="60"/>
              <w:right w:type="dxa" w:w="0"/>
            </w:tcMar>
          </w:tcPr>
          <w:p>
            <w:pPr>
              <w:spacing w:before="80" w:after="80"/>
            </w:pPr>
            <w:r>
              <w:rPr>
                <w:rFonts w:ascii="Arial" w:cs="Arial" w:eastAsia="Arial" w:hAnsi="Arial"/>
                <w:color w:val="000000"/>
                <w:sz w:val="20"/>
                <w:szCs w:val="20"/>
              </w:rPr>
              <w:t xml:space="preserve"/>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2.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3.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4.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5.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6.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7.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8.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 default('N/A') }}</w:t>
      </w:r>
      <w:r>
        <w:rPr>
          <w:rFonts w:ascii="Arial" w:cs="Arial" w:eastAsia="Arial" w:hAnsi="Arial"/>
          <w:color w:val="000000"/>
          <w:sz w:val="20"/>
          <w:szCs w:val="20"/>
        </w:rPr>
        <w:t xml:space="preserve">.</w:t>
      </w:r>
    </w:p>
    <w:p>
      <w:pPr>
        <w:pBdr>
          <w:bottom w:val="single" w:color="000000" w:sz="6" w:space="3"/>
        </w:pBdr>
        <w:spacing w:before="240" w:after="80"/>
      </w:pPr>
      <w:r>
        <w:rPr>
          <w:rFonts w:ascii="Arial" w:cs="Arial" w:eastAsia="Arial" w:hAnsi="Arial"/>
          <w:b/>
          <w:bCs/>
          <w:color w:val="000000"/>
          <w:sz w:val="20"/>
          <w:szCs w:val="20"/>
        </w:rPr>
        <w:t xml:space="preserve">9.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10.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11.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12.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13.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