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A8887" w14:textId="77777777" w:rsidR="00EF0209" w:rsidRDefault="00000000">
      <w:pPr>
        <w:pStyle w:val="Heading1"/>
      </w:pPr>
      <w:r>
        <w:t>Implementation Analytics Portfolio Project</w:t>
      </w:r>
    </w:p>
    <w:p w14:paraId="62D4886B" w14:textId="77777777" w:rsidR="00EF0209" w:rsidRDefault="00000000">
      <w:pPr>
        <w:pStyle w:val="Heading2"/>
      </w:pPr>
      <w:r>
        <w:t>Implementation Summary</w:t>
      </w:r>
    </w:p>
    <w:p w14:paraId="0E8267DC" w14:textId="77777777" w:rsidR="00EF0209" w:rsidRDefault="00000000">
      <w:r>
        <w:t>This project simulates the implementation of operational reporting logic to support airport resource planning decisions. The analysis demonstrates how business rules related to aircraft size classification and delay status can be embedded into reporting and operational systems to improve gate assignment, staffing, and boarding efficiency.</w:t>
      </w:r>
    </w:p>
    <w:p w14:paraId="3BD7277B" w14:textId="77777777" w:rsidR="00EF0209" w:rsidRDefault="00000000">
      <w:pPr>
        <w:pStyle w:val="Heading2"/>
      </w:pPr>
      <w:r>
        <w:t>Business Context</w:t>
      </w:r>
    </w:p>
    <w:p w14:paraId="48127B3D" w14:textId="77777777" w:rsidR="00EF0209" w:rsidRDefault="00000000">
      <w:r>
        <w:t>Airport managers must understand aircraft size distribution and delay patterns to allocate gates, crews, and boarding resources efficiently. Aircraft are classified as widebody or narrowbody based on seating capacity, which directly affects operational planning.</w:t>
      </w:r>
    </w:p>
    <w:p w14:paraId="080EC009" w14:textId="77777777" w:rsidR="00EF0209" w:rsidRDefault="00000000">
      <w:pPr>
        <w:pStyle w:val="Heading2"/>
      </w:pPr>
      <w:r>
        <w:t>Business Rules Implemented</w:t>
      </w:r>
    </w:p>
    <w:p w14:paraId="38E9C9D3" w14:textId="77777777" w:rsidR="00EF0209" w:rsidRDefault="00000000">
      <w:r>
        <w:t>• Aircraft are classified as Widebody when total seats are greater than or equal to 300.</w:t>
      </w:r>
      <w:r>
        <w:br/>
        <w:t>• Aircraft are classified as Narrowbody when total seats are fewer than 300.</w:t>
      </w:r>
      <w:r>
        <w:br/>
        <w:t>• Flights are categorized by delay status:</w:t>
      </w:r>
      <w:r>
        <w:br/>
        <w:t xml:space="preserve">   - Early: delay ≤ -5 minutes</w:t>
      </w:r>
      <w:r>
        <w:br/>
        <w:t xml:space="preserve">   - On Time: delay between -5 and 5 minutes</w:t>
      </w:r>
      <w:r>
        <w:br/>
        <w:t xml:space="preserve">   - Late: delay ≥ 5 minutes</w:t>
      </w:r>
    </w:p>
    <w:p w14:paraId="7BF07219" w14:textId="77777777" w:rsidR="00EF0209" w:rsidRDefault="00000000">
      <w:pPr>
        <w:pStyle w:val="Heading2"/>
      </w:pPr>
      <w:r>
        <w:t>Data Transformation and Analysis</w:t>
      </w:r>
    </w:p>
    <w:p w14:paraId="5256301A" w14:textId="77777777" w:rsidR="00EF0209" w:rsidRDefault="00000000">
      <w:r>
        <w:t>SQL transformations were used to create derived fields for aircraft size and delay status. Aggregate queries calculated the percentage of flights by aircraft category and summarized delay patterns across flight distances.</w:t>
      </w:r>
    </w:p>
    <w:p w14:paraId="4F803B92" w14:textId="77777777" w:rsidR="00EF0209" w:rsidRDefault="00000000">
      <w:pPr>
        <w:pStyle w:val="Heading2"/>
      </w:pPr>
      <w:r>
        <w:t>Operational Impact</w:t>
      </w:r>
    </w:p>
    <w:p w14:paraId="057A3FFC" w14:textId="77777777" w:rsidR="00EF0209" w:rsidRDefault="00000000">
      <w:r>
        <w:t>The percentage breakdown of widebody versus narrowbody aircraft supports gate utilization planning and staffing models. Delay status categorization allows operations teams to quickly assess on-time performance trends and identify areas for process improvement.</w:t>
      </w:r>
    </w:p>
    <w:p w14:paraId="3DF56842" w14:textId="77777777" w:rsidR="00EF0209" w:rsidRDefault="00000000">
      <w:pPr>
        <w:pStyle w:val="Heading2"/>
      </w:pPr>
      <w:r>
        <w:t>Validation and Findings</w:t>
      </w:r>
    </w:p>
    <w:p w14:paraId="0AAD9148" w14:textId="77777777" w:rsidR="00EF0209" w:rsidRDefault="00000000">
      <w:r>
        <w:t>Analysis of average flight distance by delay status revealed no consistent relationship between route length and arrival delay. This validates that delay classification logic can be applied uniformly across routes without introducing bias.</w:t>
      </w:r>
    </w:p>
    <w:p w14:paraId="3FAB40D0" w14:textId="77777777" w:rsidR="00EF0209" w:rsidRDefault="00000000">
      <w:pPr>
        <w:pStyle w:val="Heading2"/>
      </w:pPr>
      <w:r>
        <w:t>Next Steps for Implementation</w:t>
      </w:r>
    </w:p>
    <w:p w14:paraId="27E2343F" w14:textId="77777777" w:rsidR="00EF0209" w:rsidRDefault="00000000">
      <w:r>
        <w:t>• Integrate aircraft size and delay status logic into operational dashboards</w:t>
      </w:r>
      <w:r>
        <w:br/>
        <w:t>• Perform user acceptance testing with historical data</w:t>
      </w:r>
      <w:r>
        <w:br/>
        <w:t>• Monitor post-implementation KPIs including gate utilization and on-time performance</w:t>
      </w:r>
      <w:r>
        <w:br/>
        <w:t>• Iterate business rules based on stakeholder feedback</w:t>
      </w:r>
    </w:p>
    <w:p w14:paraId="2BFB0FB5" w14:textId="77777777" w:rsidR="00EF0209" w:rsidRDefault="00000000">
      <w:pPr>
        <w:pStyle w:val="Heading2"/>
      </w:pPr>
      <w:r>
        <w:lastRenderedPageBreak/>
        <w:t>Tools and Skills Demonstrated</w:t>
      </w:r>
    </w:p>
    <w:p w14:paraId="59965CC8" w14:textId="77777777" w:rsidR="00EF0209" w:rsidRDefault="00000000">
      <w:r>
        <w:t>• SQL data transformation and aggregation</w:t>
      </w:r>
      <w:r>
        <w:br/>
        <w:t>• Business rule implementation</w:t>
      </w:r>
      <w:r>
        <w:br/>
        <w:t>• Operational analytics</w:t>
      </w:r>
      <w:r>
        <w:br/>
        <w:t>• Stakeholder-focused reporting</w:t>
      </w:r>
      <w:r>
        <w:br/>
        <w:t>• Data validation and quality assurance</w:t>
      </w:r>
    </w:p>
    <w:sectPr w:rsidR="00EF02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427702">
    <w:abstractNumId w:val="8"/>
  </w:num>
  <w:num w:numId="2" w16cid:durableId="477382820">
    <w:abstractNumId w:val="6"/>
  </w:num>
  <w:num w:numId="3" w16cid:durableId="1096560560">
    <w:abstractNumId w:val="5"/>
  </w:num>
  <w:num w:numId="4" w16cid:durableId="1253584580">
    <w:abstractNumId w:val="4"/>
  </w:num>
  <w:num w:numId="5" w16cid:durableId="2072191643">
    <w:abstractNumId w:val="7"/>
  </w:num>
  <w:num w:numId="6" w16cid:durableId="293410280">
    <w:abstractNumId w:val="3"/>
  </w:num>
  <w:num w:numId="7" w16cid:durableId="1340233184">
    <w:abstractNumId w:val="2"/>
  </w:num>
  <w:num w:numId="8" w16cid:durableId="549918959">
    <w:abstractNumId w:val="1"/>
  </w:num>
  <w:num w:numId="9" w16cid:durableId="808943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480"/>
    <w:rsid w:val="00034616"/>
    <w:rsid w:val="0006063C"/>
    <w:rsid w:val="0015074B"/>
    <w:rsid w:val="0029639D"/>
    <w:rsid w:val="00326F90"/>
    <w:rsid w:val="008B08D7"/>
    <w:rsid w:val="00AA1D8D"/>
    <w:rsid w:val="00B47730"/>
    <w:rsid w:val="00CB0664"/>
    <w:rsid w:val="00EF02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85BAC"/>
  <w14:defaultImageDpi w14:val="300"/>
  <w15:docId w15:val="{182C8137-7CEA-415C-85E3-06B813BB4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Micayla Covington</cp:lastModifiedBy>
  <cp:revision>2</cp:revision>
  <dcterms:created xsi:type="dcterms:W3CDTF">2026-02-07T21:32:00Z</dcterms:created>
  <dcterms:modified xsi:type="dcterms:W3CDTF">2026-02-07T21:32:00Z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7ee6bf02-a6e0-412f-a160-b585a7456708</vt:lpwstr>
  </property>
</Properties>
</file>