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B2D8E"/>
          <w:sz w:val="18"/>
          <w:szCs w:val="18"/>
        </w:rPr>
        <w:t xml:space="preserve">WEEK 4 — GRADED ASSIGNMENT 4.2</w:t>
      </w:r>
    </w:p>
    <w:p>
      <w:pPr>
        <w:spacing w:after="200"/>
      </w:pPr>
      <w:r>
        <w:rPr>
          <w:b/>
          <w:bCs/>
          <w:color w:val="5B2D8E"/>
          <w:sz w:val="44"/>
          <w:szCs w:val="44"/>
        </w:rPr>
        <w:t xml:space="preserve">Reflection Write-Up</w:t>
      </w:r>
    </w:p>
    <w:p>
      <w:pPr>
        <w:spacing w:after="40"/>
      </w:pPr>
      <w:r>
        <w:rPr>
          <w:i/>
          <w:iCs/>
          <w:color w:val="333333"/>
          <w:sz w:val="22"/>
          <w:szCs w:val="22"/>
        </w:rPr>
        <w:t xml:space="preserve">PaycheckPal — AI-Powered Payslip &amp; Budget Analyzer</w:t>
      </w:r>
    </w:p>
    <w:p>
      <w:pPr>
        <w:spacing w:after="40"/>
      </w:pPr>
      <w:r>
        <w:rPr>
          <w:color w:val="333333"/>
          <w:sz w:val="18"/>
          <w:szCs w:val="18"/>
        </w:rPr>
        <w:t xml:space="preserve">Prepared for: Asian Institute of Management — Postgraduate Certificate in Generative AI &amp; Agentic AI</w:t>
      </w:r>
    </w:p>
    <w:p>
      <w:pPr>
        <w:spacing w:after="300"/>
      </w:pPr>
      <w:r>
        <w:rPr>
          <w:color w:val="333333"/>
          <w:sz w:val="18"/>
          <w:szCs w:val="18"/>
        </w:rPr>
        <w:t xml:space="preserve">Date: July 2026</w:t>
      </w:r>
    </w:p>
    <w:p>
      <w:pPr>
        <w:pStyle w:val="Heading1"/>
        <w:pBdr>
          <w:bottom w:val="single" w:color="5B2D8E" w:sz="6" w:space="4"/>
        </w:pBdr>
        <w:spacing w:after="150" w:before="300"/>
      </w:pPr>
      <w:r>
        <w:rPr>
          <w:b/>
          <w:bCs/>
          <w:color w:val="5B2D8E"/>
          <w:sz w:val="26"/>
          <w:szCs w:val="26"/>
        </w:rPr>
        <w:t xml:space="preserve">What I Built</w:t>
      </w:r>
    </w:p>
    <w:p>
      <w:pPr>
        <w:spacing w:after="200" w:line="300"/>
      </w:pPr>
      <w:r>
        <w:rPr>
          <w:color w:val="333333"/>
          <w:sz w:val="22"/>
          <w:szCs w:val="22"/>
        </w:rPr>
        <w:t xml:space="preserve">PaycheckPal is an AI-powered payslip reader and budget planner for Filipino NCR professionals. Users upload or paste a payslip, and Gemini (via the Vercel AI SDK) extracts gross pay, net pay, and the four statutory deductions (SSS, PhilHealth, Pag-IBIG, withholding tax). The app explains each deduction in plain language, flags anomalies against expected contribution rates, and generates a localized 50/30/20 budget recommendation based on net pay and a user-declared monthly remittance. Payslip history is tracked over time in a Supabase-backed, RLS-isolated database that deliberately excludes any personally identifying fields.</w:t>
      </w:r>
    </w:p>
    <w:p>
      <w:pPr>
        <w:pStyle w:val="Heading1"/>
        <w:pBdr>
          <w:bottom w:val="single" w:color="5B2D8E" w:sz="6" w:space="4"/>
        </w:pBdr>
        <w:spacing w:after="150" w:before="300"/>
      </w:pPr>
      <w:r>
        <w:rPr>
          <w:b/>
          <w:bCs/>
          <w:color w:val="5B2D8E"/>
          <w:sz w:val="26"/>
          <w:szCs w:val="26"/>
        </w:rPr>
        <w:t xml:space="preserve">Key Learnings</w:t>
      </w:r>
    </w:p>
    <w:p>
      <w:pPr>
        <w:spacing w:after="200" w:line="300"/>
      </w:pPr>
      <w:r>
        <w:rPr>
          <w:b/>
          <w:bCs/>
          <w:color w:val="333333"/>
          <w:sz w:val="22"/>
          <w:szCs w:val="22"/>
        </w:rPr>
        <w:t xml:space="preserve">AI provider selection is a moving target, not a one-time decision.</w:t>
      </w:r>
      <w:r>
        <w:rPr>
          <w:color w:val="333333"/>
          <w:sz w:val="22"/>
          <w:szCs w:val="22"/>
        </w:rPr>
        <w:t xml:space="preserve"> I started with the spec’s assumption of Anthropic Claude or OpenAI, but pivoted to Google Gemini for free-tier access. Even within Gemini, the specific model mattered: </w:t>
      </w:r>
      <w:r>
        <w:rPr>
          <w:rFonts w:ascii="Consolas" w:cs="Consolas" w:eastAsia="Consolas" w:hAnsi="Consolas"/>
          <w:color w:val="A6266E"/>
          <w:sz w:val="20"/>
          <w:szCs w:val="20"/>
        </w:rPr>
        <w:t xml:space="preserve">gemini-2.0-flash</w:t>
      </w:r>
      <w:r>
        <w:rPr>
          <w:color w:val="333333"/>
          <w:sz w:val="22"/>
          <w:szCs w:val="22"/>
        </w:rPr>
        <w:t xml:space="preserve"> returned a "limit: 0" free-tier quota error on two separate, freshly created API keys, while </w:t>
      </w:r>
      <w:r>
        <w:rPr>
          <w:rFonts w:ascii="Consolas" w:cs="Consolas" w:eastAsia="Consolas" w:hAnsi="Consolas"/>
          <w:color w:val="A6266E"/>
          <w:sz w:val="20"/>
          <w:szCs w:val="20"/>
        </w:rPr>
        <w:t xml:space="preserve">gemini-flash-latest</w:t>
      </w:r>
      <w:r>
        <w:rPr>
          <w:color w:val="333333"/>
          <w:sz w:val="22"/>
          <w:szCs w:val="22"/>
        </w:rPr>
        <w:t xml:space="preserve"> worked immediately. Model availability under the free tier shifts over time — the model name in a tutorial or spec doc from a few months ago is not guaranteed to still be free-tier-eligible.</w:t>
      </w:r>
    </w:p>
    <w:p>
      <w:pPr>
        <w:spacing w:after="200" w:line="300"/>
      </w:pPr>
      <w:r>
        <w:rPr>
          <w:b/>
          <w:bCs/>
          <w:color w:val="333333"/>
          <w:sz w:val="22"/>
          <w:szCs w:val="22"/>
        </w:rPr>
        <w:t xml:space="preserve">"It works on my machine" doesn’t mean it works in CI or in production</w:t>
      </w:r>
      <w:r>
        <w:rPr>
          <w:color w:val="333333"/>
          <w:sz w:val="22"/>
          <w:szCs w:val="22"/>
        </w:rPr>
        <w:t xml:space="preserve">, and each environment fails differently for the same root cause. Locally, </w:t>
      </w:r>
      <w:r>
        <w:rPr>
          <w:rFonts w:ascii="Consolas" w:cs="Consolas" w:eastAsia="Consolas" w:hAnsi="Consolas"/>
          <w:color w:val="A6266E"/>
          <w:sz w:val="20"/>
          <w:szCs w:val="20"/>
        </w:rPr>
        <w:t xml:space="preserve">next build</w:t>
      </w:r>
      <w:r>
        <w:rPr>
          <w:color w:val="333333"/>
          <w:sz w:val="22"/>
          <w:szCs w:val="22"/>
        </w:rPr>
        <w:t xml:space="preserve"> succeeded because </w:t>
      </w:r>
      <w:r>
        <w:rPr>
          <w:rFonts w:ascii="Consolas" w:cs="Consolas" w:eastAsia="Consolas" w:hAnsi="Consolas"/>
          <w:color w:val="A6266E"/>
          <w:sz w:val="20"/>
          <w:szCs w:val="20"/>
        </w:rPr>
        <w:t xml:space="preserve">.env.local</w:t>
      </w:r>
      <w:r>
        <w:rPr>
          <w:color w:val="333333"/>
          <w:sz w:val="22"/>
          <w:szCs w:val="22"/>
        </w:rPr>
        <w:t xml:space="preserve"> always had a valid Supabase URL. In GitHub Actions, where no env vars exist at all, the exact same code failed with </w:t>
      </w:r>
      <w:r>
        <w:rPr>
          <w:rFonts w:ascii="Consolas" w:cs="Consolas" w:eastAsia="Consolas" w:hAnsi="Consolas"/>
          <w:color w:val="A6266E"/>
          <w:sz w:val="20"/>
          <w:szCs w:val="20"/>
        </w:rPr>
        <w:t xml:space="preserve">Error: supabaseUrl is required.</w:t>
      </w:r>
      <w:r>
        <w:rPr>
          <w:color w:val="333333"/>
          <w:sz w:val="22"/>
          <w:szCs w:val="22"/>
        </w:rPr>
        <w:t xml:space="preserve"> during static prerendering — a failure mode I’d never hit locally because I’d never actually tested a build with zero environment variables present.</w:t>
      </w:r>
    </w:p>
    <w:p>
      <w:pPr>
        <w:spacing w:after="200" w:line="300"/>
      </w:pPr>
      <w:r>
        <w:rPr>
          <w:b/>
          <w:bCs/>
          <w:color w:val="333333"/>
          <w:sz w:val="22"/>
          <w:szCs w:val="22"/>
        </w:rPr>
        <w:t xml:space="preserve">Free-tier rate limits are a real product constraint, not just a testing inconvenience.</w:t>
      </w:r>
      <w:r>
        <w:rPr>
          <w:color w:val="333333"/>
          <w:sz w:val="22"/>
          <w:szCs w:val="22"/>
        </w:rPr>
        <w:t xml:space="preserve"> Gemini’s free tier caps at roughly 20 requests/day for the model I used. That’s fine for spaced-out real usage, but our own testing during development burned through it repeatedly, and a live demo or grader session could plausibly hit the same wall. This is worth designing around (or budgeting for a paid tier) before treating a free-tier LLM as production-ready.</w:t>
      </w:r>
    </w:p>
    <w:p>
      <w:pPr>
        <w:pStyle w:val="Heading1"/>
        <w:pBdr>
          <w:bottom w:val="single" w:color="5B2D8E" w:sz="6" w:space="4"/>
        </w:pBdr>
        <w:spacing w:after="150" w:before="300"/>
      </w:pPr>
      <w:r>
        <w:rPr>
          <w:b/>
          <w:bCs/>
          <w:color w:val="5B2D8E"/>
          <w:sz w:val="26"/>
          <w:szCs w:val="26"/>
        </w:rPr>
        <w:t xml:space="preserve">Challenges Faced (and How I Diagnosed Them)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b/>
          <w:bCs/>
          <w:color w:val="333333"/>
          <w:sz w:val="22"/>
          <w:szCs w:val="22"/>
        </w:rPr>
        <w:t xml:space="preserve">A pasted-in-the-wrong-field Supabase credential.</w:t>
      </w:r>
      <w:r>
        <w:rPr>
          <w:color w:val="333333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A6266E"/>
          <w:sz w:val="20"/>
          <w:szCs w:val="20"/>
        </w:rPr>
        <w:t xml:space="preserve">NEXT_PUBLIC_SUPABASE_URL</w:t>
      </w:r>
      <w:r>
        <w:rPr>
          <w:color w:val="333333"/>
          <w:sz w:val="22"/>
          <w:szCs w:val="22"/>
        </w:rPr>
        <w:t xml:space="preserve"> in </w:t>
      </w:r>
      <w:r>
        <w:rPr>
          <w:rFonts w:ascii="Consolas" w:cs="Consolas" w:eastAsia="Consolas" w:hAnsi="Consolas"/>
          <w:color w:val="A6266E"/>
          <w:sz w:val="20"/>
          <w:szCs w:val="20"/>
        </w:rPr>
        <w:t xml:space="preserve">.env.local</w:t>
      </w:r>
      <w:r>
        <w:rPr>
          <w:color w:val="333333"/>
          <w:sz w:val="22"/>
          <w:szCs w:val="22"/>
        </w:rPr>
        <w:t xml:space="preserve"> was actually a Supabase publishable key value, not a URL — so every Supabase call failed with a generic </w:t>
      </w:r>
      <w:r>
        <w:rPr>
          <w:rFonts w:ascii="Consolas" w:cs="Consolas" w:eastAsia="Consolas" w:hAnsi="Consolas"/>
          <w:color w:val="A6266E"/>
          <w:sz w:val="20"/>
          <w:szCs w:val="20"/>
        </w:rPr>
        <w:t xml:space="preserve">Failed to fetch</w:t>
      </w:r>
      <w:r>
        <w:rPr>
          <w:color w:val="333333"/>
          <w:sz w:val="22"/>
          <w:szCs w:val="22"/>
        </w:rPr>
        <w:t xml:space="preserve">. I decoded the JWT payload of the (correct) anon key to recover the real project ref and fix the URL. Lesson: when an external service call fails with no useful error, verify the credentials are in the right fields, not just that they’re present.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b/>
          <w:bCs/>
          <w:color w:val="333333"/>
          <w:sz w:val="22"/>
          <w:szCs w:val="22"/>
        </w:rPr>
        <w:t xml:space="preserve">Vercel’s Deployment Protection silently gated the "live" URL</w:t>
      </w:r>
      <w:r>
        <w:rPr>
          <w:color w:val="333333"/>
          <w:sz w:val="22"/>
          <w:szCs w:val="22"/>
        </w:rPr>
        <w:t xml:space="preserve"> behind a Vercel login wall, which would have failed the "live app must be publicly accessible" requirement entirely if not caught before submission.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b/>
          <w:bCs/>
          <w:color w:val="333333"/>
          <w:sz w:val="22"/>
          <w:szCs w:val="22"/>
        </w:rPr>
        <w:t xml:space="preserve">An invalid Tailwind class (bg-gray-750) rendered as a no-op</w:t>
      </w:r>
      <w:r>
        <w:rPr>
          <w:color w:val="333333"/>
          <w:sz w:val="22"/>
          <w:szCs w:val="22"/>
        </w:rPr>
        <w:t xml:space="preserve">, leaving several form inputs with white-on-white text — invisible unless selected. Tailwind fails silently on invalid utility classes rather than erroring, so this shipped without anyone noticing until visually inspected.</w:t>
      </w:r>
    </w:p>
    <w:p>
      <w:pPr>
        <w:pStyle w:val="ListParagraph"/>
        <w:numPr>
          <w:ilvl w:val="0"/>
          <w:numId w:val="2"/>
        </w:numPr>
        <w:spacing w:after="160" w:line="300"/>
      </w:pPr>
      <w:r>
        <w:rPr>
          <w:b/>
          <w:bCs/>
          <w:color w:val="333333"/>
          <w:sz w:val="22"/>
          <w:szCs w:val="22"/>
        </w:rPr>
        <w:t xml:space="preserve">Supabase’s shared free-tier SMTP is unreliable and rate-limited</w:t>
      </w:r>
      <w:r>
        <w:rPr>
          <w:color w:val="333333"/>
          <w:sz w:val="22"/>
          <w:szCs w:val="22"/>
        </w:rPr>
        <w:t xml:space="preserve">, which meant the standard email-confirmation signup flow couldn’t be trusted for a live demo. I had to explicitly disable "Confirm email" in the Supabase auth settings, and even then, a stray toggle-without-save meant it took two attempts to actually take effect.</w:t>
      </w:r>
    </w:p>
    <w:p>
      <w:pPr>
        <w:pStyle w:val="Heading1"/>
        <w:pBdr>
          <w:bottom w:val="single" w:color="5B2D8E" w:sz="6" w:space="4"/>
        </w:pBdr>
        <w:spacing w:after="150" w:before="300"/>
      </w:pPr>
      <w:r>
        <w:rPr>
          <w:b/>
          <w:bCs/>
          <w:color w:val="5B2D8E"/>
          <w:sz w:val="26"/>
          <w:szCs w:val="26"/>
        </w:rPr>
        <w:t xml:space="preserve">What I’d Improve for a Future Version</w:t>
      </w:r>
    </w:p>
    <w:p>
      <w:pPr>
        <w:pStyle w:val="ListParagraph"/>
        <w:numPr>
          <w:ilvl w:val="0"/>
          <w:numId w:val="3"/>
        </w:numPr>
        <w:spacing w:after="160" w:line="300"/>
      </w:pPr>
      <w:r>
        <w:rPr>
          <w:b/>
          <w:bCs/>
          <w:color w:val="333333"/>
          <w:sz w:val="22"/>
          <w:szCs w:val="22"/>
        </w:rPr>
        <w:t xml:space="preserve">Server-side range validation using an actual service-role key</w:t>
      </w:r>
      <w:r>
        <w:rPr>
          <w:color w:val="333333"/>
          <w:sz w:val="22"/>
          <w:szCs w:val="22"/>
        </w:rPr>
        <w:t xml:space="preserve">, rather than relying on RLS + client-side checks alone, once the app moves beyond MVP scope.</w:t>
      </w:r>
    </w:p>
    <w:p>
      <w:pPr>
        <w:pStyle w:val="ListParagraph"/>
        <w:numPr>
          <w:ilvl w:val="0"/>
          <w:numId w:val="3"/>
        </w:numPr>
        <w:spacing w:after="160" w:line="300"/>
      </w:pPr>
      <w:r>
        <w:rPr>
          <w:b/>
          <w:bCs/>
          <w:color w:val="333333"/>
          <w:sz w:val="22"/>
          <w:szCs w:val="22"/>
        </w:rPr>
        <w:t xml:space="preserve">A paid or self-hosted LLM tier</w:t>
      </w:r>
      <w:r>
        <w:rPr>
          <w:color w:val="333333"/>
          <w:sz w:val="22"/>
          <w:szCs w:val="22"/>
        </w:rPr>
        <w:t xml:space="preserve"> before any real launch, given the free-tier daily quota ceiling observed during development.</w:t>
      </w:r>
    </w:p>
    <w:p>
      <w:pPr>
        <w:pStyle w:val="ListParagraph"/>
        <w:numPr>
          <w:ilvl w:val="0"/>
          <w:numId w:val="3"/>
        </w:numPr>
        <w:spacing w:after="160" w:line="300"/>
      </w:pPr>
      <w:r>
        <w:rPr>
          <w:b/>
          <w:bCs/>
          <w:color w:val="333333"/>
          <w:sz w:val="22"/>
          <w:szCs w:val="22"/>
        </w:rPr>
        <w:t xml:space="preserve">Automated visual regression testing</w:t>
      </w:r>
      <w:r>
        <w:rPr>
          <w:color w:val="333333"/>
          <w:sz w:val="22"/>
          <w:szCs w:val="22"/>
        </w:rPr>
        <w:t xml:space="preserve"> (or at minimum a design-system lint rule) to catch invalid Tailwind classes like </w:t>
      </w:r>
      <w:r>
        <w:rPr>
          <w:rFonts w:ascii="Consolas" w:cs="Consolas" w:eastAsia="Consolas" w:hAnsi="Consolas"/>
          <w:color w:val="A6266E"/>
          <w:sz w:val="20"/>
          <w:szCs w:val="20"/>
        </w:rPr>
        <w:t xml:space="preserve">bg-gray-750</w:t>
      </w:r>
      <w:r>
        <w:rPr>
          <w:color w:val="333333"/>
          <w:sz w:val="22"/>
          <w:szCs w:val="22"/>
        </w:rPr>
        <w:t xml:space="preserve"> before they ship silently.</w:t>
      </w:r>
    </w:p>
    <w:p>
      <w:pPr>
        <w:pStyle w:val="ListParagraph"/>
        <w:numPr>
          <w:ilvl w:val="0"/>
          <w:numId w:val="3"/>
        </w:numPr>
        <w:spacing w:after="160" w:line="300"/>
      </w:pPr>
      <w:r>
        <w:rPr>
          <w:b/>
          <w:bCs/>
          <w:color w:val="333333"/>
          <w:sz w:val="22"/>
          <w:szCs w:val="22"/>
        </w:rPr>
        <w:t xml:space="preserve">Actual OCR/image-parsing accuracy testing</w:t>
      </w:r>
      <w:r>
        <w:rPr>
          <w:color w:val="333333"/>
          <w:sz w:val="22"/>
          <w:szCs w:val="22"/>
        </w:rPr>
        <w:t xml:space="preserve"> against the ≥80% success-metric target in the PRD, using a diverse set of real Philippine payslip layouts — something I didn’t have time to formally benchmark, only spot-check.</w:t>
      </w:r>
    </w:p>
    <w:p>
      <w:pPr>
        <w:pStyle w:val="ListParagraph"/>
        <w:numPr>
          <w:ilvl w:val="0"/>
          <w:numId w:val="3"/>
        </w:numPr>
        <w:spacing w:after="160" w:line="300"/>
      </w:pPr>
      <w:r>
        <w:rPr>
          <w:b/>
          <w:bCs/>
          <w:color w:val="333333"/>
          <w:sz w:val="22"/>
          <w:szCs w:val="22"/>
        </w:rPr>
        <w:t xml:space="preserve">Persisted user preferences beyond remittance</w:t>
      </w:r>
      <w:r>
        <w:rPr>
          <w:color w:val="333333"/>
          <w:sz w:val="22"/>
          <w:szCs w:val="22"/>
        </w:rPr>
        <w:t xml:space="preserve"> (e.g., a saved default gross-pay range) to reduce repetitive data entry across sessions.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2026-07-12T15:43:18.362Z</dcterms:created>
  <dcterms:modified xsi:type="dcterms:W3CDTF">2026-07-12T15:43:18.364Z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