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44FC0050" w14:textId="6B521B58" w:rsidR="00E201DA" w:rsidRDefault="00E201DA" w:rsidP="005E3610">
      <w:pPr>
        <w:jc w:val="center"/>
        <w:rPr>
          <w:b/>
          <w:i/>
          <w:noProof/>
          <w:sz w:val="32"/>
          <w:lang w:val="en-US" w:eastAsia="el-GR"/>
        </w:rPr>
      </w:pPr>
    </w:p>
    <w:p w14:paraId="47EFEB04" w14:textId="48A86636" w:rsidR="00E201DA" w:rsidRDefault="00E201DA" w:rsidP="005E3610">
      <w:pPr>
        <w:jc w:val="center"/>
        <w:rPr>
          <w:b/>
          <w:i/>
          <w:noProof/>
          <w:sz w:val="32"/>
          <w:lang w:val="en-US" w:eastAsia="el-GR"/>
        </w:rPr>
      </w:pPr>
    </w:p>
    <w:p w14:paraId="7F66049F" w14:textId="13C5B925" w:rsidR="00E201DA" w:rsidRDefault="00E201DA" w:rsidP="005E3610">
      <w:pPr>
        <w:jc w:val="center"/>
        <w:rPr>
          <w:b/>
          <w:i/>
          <w:noProof/>
          <w:sz w:val="32"/>
          <w:lang w:val="en-US" w:eastAsia="el-GR"/>
        </w:rPr>
      </w:pPr>
    </w:p>
    <w:p w14:paraId="235C8C92" w14:textId="77777777" w:rsidR="00E201DA" w:rsidRDefault="00E201DA"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bookmarkStart w:id="0" w:name="_GoBack"/>
      <w:bookmarkEnd w:id="0"/>
      <w:r w:rsidRPr="004562D9">
        <w:rPr>
          <w:noProof/>
          <w:color w:val="808080" w:themeColor="background1" w:themeShade="80"/>
          <w:lang w:val="en-US" w:eastAsia="el-GR"/>
        </w:rPr>
        <w:t>.xml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1" w:name="_Toc376176630"/>
      <w:bookmarkStart w:id="2" w:name="_Toc376176631"/>
      <w:bookmarkEnd w:id="1"/>
      <w:bookmarkEnd w:id="2"/>
      <w:r>
        <w:rPr>
          <w:lang w:val="en-US"/>
        </w:rPr>
        <w:lastRenderedPageBreak/>
        <w:t>Introduction</w:t>
      </w:r>
    </w:p>
    <w:p w14:paraId="19CA77C1" w14:textId="28A58E45" w:rsidR="00076F43" w:rsidRDefault="009B17FC" w:rsidP="00076F43">
      <w:pPr>
        <w:rPr>
          <w:lang w:val="en-US" w:eastAsia="el-GR"/>
        </w:rPr>
      </w:pPr>
      <w:r>
        <w:rPr>
          <w:lang w:val="en-US" w:eastAsia="el-GR"/>
        </w:rPr>
        <w:t>This project is the implementation of a BioMedical Search Engine over a biomedical document collection of 5GB.</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16FBCC0D" w:rsidR="00034126" w:rsidRDefault="000405A0" w:rsidP="00076F43">
      <w:pPr>
        <w:rPr>
          <w:lang w:val="en-US" w:eastAsia="el-GR"/>
        </w:rPr>
      </w:pPr>
      <w:r>
        <w:rPr>
          <w:lang w:val="en-US" w:eastAsia="el-GR"/>
        </w:rPr>
        <w:t>BioMedicEngine has a bash script to easily configure and run the engine through command line, in the bash folder of the project.</w:t>
      </w:r>
    </w:p>
    <w:p w14:paraId="54CFC80B" w14:textId="6549759A" w:rsidR="000405A0" w:rsidRDefault="000405A0" w:rsidP="000405A0">
      <w:pPr>
        <w:jc w:val="center"/>
        <w:rPr>
          <w:lang w:val="en-US" w:eastAsia="el-GR"/>
        </w:rPr>
      </w:pPr>
      <w:r>
        <w:rPr>
          <w:noProof/>
          <w:lang w:val="en-US" w:eastAsia="en-US"/>
        </w:rPr>
        <w:drawing>
          <wp:inline distT="0" distB="0" distL="0" distR="0" wp14:anchorId="218B307C" wp14:editId="6073503A">
            <wp:extent cx="4572000" cy="13256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113" cy="1333236"/>
                    </a:xfrm>
                    <a:prstGeom prst="rect">
                      <a:avLst/>
                    </a:prstGeom>
                  </pic:spPr>
                </pic:pic>
              </a:graphicData>
            </a:graphic>
          </wp:inline>
        </w:drawing>
      </w:r>
    </w:p>
    <w:p w14:paraId="4E3189AF" w14:textId="6626E5AA"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2352E5CF" w14:textId="2D7130C4"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lang w:val="en-US" w:eastAsia="el-GR"/>
        </w:rPr>
        <w:drawing>
          <wp:inline distT="0" distB="0" distL="0" distR="0" wp14:anchorId="166457B6" wp14:editId="6B8F4625">
            <wp:extent cx="5627077" cy="10713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464" cy="1076228"/>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78295027" w:rsidR="0046295A" w:rsidRPr="008013E2" w:rsidRDefault="00C546DD" w:rsidP="00C546DD">
      <w:pPr>
        <w:jc w:val="center"/>
        <w:rPr>
          <w:lang w:val="en-US" w:eastAsia="el-GR"/>
        </w:rPr>
      </w:pPr>
      <w:r w:rsidRPr="00C546DD">
        <w:rPr>
          <w:lang w:val="en-US" w:eastAsia="el-GR"/>
        </w:rPr>
        <w:drawing>
          <wp:inline distT="0" distB="0" distL="0" distR="0" wp14:anchorId="63F4F1F6" wp14:editId="0B21CC4B">
            <wp:extent cx="5103446" cy="2438008"/>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075" cy="2439264"/>
                    </a:xfrm>
                    <a:prstGeom prst="rect">
                      <a:avLst/>
                    </a:prstGeom>
                  </pic:spPr>
                </pic:pic>
              </a:graphicData>
            </a:graphic>
          </wp:inline>
        </w:drawing>
      </w:r>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lang w:val="en-US" w:eastAsia="el-GR"/>
        </w:rPr>
        <w:drawing>
          <wp:inline distT="0" distB="0" distL="0" distR="0" wp14:anchorId="69015D57" wp14:editId="0B285C28">
            <wp:extent cx="4833062" cy="40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988" cy="425986"/>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lastRenderedPageBreak/>
        <w:t>Then, you can start applying queries and their topic:</w:t>
      </w:r>
    </w:p>
    <w:p w14:paraId="75526CFC" w14:textId="10C0C9FA" w:rsidR="008013E2" w:rsidRPr="008013E2" w:rsidRDefault="008013E2" w:rsidP="008013E2">
      <w:pPr>
        <w:jc w:val="center"/>
        <w:rPr>
          <w:lang w:val="en-US" w:eastAsia="el-GR"/>
        </w:rPr>
      </w:pPr>
      <w:r w:rsidRPr="008013E2">
        <w:rPr>
          <w:lang w:val="en-US" w:eastAsia="el-GR"/>
        </w:rPr>
        <w:drawing>
          <wp:inline distT="0" distB="0" distL="0" distR="0" wp14:anchorId="4F112D0C" wp14:editId="539E5881">
            <wp:extent cx="4809539" cy="87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683" cy="889640"/>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7E27498B" w:rsidR="00150B92" w:rsidRPr="00EE5F82" w:rsidRDefault="008013E2" w:rsidP="00EE5F82">
      <w:pPr>
        <w:jc w:val="center"/>
        <w:rPr>
          <w:lang w:val="en-US" w:eastAsia="el-GR"/>
        </w:rPr>
      </w:pPr>
      <w:r w:rsidRPr="008013E2">
        <w:rPr>
          <w:lang w:val="en-US" w:eastAsia="el-GR"/>
        </w:rPr>
        <w:drawing>
          <wp:inline distT="0" distB="0" distL="0" distR="0" wp14:anchorId="38016717" wp14:editId="028D3299">
            <wp:extent cx="4887693" cy="8880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4691" cy="903867"/>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lastRenderedPageBreak/>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06400648" w14:textId="35DFC27A" w:rsidR="00B03DE5"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this list is cleared. </w:t>
      </w:r>
    </w:p>
    <w:p w14:paraId="6434A3CD" w14:textId="71A3E572" w:rsidR="004A0A81" w:rsidRDefault="004A0A81" w:rsidP="00681A77">
      <w:pPr>
        <w:rPr>
          <w:lang w:val="en-US"/>
        </w:rPr>
      </w:pPr>
      <w:r>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This list contains the names of the partial vocabularies files, and the corresponding posting file is found by replacing the part “vocab” with “post”. This is why the directory path should not contain words such as “vocab” and “post” to avoid such mistakes.</w:t>
      </w:r>
    </w:p>
    <w:p w14:paraId="27598415" w14:textId="54345E40" w:rsidR="00991A36" w:rsidRDefault="00613F4E" w:rsidP="00681A77">
      <w:pPr>
        <w:rPr>
          <w:lang w:val="en-US"/>
        </w:rPr>
      </w:pPr>
      <w:r>
        <w:rPr>
          <w:lang w:val="en-US"/>
        </w:rPr>
        <w:t xml:space="preserve">Then the remaining file is the vocabulary file, and the corresponding posting is the posting file. </w:t>
      </w:r>
    </w:p>
    <w:p w14:paraId="76E7AE27" w14:textId="399C4F45" w:rsidR="00613F4E" w:rsidRDefault="00613F4E" w:rsidP="00681A77">
      <w:pPr>
        <w:rPr>
          <w:lang w:val="en-US"/>
        </w:rPr>
      </w:pPr>
      <w:r>
        <w:rPr>
          <w:lang w:val="en-US"/>
        </w:rPr>
        <w:t>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7BB74C84"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p>
    <w:p w14:paraId="4FC39D3D" w14:textId="4F41FF34"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 xml:space="preserve">Given a query, the query processor parses the query using “ “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29493971"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 xml:space="preserve">For every term in the query, we have the queryTF and iDF. Then, we traverse </w:t>
      </w:r>
      <w:r w:rsidR="0075577A">
        <w:rPr>
          <w:lang w:val="en-US"/>
        </w:rPr>
        <w:lastRenderedPageBreak/>
        <w:t xml:space="preserve">the postings of this term. If the documentID is found, we return the corresponding TF, and so, we calculate the dot product as the sum of (queryTF*iDF)*(docTF*iDF) of every term.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072D1027" w14:textId="01E9FE97" w:rsidR="00644FE7" w:rsidRDefault="009260BD" w:rsidP="00101827">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The goal of this part is to not only return the documents related to the query, but also try to return documents that also correspond to an examination type. To support this, we do the following.</w:t>
      </w:r>
      <w:r w:rsidR="00644FE7">
        <w:rPr>
          <w:lang w:val="en-US"/>
        </w:rPr>
        <w:t xml:space="preserve"> We retrieve the documents related to a query the same way we did previously. Then, we retrieve the documents related to a topic, i.e. using the examination type as the query. As a last step, to return the most related documents, we return the </w:t>
      </w:r>
      <w:r w:rsidR="00644FE7">
        <w:rPr>
          <w:b/>
          <w:lang w:val="en-US"/>
        </w:rPr>
        <w:t xml:space="preserve">intersection </w:t>
      </w:r>
      <w:r w:rsidR="00644FE7">
        <w:rPr>
          <w:lang w:val="en-US"/>
        </w:rPr>
        <w:t>of these two sets, using the score of the queries that was given from the vector model. This way, the engine filters out the documents that are unrelated to the examination type, and keeps the ones that surely contain some information related to this type. Another approach could be to assign the score they had as it came from the query of the examination type.</w:t>
      </w:r>
    </w:p>
    <w:p w14:paraId="08D8A5B9" w14:textId="77777777" w:rsidR="00644FE7" w:rsidRDefault="00644FE7" w:rsidP="00101827">
      <w:pPr>
        <w:rPr>
          <w:lang w:val="en-US"/>
        </w:rPr>
      </w:pPr>
    </w:p>
    <w:p w14:paraId="51658C06" w14:textId="3A587F53" w:rsidR="00644FE7" w:rsidRDefault="00644FE7" w:rsidP="00101827">
      <w:pPr>
        <w:rPr>
          <w:lang w:val="en-US"/>
        </w:rPr>
      </w:pPr>
      <w:r>
        <w:rPr>
          <w:i/>
          <w:lang w:val="en-US"/>
        </w:rPr>
        <w:t xml:space="preserve">Other methods for this problem that did not work. </w:t>
      </w:r>
      <w:r>
        <w:rPr>
          <w:lang w:val="en-US"/>
        </w:rPr>
        <w:t xml:space="preserve">Generally, given that we want to assign better scores to the documents that are related to a specific examination type could be to implement a weighting method of the terms, so that that </w:t>
      </w:r>
      <w:r w:rsidR="00F079DF">
        <w:rPr>
          <w:lang w:val="en-US"/>
        </w:rPr>
        <w:t xml:space="preserve">the documents that contain the word “type = {test, diagnosis, …}” could get a better score. This method did not give proper results. </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73BD0B78"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9B3607A" w14:textId="39643D34" w:rsidR="00C854B1" w:rsidRPr="00644FE7" w:rsidRDefault="00384C0B" w:rsidP="00101827">
      <w:pPr>
        <w:rPr>
          <w:lang w:val="en-US"/>
        </w:rPr>
      </w:pPr>
      <w:r>
        <w:rPr>
          <w:lang w:val="en-US"/>
        </w:rPr>
        <w:t xml:space="preserve">To check if the merging and qa are working fine, we did the following checks. First of all, after the indexing of the big collection, we checked if a norm is calculated for every document ID. In addition, we printed the biggest parts of the RandomAccessFiles and we checked that the contents are stored properly. Regarding query answering, we made some simple queries and we checked if the terms appear in the resulting files. </w:t>
      </w:r>
      <w:r w:rsidR="00C639B1">
        <w:rPr>
          <w:lang w:val="en-US"/>
        </w:rPr>
        <w:t>We also made plenty of queries (randomly) to check that the system isn’t crashing.</w:t>
      </w:r>
      <w:r w:rsidR="00971FDA">
        <w:rPr>
          <w:lang w:val="en-US"/>
        </w:rPr>
        <w:t xml:space="preserve"> Note that an extended evaluation of the results of this (and any) system is the topic of the next phase of this project.</w:t>
      </w:r>
    </w:p>
    <w:p w14:paraId="642ADF36" w14:textId="77777777" w:rsidR="008F4540" w:rsidRPr="0010521F" w:rsidRDefault="008F4540" w:rsidP="00101827">
      <w:pPr>
        <w:rPr>
          <w:b/>
          <w:lang w:val="en-US"/>
        </w:rPr>
      </w:pPr>
    </w:p>
    <w:p w14:paraId="03BE2805" w14:textId="32A2132E" w:rsidR="00101827" w:rsidRDefault="00F9584C" w:rsidP="000360BA">
      <w:pPr>
        <w:pStyle w:val="Heading1"/>
        <w:rPr>
          <w:lang w:val="en-US"/>
        </w:rPr>
      </w:pPr>
      <w:r>
        <w:rPr>
          <w:lang w:val="en-US"/>
        </w:rPr>
        <w:t>Experimental Evaluation</w:t>
      </w:r>
    </w:p>
    <w:p w14:paraId="5E233775" w14:textId="0735DD70" w:rsidR="00991A36" w:rsidRPr="00991A36" w:rsidRDefault="00991A36" w:rsidP="00991A36">
      <w:pPr>
        <w:rPr>
          <w:lang w:val="en-US" w:eastAsia="el-GR"/>
        </w:rPr>
      </w:pPr>
      <w:r>
        <w:rPr>
          <w:lang w:val="en-US" w:eastAsia="el-GR"/>
        </w:rPr>
        <w:t xml:space="preserve">The experiments contacted on a machine of </w:t>
      </w:r>
      <w:r w:rsidR="008A05BA">
        <w:rPr>
          <w:lang w:val="en-US" w:eastAsia="el-GR"/>
        </w:rPr>
        <w:t>16</w:t>
      </w:r>
      <w:r w:rsidR="00E76DAD">
        <w:rPr>
          <w:lang w:val="en-US" w:eastAsia="el-GR"/>
        </w:rPr>
        <w:t>GB Memory, 1ΤΒ</w:t>
      </w:r>
      <w:r>
        <w:rPr>
          <w:lang w:val="en-US" w:eastAsia="el-GR"/>
        </w:rPr>
        <w:t xml:space="preserve"> </w:t>
      </w:r>
      <w:r w:rsidR="00644FE7">
        <w:rPr>
          <w:lang w:val="en-US" w:eastAsia="el-GR"/>
        </w:rPr>
        <w:t xml:space="preserve">SSD NVMe </w:t>
      </w:r>
      <w:r w:rsidR="00C656BA">
        <w:rPr>
          <w:lang w:val="en-US" w:eastAsia="el-GR"/>
        </w:rPr>
        <w:t>Disc, and a 8</w:t>
      </w:r>
      <w:r>
        <w:rPr>
          <w:lang w:val="en-US" w:eastAsia="el-GR"/>
        </w:rPr>
        <w:t xml:space="preserve">-Core </w:t>
      </w:r>
      <w:r w:rsidR="00C656BA">
        <w:rPr>
          <w:lang w:val="en-US" w:eastAsia="el-GR"/>
        </w:rPr>
        <w:t>(16</w:t>
      </w:r>
      <w:r w:rsidR="00644FE7">
        <w:rPr>
          <w:lang w:val="en-US" w:eastAsia="el-GR"/>
        </w:rPr>
        <w:t xml:space="preserve"> Hyperthreads) </w:t>
      </w:r>
      <w:r>
        <w:rPr>
          <w:lang w:val="en-US" w:eastAsia="el-GR"/>
        </w:rPr>
        <w:t>CPU, running Windows 11.</w:t>
      </w:r>
    </w:p>
    <w:p w14:paraId="28B26800" w14:textId="7EC78C89" w:rsidR="00CF5E40" w:rsidRDefault="00F615A5" w:rsidP="00CF5E40">
      <w:pPr>
        <w:pStyle w:val="Heading2"/>
        <w:rPr>
          <w:lang w:val="en-US"/>
        </w:rPr>
      </w:pPr>
      <w:r>
        <w:rPr>
          <w:lang w:val="en-US"/>
        </w:rPr>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lastRenderedPageBreak/>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026735F1"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p>
    <w:p w14:paraId="0999FFB4" w14:textId="058322D1" w:rsidR="00CF5E40" w:rsidRDefault="00687DF0" w:rsidP="00CF5E40">
      <w:pPr>
        <w:pStyle w:val="Heading2"/>
      </w:pPr>
      <w:r>
        <w:rPr>
          <w:lang w:val="en-US"/>
        </w:rPr>
        <w:t>Query Answering Evaluation</w:t>
      </w:r>
    </w:p>
    <w:p w14:paraId="16F079FD" w14:textId="0E1BAD3C"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summaries of these queries. The Results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774DB5C2">
            <wp:extent cx="3024553" cy="1559797"/>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5720" cy="1565556"/>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23DC918" w14:textId="519BFB3E" w:rsidR="009E4908" w:rsidRPr="004562D9" w:rsidRDefault="009E4908" w:rsidP="009E4908">
      <w:pPr>
        <w:jc w:val="center"/>
        <w:rPr>
          <w:lang w:val="en-US"/>
        </w:rPr>
      </w:pPr>
      <w:r w:rsidRPr="009E4908">
        <w:rPr>
          <w:noProof/>
          <w:lang w:val="en-US" w:eastAsia="en-US"/>
        </w:rPr>
        <w:drawing>
          <wp:inline distT="0" distB="0" distL="0" distR="0" wp14:anchorId="68026079" wp14:editId="517B79DC">
            <wp:extent cx="3524738" cy="155703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368" cy="1559084"/>
                    </a:xfrm>
                    <a:prstGeom prst="rect">
                      <a:avLst/>
                    </a:prstGeom>
                  </pic:spPr>
                </pic:pic>
              </a:graphicData>
            </a:graphic>
          </wp:inline>
        </w:drawing>
      </w:r>
    </w:p>
    <w:p w14:paraId="540E478C" w14:textId="77777777" w:rsidR="004562D9" w:rsidRDefault="004562D9" w:rsidP="005C358F">
      <w:pPr>
        <w:rPr>
          <w:lang w:val="en-US"/>
        </w:rPr>
      </w:pPr>
    </w:p>
    <w:p w14:paraId="54098383" w14:textId="1CC6B94C" w:rsidR="00101827" w:rsidRPr="008B2A3E" w:rsidRDefault="00493EB6" w:rsidP="00101827">
      <w:pPr>
        <w:pStyle w:val="Heading1"/>
        <w:rPr>
          <w:lang w:val="en-US"/>
        </w:rPr>
      </w:pPr>
      <w:r>
        <w:rPr>
          <w:lang w:val="en-US"/>
        </w:rPr>
        <w:t>Conclusion</w:t>
      </w:r>
    </w:p>
    <w:p w14:paraId="2C271356" w14:textId="318C7431" w:rsidR="00101827" w:rsidRPr="00D03404" w:rsidRDefault="00D03404" w:rsidP="00101827">
      <w:pPr>
        <w:rPr>
          <w:lang w:val="en-US"/>
        </w:rPr>
      </w:pPr>
      <w:r>
        <w:rPr>
          <w:lang w:val="en-US" w:eastAsia="el-GR"/>
        </w:rPr>
        <w:t xml:space="preserve">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w:t>
      </w:r>
      <w:r>
        <w:rPr>
          <w:lang w:val="en-US" w:eastAsia="el-GR"/>
        </w:rPr>
        <w:lastRenderedPageBreak/>
        <w:t>the classic vector model. Also, an experimental evaluation for both indexing and query answering is shown, while the project contains a quality evaluator module that is used to evaluate the results of the engine.</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7"/>
      <w:footerReference w:type="even" r:id="rId28"/>
      <w:footerReference w:type="default" r:id="rId29"/>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94F9D" w14:textId="77777777" w:rsidR="00AD55A6" w:rsidRDefault="00AD55A6" w:rsidP="005C358F">
      <w:r>
        <w:separator/>
      </w:r>
    </w:p>
  </w:endnote>
  <w:endnote w:type="continuationSeparator" w:id="0">
    <w:p w14:paraId="6F8A5386" w14:textId="77777777" w:rsidR="00AD55A6" w:rsidRDefault="00AD55A6"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17F3FFD0"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9277BC">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277BC">
              <w:rPr>
                <w:b/>
                <w:bCs/>
                <w:noProof/>
              </w:rPr>
              <w:t>10</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DBF37" w14:textId="77777777" w:rsidR="00AD55A6" w:rsidRDefault="00AD55A6" w:rsidP="005C358F">
      <w:r>
        <w:separator/>
      </w:r>
    </w:p>
  </w:footnote>
  <w:footnote w:type="continuationSeparator" w:id="0">
    <w:p w14:paraId="3FD79BE8" w14:textId="77777777" w:rsidR="00AD55A6" w:rsidRDefault="00AD55A6"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2EB8"/>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1827"/>
    <w:rsid w:val="00102624"/>
    <w:rsid w:val="00102652"/>
    <w:rsid w:val="00102B14"/>
    <w:rsid w:val="00102ED2"/>
    <w:rsid w:val="0010521F"/>
    <w:rsid w:val="00105836"/>
    <w:rsid w:val="00106CEF"/>
    <w:rsid w:val="00106DAA"/>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551"/>
    <w:rsid w:val="002B0235"/>
    <w:rsid w:val="002B0406"/>
    <w:rsid w:val="002B1EF4"/>
    <w:rsid w:val="002B23AA"/>
    <w:rsid w:val="002B30F8"/>
    <w:rsid w:val="002B34B3"/>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5A6"/>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4424"/>
    <w:rsid w:val="00C4477C"/>
    <w:rsid w:val="00C450B8"/>
    <w:rsid w:val="00C454A9"/>
    <w:rsid w:val="00C45CA0"/>
    <w:rsid w:val="00C462FE"/>
    <w:rsid w:val="00C4659E"/>
    <w:rsid w:val="00C546DD"/>
    <w:rsid w:val="00C54FCD"/>
    <w:rsid w:val="00C55CF4"/>
    <w:rsid w:val="00C5713A"/>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CD592-5017-4768-8F25-6D6F9DCA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10</Pages>
  <Words>1816</Words>
  <Characters>10355</Characters>
  <Application>Microsoft Office Word</Application>
  <DocSecurity>0</DocSecurity>
  <Lines>86</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12147</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269</cp:revision>
  <cp:lastPrinted>2022-05-09T13:20:00Z</cp:lastPrinted>
  <dcterms:created xsi:type="dcterms:W3CDTF">2013-08-12T14:20:00Z</dcterms:created>
  <dcterms:modified xsi:type="dcterms:W3CDTF">2022-05-27T10:20:00Z</dcterms:modified>
</cp:coreProperties>
</file>