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and Live Support Manual</w:t>
      </w:r>
    </w:p>
    <w:p>
      <w:pPr>
        <w:spacing w:after="360"/>
      </w:pPr>
      <w:r>
        <w:rPr>
          <w:color w:val="355C98"/>
          <w:sz w:val="25"/>
        </w:rPr>
        <w:t>Providers Knowledge Base Visitor Assistant</w:t>
      </w:r>
    </w:p>
    <w:p>
      <w:pPr>
        <w:spacing w:after="360"/>
      </w:pPr>
      <w:r>
        <w:t>This manual explains how to configure trusted AI services, govern the knowledge used for retrieval, and run visitor conversations with a clear human handoff path.</w:t>
      </w:r>
    </w:p>
    <w:tbl>
      <w:tblPr>
        <w:tblW w:type="auto" w:w="0"/>
        <w:jc w:val="left"/>
        <w:tblLayout w:type="fixed"/>
        <w:tblLook w:firstColumn="1" w:firstRow="1" w:lastColumn="0" w:lastRow="0" w:noHBand="0" w:noVBand="1" w:val="04A0"/>
      </w:tblPr>
      <w:tblGrid>
        <w:gridCol w:w="4986"/>
        <w:gridCol w:w="4986"/>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Product</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Sense CMS</w:t>
            </w:r>
          </w:p>
        </w:tc>
      </w:tr>
      <w:t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Scope</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AI and Live Support</w:t>
            </w:r>
          </w:p>
        </w:tc>
      </w:tr>
      <w:t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Edition</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Operational guide for Sense CMS administrators</w:t>
            </w:r>
          </w:p>
        </w:tc>
      </w:tr>
    </w:tbl>
    <w:p/>
    <w:p>
      <w:pPr>
        <w:pStyle w:val="Heading1"/>
      </w:pPr>
      <w:r>
        <w:t>Introduction</w:t>
      </w:r>
    </w:p>
    <w:p>
      <w:r>
        <w:t>AI and Live Support is a Core capability of Sense CMS. It keeps provider configuration, Knowledge Base governance, AI-assisted authoring and visitor support within the administration workspace. The system is designed so that people remain in control: content changes require review, knowledge is explicitly approved, and a visitor can always be routed to a human team.</w:t>
      </w:r>
    </w:p>
    <w:p>
      <w:r>
        <w:t>Use this manual when you are responsible for AI configuration, website knowledge, live-chat operations or support quality. The three main chapters follow the order in which a reliable service should be set up: first configure a provider, then build approved knowledge, then enable and supervise the Visitor Assistant.</w:t>
      </w:r>
    </w:p>
    <w:p>
      <w:pPr>
        <w:pStyle w:val="Heading2"/>
      </w:pPr>
      <w:r>
        <w:t>Before you begin</w:t>
      </w:r>
    </w:p>
    <w:p>
      <w:pPr>
        <w:pStyle w:val="ListBullet"/>
        <w:spacing w:after="60"/>
      </w:pPr>
      <w:r>
        <w:t>Confirm that your role includes permission to manage AI and live-chat settings.</w:t>
      </w:r>
    </w:p>
    <w:p>
      <w:pPr>
        <w:pStyle w:val="ListBullet"/>
        <w:spacing w:after="60"/>
      </w:pPr>
      <w:r>
        <w:t>Prepare the provider account, model identifier and API credential outside Sense CMS. Never place an API key in a page, post, file uploaded for visitors or internal chat message.</w:t>
      </w:r>
    </w:p>
    <w:p>
      <w:pPr>
        <w:pStyle w:val="ListBullet"/>
        <w:spacing w:after="60"/>
      </w:pPr>
      <w:r>
        <w:t>Decide which published pages and posts are authoritative enough to enter retrieval. The assistant should answer from maintained material, not from drafts or unreviewed ideas.</w:t>
      </w:r>
    </w:p>
    <w:p>
      <w:pPr>
        <w:pStyle w:val="ListBullet"/>
        <w:spacing w:after="60"/>
      </w:pPr>
      <w:r>
        <w:t>Name the operators and support teams who can accept conversations and decide who receives immediate notifications.</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Providers</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Choose a driver, model and permitted purposes. Test before enabling.</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Knowledge Base</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Add or approve controlled sources, include eligible website content and verify the index.</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Visitor Assistant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Choose the first responder, reply limits, takeover timing and human support process.</w:t>
            </w:r>
          </w:p>
        </w:tc>
      </w:tr>
    </w:tbl>
    <w:p>
      <w:pPr>
        <w:spacing w:after="20"/>
      </w:pPr>
    </w:p>
    <w:p>
      <w:r>
        <w:br w:type="page"/>
      </w:r>
    </w:p>
    <w:p>
      <w:pPr>
        <w:pStyle w:val="Heading1"/>
      </w:pPr>
      <w:r>
        <w:t>Providers</w:t>
      </w:r>
    </w:p>
    <w:p>
      <w:pPr>
        <w:spacing w:after="200" w:line="288" w:lineRule="auto"/>
      </w:pPr>
      <w:r>
        <w:rPr>
          <w:i/>
          <w:color w:val="475569"/>
        </w:rPr>
        <w:t>A provider is the controlled connection between Sense CMS and an external AI model. One installation may keep several providers and assign each of them only to the jobs it is approved to perform.</w:t>
      </w:r>
    </w:p>
    <w:p>
      <w:pPr>
        <w:pStyle w:val="Heading2"/>
      </w:pPr>
      <w:r>
        <w:t>What a provider contains</w:t>
      </w:r>
    </w:p>
    <w:p>
      <w:r>
        <w:t>Each provider record has a readable name and a stable slug, a driver, a model identifier, a secure HTTPS base URL where needed, an API key, a priority and a set of allowed purposes. Credentials are stored encrypted by Sense CMS. Usage records are operational metadata; they do not store prompts or generated content.</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OpenAI Responses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Native OpenAI Responses endpoint for compatible OpenAI models.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OpenAI compatible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 publicly reachable HTTPS service exposing the standard chat completions contract.</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Anthropic Messages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Native Messages endpoint for supported Claude models.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Google Gemini API</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Native generateContent endpoint for supported Gemini models.</w:t>
            </w:r>
          </w:p>
        </w:tc>
      </w:tr>
    </w:tbl>
    <w:p>
      <w:pPr>
        <w:spacing w:after="20"/>
      </w:pPr>
    </w:p>
    <w:p>
      <w:pPr>
        <w:pStyle w:val="Heading2"/>
      </w:pPr>
      <w:r>
        <w:t>Create and verify a provider</w:t>
      </w:r>
    </w:p>
    <w:p>
      <w:pPr>
        <w:pStyle w:val="ListNumber"/>
        <w:spacing w:after="80"/>
      </w:pPr>
      <w:r>
        <w:t>Open AI and Live Support, then stay on the Providers tab.</w:t>
      </w:r>
    </w:p>
    <w:p>
      <w:pPr>
        <w:pStyle w:val="ListNumber"/>
        <w:spacing w:after="80"/>
      </w:pPr>
      <w:r>
        <w:t>Select Add provider and enter a clear name. Use a unique lowercase slug with letters, numbers and hyphens.</w:t>
      </w:r>
    </w:p>
    <w:p>
      <w:pPr>
        <w:pStyle w:val="ListNumber"/>
        <w:spacing w:after="80"/>
      </w:pPr>
      <w:r>
        <w:t>Select the driver, then enter the model identifier exactly as supplied by the provider. For a compatible service, enter its clean public HTTPS base URL.</w:t>
      </w:r>
    </w:p>
    <w:p>
      <w:pPr>
        <w:pStyle w:val="ListNumber"/>
        <w:spacing w:after="80"/>
      </w:pPr>
      <w:r>
        <w:t>Enter the API key in the protected field. Leaving the key blank preserves a previously stored key when editing an existing provider.</w:t>
      </w:r>
    </w:p>
    <w:p>
      <w:pPr>
        <w:pStyle w:val="ListNumber"/>
        <w:spacing w:after="80"/>
      </w:pPr>
      <w:r>
        <w:t>Choose the purposes this provider may serve: Page Builder, Posts and Visitor Assistant. Limit a provider to the purposes for which it has been evaluated.</w:t>
      </w:r>
    </w:p>
    <w:p>
      <w:pPr>
        <w:pStyle w:val="ListNumber"/>
        <w:spacing w:after="80"/>
      </w:pPr>
      <w:r>
        <w:t>Set priority and usage guardrails, save the record, then use Test connection. Enable the provider only after a successful verification.</w:t>
      </w:r>
    </w:p>
    <w:p>
      <w:pPr>
        <w:pStyle w:val="Heading2"/>
      </w:pPr>
      <w:r>
        <w:t>Purposes and human review</w:t>
      </w:r>
    </w:p>
    <w:p>
      <w:r>
        <w:t>Page Builder and Posts use AI as a proposal tool. A generated proposal does not save or publish content by itself. The editor compares the result, applies only the desired changes and saves through the usual editorial controls. The Visitor Assistant uses a provider only when its Chat purpose is enabled and the live-chat configuration enables the assistant.</w:t>
      </w:r>
    </w:p>
    <w:p>
      <w:pPr>
        <w:pStyle w:val="Heading2"/>
      </w:pPr>
      <w:r>
        <w:t>Usage guardrails</w:t>
      </w:r>
    </w:p>
    <w:p>
      <w:r>
        <w:t>Request, token and cost limits are evaluated before work is sent to a provider. A value of zero means that the corresponding guardrail is not set. Enter current input and output pricing from the provider's own price list if cost forecasting is needed. Configure a warning threshold so that administrators can react before a budget is exhausted.</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Daily and monthly requests</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Cap the number of accepted provider calls in each period.</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Daily and monthly tokens</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Limit expected workload when usage is token based.</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Daily and monthly budget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Set an operational spending ceiling using current provider pricing.</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Warning threshold</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Signals that usage is approaching the selected budget threshold.</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Priority</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Orders eligible providers for the relevant purpose; keep a verified primary option first.</w:t>
            </w:r>
          </w:p>
        </w:tc>
      </w:tr>
    </w:tbl>
    <w:p>
      <w:pPr>
        <w:spacing w:after="20"/>
      </w:pPr>
    </w:p>
    <w:p>
      <w:pPr>
        <w:pStyle w:val="Heading2"/>
      </w:pPr>
      <w:r>
        <w:t>Provider operating practice</w:t>
      </w:r>
    </w:p>
    <w:p>
      <w:pPr>
        <w:pStyle w:val="ListBullet"/>
        <w:spacing w:after="60"/>
      </w:pPr>
      <w:r>
        <w:t>Use a narrow-purpose provider first. A low-cost editorial provider does not have to be used for visitor chat.</w:t>
      </w:r>
    </w:p>
    <w:p>
      <w:pPr>
        <w:pStyle w:val="ListBullet"/>
        <w:spacing w:after="60"/>
      </w:pPr>
      <w:r>
        <w:t>Re-test after a model, endpoint or credential change. A failed test means the connection must be corrected before it is relied upon.</w:t>
      </w:r>
    </w:p>
    <w:p>
      <w:pPr>
        <w:pStyle w:val="ListBullet"/>
        <w:spacing w:after="60"/>
      </w:pPr>
      <w:r>
        <w:t>Treat a quota or rate-limit response as a service condition, not as successful output. Check limits, billing and provider status before retrying.</w:t>
      </w:r>
    </w:p>
    <w:p>
      <w:pPr>
        <w:pStyle w:val="ListBullet"/>
        <w:spacing w:after="60"/>
      </w:pPr>
      <w:r>
        <w:t>Rotate exposed or retired credentials at the provider and update only the protected key field in Sense CMS.</w:t>
      </w:r>
    </w:p>
    <w:p>
      <w:pPr>
        <w:pStyle w:val="Heading2"/>
      </w:pPr>
      <w:r>
        <w:t>Troubleshooting</w:t>
      </w:r>
    </w:p>
    <w:p>
      <w:r>
        <w:t>If verification fails, first confirm the model identifier, public HTTPS endpoint and API credential. The endpoint must resolve to a public address and must not contain credentials, query parameters or fragments. If a provider reaches its limit, reduce use, adjust its budget after approval or select another verified eligible provider. Do not place diagnostic credentials in chat, logs or documents.</w:t>
      </w:r>
    </w:p>
    <w:p>
      <w:r>
        <w:br w:type="page"/>
      </w:r>
    </w:p>
    <w:p>
      <w:pPr>
        <w:pStyle w:val="Heading1"/>
      </w:pPr>
      <w:r>
        <w:t>Knowledge Base</w:t>
      </w:r>
    </w:p>
    <w:p>
      <w:pPr>
        <w:spacing w:after="200" w:line="288" w:lineRule="auto"/>
      </w:pPr>
      <w:r>
        <w:rPr>
          <w:i/>
          <w:color w:val="475569"/>
        </w:rPr>
        <w:t>The Knowledge Base is the source of verified facts for retrieval augmented generation, commonly called RAG. It is independent of a single AI provider and remains under editorial control inside Sense CMS.</w:t>
      </w:r>
    </w:p>
    <w:p>
      <w:pPr>
        <w:pStyle w:val="Heading2"/>
      </w:pPr>
      <w:r>
        <w:t>How RAG works in Sense CMS</w:t>
      </w:r>
    </w:p>
    <w:p>
      <w:r>
        <w:t>RAG does not teach a model new facts permanently. Instead, Sense CMS stores approved source text, normalizes it, divides it into bounded overlapping passages and ranks relevant passages when a visitor asks a question. The assistant receives only the selected context for that reply. This helps it ground factual answers in the current approved material rather than relying on assumptions.</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Collect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Manual text, private knowledge files, approved pages and approved posts are available as sources.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Normalize</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Markup and unsafe control data are removed while approved source text remains governed by its owner.</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Chunk</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Text becomes bounded, overlapping retrieval passages linked to their source identity and language.</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Retrieve</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Matching passages are ranked by the visitor question, the selected language and current source state.</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Respond</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The visitor assistant uses retrieved facts, adds verified local source links where available and asks for human help if knowledge is insufficient.</w:t>
            </w:r>
          </w:p>
        </w:tc>
      </w:tr>
    </w:tbl>
    <w:p>
      <w:pPr>
        <w:spacing w:after="20"/>
      </w:pPr>
    </w:p>
    <w:p>
      <w:pPr>
        <w:pStyle w:val="Heading2"/>
      </w:pPr>
      <w:r>
        <w:t>Source types</w:t>
      </w:r>
    </w:p>
    <w:p>
      <w:r>
        <w:t>Manual text is best for policies, procedures, product facts, answers maintained by a specialist or short material that does not belong on a public page. Private files are suitable for controlled reference material. Sense CMS accepts TXT, PDF, RTF, DOC and DOCX files up to 20 MiB when text can be extracted. A scanned PDF must be processed with OCR before upload because an image-only file has no usable source text.</w:t>
      </w:r>
    </w:p>
    <w:p>
      <w:r>
        <w:t>Website content sources represent published pages and published posts. A page or post may be included or excluded from RAG with its own Knowledge Base setting. Draft, private, future-dated and excluded material is not retrieved. This makes it possible to publish editorial work without automatically making every item a support answer.</w:t>
      </w:r>
    </w:p>
    <w:p>
      <w:pPr>
        <w:pStyle w:val="Heading2"/>
      </w:pPr>
      <w:r>
        <w:t>Add, approve and maintain knowledge</w:t>
      </w:r>
    </w:p>
    <w:p>
      <w:pPr>
        <w:pStyle w:val="ListNumber"/>
        <w:spacing w:after="80"/>
      </w:pPr>
      <w:r>
        <w:t>Open AI and Live Support, then choose Knowledge Base and the Sources tab.</w:t>
      </w:r>
    </w:p>
    <w:p>
      <w:pPr>
        <w:pStyle w:val="ListNumber"/>
        <w:spacing w:after="80"/>
      </w:pPr>
      <w:r>
        <w:t>Create a manual source or upload a supported file. Give it a precise title and, where applicable, select the source language.</w:t>
      </w:r>
    </w:p>
    <w:p>
      <w:pPr>
        <w:pStyle w:val="ListNumber"/>
        <w:spacing w:after="80"/>
      </w:pPr>
      <w:r>
        <w:t>Review the text for correctness, scope, date-sensitive claims and confidential material. A source should answer a real visitor need and should have a clear owner.</w:t>
      </w:r>
    </w:p>
    <w:p>
      <w:pPr>
        <w:pStyle w:val="ListNumber"/>
        <w:spacing w:after="80"/>
      </w:pPr>
      <w:r>
        <w:t>Save as a draft while it is being prepared. Approve it only after review; an approved source is eligible for indexing and retrieval.</w:t>
      </w:r>
    </w:p>
    <w:p>
      <w:pPr>
        <w:pStyle w:val="ListNumber"/>
        <w:spacing w:after="80"/>
      </w:pPr>
      <w:r>
        <w:t>Use the source list to find, edit, reindex, disable or delete a source. Editing an approved manual source reindexes it so the retrieval copy matches the approved text.</w:t>
      </w:r>
    </w:p>
    <w:p>
      <w:pPr>
        <w:pStyle w:val="ListNumber"/>
        <w:spacing w:after="80"/>
      </w:pPr>
      <w:r>
        <w:t>For website content, use the Website content tab to include or exclude each page or post, then save changes and rebuild when a controlled full refresh is needed.</w:t>
      </w:r>
    </w:p>
    <w:p>
      <w:pPr>
        <w:pStyle w:val="Heading2"/>
      </w:pPr>
      <w:r>
        <w:t>Languages and source quality</w:t>
      </w:r>
    </w:p>
    <w:p>
      <w:r>
        <w:t>Assign a source locale whenever the content is language-specific. The retrieval process gives preference to matching language material. Keep English and Polish source versions equally maintained when both languages are offered to visitors. Use direct language, define acronyms, avoid conflicting statements and replace outdated values instead of adding exceptions beneath them.</w:t>
      </w:r>
    </w:p>
    <w:p>
      <w:pPr>
        <w:pStyle w:val="Heading2"/>
      </w:pPr>
      <w:r>
        <w:t>Index health and synchronization</w:t>
      </w:r>
    </w:p>
    <w:p>
      <w:r>
        <w:t>The RAG index reports ready, pending and failed sources plus the number of retrieval chunks. A ready source is searchable by the assistant. A failed source requires correction, reindexing or replacement. Normal editorial changes are synchronized asynchronously so saving a page or post is not delayed. A controlled rebuild is available when you intentionally want to reconcile the complete index. Rebuilding the index does not call a text-generation model and does not create AI generation cost.</w:t>
      </w:r>
    </w:p>
    <w:p>
      <w:pPr>
        <w:pStyle w:val="Heading2"/>
      </w:pPr>
      <w:r>
        <w:t>Training and evaluations</w:t>
      </w:r>
    </w:p>
    <w:p>
      <w:r>
        <w:t>The Training and evals workspace is separate from RAG. Use it to curate examples of desired behaviour, tone and safe answers, and to define repeatable evaluation cases. A local training package can be prepared only from an approved ready dataset with at least ten approved examples. The generated JSONL package is private and checksum locked. Preparing it is local: it does not upload data to a provider and does not start paid fine-tuning. RAG remains the mechanism for changing current factual knowledge.</w:t>
      </w:r>
    </w:p>
    <w:p>
      <w:pPr>
        <w:pStyle w:val="Heading2"/>
      </w:pPr>
      <w:r>
        <w:t>Knowledge governance checklist</w:t>
      </w:r>
    </w:p>
    <w:p>
      <w:pPr>
        <w:pStyle w:val="ListBullet"/>
        <w:spacing w:after="60"/>
      </w:pPr>
      <w:r>
        <w:t>Assign an owner for every material source and review it when policies, prices, products or contact details change.</w:t>
      </w:r>
    </w:p>
    <w:p>
      <w:pPr>
        <w:pStyle w:val="ListBullet"/>
        <w:spacing w:after="60"/>
      </w:pPr>
      <w:r>
        <w:t>Keep source titles descriptive enough for operators to identify the right document quickly.</w:t>
      </w:r>
    </w:p>
    <w:p>
      <w:pPr>
        <w:pStyle w:val="ListBullet"/>
        <w:spacing w:after="60"/>
      </w:pPr>
      <w:r>
        <w:t>Disable or delete content that must no longer be used. Confirm index health after material changes.</w:t>
      </w:r>
    </w:p>
    <w:p>
      <w:pPr>
        <w:pStyle w:val="ListBullet"/>
        <w:spacing w:after="60"/>
      </w:pPr>
      <w:r>
        <w:t>Use evaluation cases to test important answers before changing provider, model or assistant policy.</w:t>
      </w:r>
    </w:p>
    <w:p>
      <w:r>
        <w:br w:type="page"/>
      </w:r>
    </w:p>
    <w:p>
      <w:pPr>
        <w:pStyle w:val="Heading1"/>
      </w:pPr>
      <w:r>
        <w:t>Visitor Assistant</w:t>
      </w:r>
    </w:p>
    <w:p>
      <w:pPr>
        <w:spacing w:after="200" w:line="288" w:lineRule="auto"/>
      </w:pPr>
      <w:r>
        <w:rPr>
          <w:i/>
          <w:color w:val="475569"/>
        </w:rPr>
        <w:t>The Visitor Assistant is the public live-chat capability. It combines approved Knowledge Base retrieval with a chosen AI provider and a human support workflow. It is configured through Live chat settings and is deliberately bounded by response, budget and safety controls.</w:t>
      </w:r>
    </w:p>
    <w:p>
      <w:pPr>
        <w:pStyle w:val="Heading2"/>
      </w:pPr>
      <w:r>
        <w:t>Enable the assistant safely</w:t>
      </w:r>
    </w:p>
    <w:p>
      <w:pPr>
        <w:pStyle w:val="ListNumber"/>
        <w:spacing w:after="80"/>
      </w:pPr>
      <w:r>
        <w:t>Verify at least one enabled provider with the Visitor Assistant purpose selected.</w:t>
      </w:r>
    </w:p>
    <w:p>
      <w:pPr>
        <w:pStyle w:val="ListNumber"/>
        <w:spacing w:after="80"/>
      </w:pPr>
      <w:r>
        <w:t>Open Live chat configuration and enable the AI assistant only after the Knowledge Base contains approved, ready sources.</w:t>
      </w:r>
    </w:p>
    <w:p>
      <w:pPr>
        <w:pStyle w:val="ListNumber"/>
        <w:spacing w:after="80"/>
      </w:pPr>
      <w:r>
        <w:t>Choose whether the AI assistant or the human team is the first responder.</w:t>
      </w:r>
    </w:p>
    <w:p>
      <w:pPr>
        <w:pStyle w:val="ListNumber"/>
        <w:spacing w:after="80"/>
      </w:pPr>
      <w:r>
        <w:t>Set the daily AI reply limit and the maximum output tokens per reply. These limits work with the provider guardrails.</w:t>
      </w:r>
    </w:p>
    <w:p>
      <w:pPr>
        <w:pStyle w:val="ListNumber"/>
        <w:spacing w:after="80"/>
      </w:pPr>
      <w:r>
        <w:t>If Human team first is selected, set the takeover delay from 0 to 300 seconds. The standard operational starting point is 15 seconds, then refine it from support data.</w:t>
      </w:r>
    </w:p>
    <w:p>
      <w:pPr>
        <w:pStyle w:val="ListNumber"/>
        <w:spacing w:after="80"/>
      </w:pPr>
      <w:r>
        <w:t>Save the configuration and run a short test conversation in each supported language. Confirm that notification recipients receive the visitor message and that a team member can accept it.</w:t>
      </w:r>
    </w:p>
    <w:p>
      <w:pPr>
        <w:pStyle w:val="Heading2"/>
      </w:pPr>
      <w:r>
        <w:t>First responder and takeover</w:t>
      </w:r>
    </w:p>
    <w:p>
      <w:r>
        <w:t>AI assistant first lets the assistant respond immediately when it has approved, relevant knowledge and an eligible provider. A visitor can still request a human at any time. Human team first places the conversation in the human queue and creates the immediate notification path. If no person accepts before the configured takeover delay, the assistant can claim the queued conversation and respond from approved knowledge. If no eligible provider is available, the conversation remains a human-support matter.</w:t>
      </w:r>
    </w:p>
    <w:tbl>
      <w:tblPr>
        <w:tblW w:type="auto" w:w="0"/>
        <w:jc w:val="center"/>
        <w:tblLayout w:type="fixed"/>
        <w:tblLook w:firstColumn="1" w:firstRow="1" w:lastColumn="0" w:lastRow="0" w:noHBand="0" w:noVBand="1" w:val="04A0"/>
      </w:tblPr>
      <w:tblGrid>
        <w:gridCol w:w="2381"/>
        <w:gridCol w:w="6690"/>
      </w:tblGrid>
      <w:tr>
        <w:trPr>
          <w:tblHeader w:val="true"/>
        </w:trPr>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Area</w:t>
            </w:r>
          </w:p>
        </w:tc>
        <w:tc>
          <w:tcPr>
            <w:tcW w:type="dxa" w:w="4986"/>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153E75"/>
          </w:tcPr>
          <w:p>
            <w:pPr>
              <w:spacing w:after="0"/>
            </w:pPr>
            <w:r/>
            <w:r>
              <w:rPr>
                <w:b/>
                <w:color w:val="FFFFFF"/>
                <w:sz w:val="18"/>
              </w:rPr>
              <w:t>What to check</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AI has verified context</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It gives a concise answer in the visitor language and may append up to three verified local source links.</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Visitor asks for a person</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The conversation is routed to the human queue without attempting to replace the request with an AI answer.</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Human first and no acceptance</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After the configured delay, the assistant may take over if it is enabled and an eligible provider is available.</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No verified answer or no operator</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The assistant asks for a callback e-mail instead of inventing an answer.</w:t>
            </w:r>
          </w:p>
        </w:tc>
      </w:tr>
      <w:tr>
        <w:tc>
          <w:tcPr>
            <w:tcW w:type="dxa" w:w="2381"/>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shd w:fill="F3F7FC"/>
          </w:tcPr>
          <w:p>
            <w:pPr>
              <w:spacing w:after="0"/>
            </w:pPr>
            <w:r/>
            <w:r>
              <w:rPr>
                <w:b/>
                <w:color w:val="172554"/>
                <w:sz w:val="18"/>
              </w:rPr>
              <w:t>Operator accepts</w:t>
            </w:r>
          </w:p>
        </w:tc>
        <w:tc>
          <w:tcPr>
            <w:tcW w:type="dxa" w:w="6690"/>
            <w:vAlign w:val="center"/>
            <w:tcMar>
              <w:top w:w="110" w:type="dxa"/>
              <w:start w:w="150" w:type="dxa"/>
              <w:bottom w:w="110" w:type="dxa"/>
              <w:end w:w="150" w:type="dxa"/>
            </w:tcMar>
            <w:tcBorders>
              <w:top w:val="single" w:sz="6" w:color="D9E2F0"/>
              <w:left w:val="single" w:sz="6" w:color="D9E2F0"/>
              <w:bottom w:val="single" w:sz="6" w:color="D9E2F0"/>
              <w:right w:val="single" w:sz="6" w:color="D9E2F0"/>
            </w:tcBorders>
          </w:tcPr>
          <w:p>
            <w:pPr>
              <w:spacing w:after="0"/>
            </w:pPr>
            <w:r/>
            <w:r>
              <w:rPr>
                <w:b w:val="0"/>
                <w:color w:val="334155"/>
                <w:sz w:val="18"/>
              </w:rPr>
              <w:t>The conversation becomes assigned to that operator. The operator can continue, transfer or close it through the normal workspace.</w:t>
            </w:r>
          </w:p>
        </w:tc>
      </w:tr>
    </w:tbl>
    <w:p>
      <w:pPr>
        <w:spacing w:after="20"/>
      </w:pPr>
    </w:p>
    <w:p>
      <w:pPr>
        <w:pStyle w:val="Heading2"/>
      </w:pPr>
      <w:r>
        <w:t>Human support operations</w:t>
      </w:r>
    </w:p>
    <w:p>
      <w:r>
        <w:t>Operators see queue and unread state in the administration workspace. A conversation can be accepted by an authorised operator and transferred to another operator, to a support team or back to the enabled AI assistant. Transfers are recorded in the conversation history. Assign teams by responsibility so that notifications and handoffs reach people who can actually resolve the visitor question.</w:t>
      </w:r>
    </w:p>
    <w:p>
      <w:r>
        <w:t>When the assistant cannot support a claim from retrieved material and a person is unavailable, it asks the visitor for a callback e-mail. The address is validated and stored as private visitor information. It is not returned in the public conversation state. Treat a callback request as a work item: assign it, respond through the approved support process and close the conversation only when follow-up is complete.</w:t>
      </w:r>
    </w:p>
    <w:p>
      <w:pPr>
        <w:pStyle w:val="Heading2"/>
      </w:pPr>
      <w:r>
        <w:t>Answer quality and boundaries</w:t>
      </w:r>
    </w:p>
    <w:p>
      <w:pPr>
        <w:pStyle w:val="ListBullet"/>
        <w:spacing w:after="60"/>
      </w:pPr>
      <w:r>
        <w:t>The assistant answers in the visitor language and uses approved retrieved content for factual claims.</w:t>
      </w:r>
    </w:p>
    <w:p>
      <w:pPr>
        <w:pStyle w:val="ListBullet"/>
        <w:spacing w:after="60"/>
      </w:pPr>
      <w:r>
        <w:t>It does not disclose provider details, credentials, private settings or internal data.</w:t>
      </w:r>
    </w:p>
    <w:p>
      <w:pPr>
        <w:pStyle w:val="ListBullet"/>
        <w:spacing w:after="60"/>
      </w:pPr>
      <w:r>
        <w:t>It must not invent prices, policies, dates, availability or commitments. Improve the Knowledge Base when a valid question is not covered.</w:t>
      </w:r>
    </w:p>
    <w:p>
      <w:pPr>
        <w:pStyle w:val="ListBullet"/>
        <w:spacing w:after="60"/>
      </w:pPr>
      <w:r>
        <w:t>Source links are added only from verified local source URLs. Check the linked page after major content changes.</w:t>
      </w:r>
    </w:p>
    <w:p>
      <w:pPr>
        <w:pStyle w:val="Heading2"/>
      </w:pPr>
      <w:r>
        <w:t>Notifications privacy and retention</w:t>
      </w:r>
    </w:p>
    <w:p>
      <w:r>
        <w:t>New visitor activity uses the configured immediate operator notification channels, including browser and Telegram where enabled. Conversations remain isolated by session and protected by the live-chat access controls. Operator-only information such as visitor technical context is not exposed in the public chat state. Closed conversation retention is configurable; active conversations are not removed by retention processing. Deleting a conversation removes its messages and visitor details immediately. Operators may export an authorised transcript in TXT or JSON when the support process requires it.</w:t>
      </w:r>
    </w:p>
    <w:p>
      <w:pPr>
        <w:pStyle w:val="Heading2"/>
      </w:pPr>
      <w:r>
        <w:t>Daily operating checklist</w:t>
      </w:r>
    </w:p>
    <w:p>
      <w:pPr>
        <w:pStyle w:val="ListBullet"/>
        <w:spacing w:after="60"/>
      </w:pPr>
      <w:r>
        <w:t>Check unread conversations and the human queue at the beginning of each support period.</w:t>
      </w:r>
    </w:p>
    <w:p>
      <w:pPr>
        <w:pStyle w:val="ListBullet"/>
        <w:spacing w:after="60"/>
      </w:pPr>
      <w:r>
        <w:t>Review callback e-mail requests and ensure each has a responsible person and outcome.</w:t>
      </w:r>
    </w:p>
    <w:p>
      <w:pPr>
        <w:pStyle w:val="ListBullet"/>
        <w:spacing w:after="60"/>
      </w:pPr>
      <w:r>
        <w:t>Inspect provider verification and budget warnings before a busy period.</w:t>
      </w:r>
    </w:p>
    <w:p>
      <w:pPr>
        <w:pStyle w:val="ListBullet"/>
        <w:spacing w:after="60"/>
      </w:pPr>
      <w:r>
        <w:t>Add or correct Knowledge Base material when repeated questions expose a gap.</w:t>
      </w:r>
    </w:p>
    <w:p>
      <w:pPr>
        <w:pStyle w:val="ListBullet"/>
        <w:spacing w:after="60"/>
      </w:pPr>
      <w:r>
        <w:t>Review transcripts, transfers and evaluations periodically to improve both human service and assistant behaviour.</w:t>
      </w:r>
    </w:p>
    <w:p>
      <w:r>
        <w:br w:type="page"/>
      </w:r>
    </w:p>
    <w:p>
      <w:pPr>
        <w:pStyle w:val="Heading1"/>
      </w:pPr>
      <w:r>
        <w:t>Conclusion</w:t>
      </w:r>
    </w:p>
    <w:p>
      <w:r>
        <w:t>Reliable AI support is an editorial and operational discipline, not only a model setting. Sense CMS keeps that discipline practical: providers are configured and budgeted in one place, knowledge is explicitly approved and indexed, and live conversations retain a clear path to accountable human support. Start with a small, verified knowledge set, measure the conversations that reach the team, and improve sources and operating rules as the service matures.</w:t>
      </w:r>
    </w:p>
    <w:p>
      <w:r>
        <w:t>Keep ownership clear. Review every provider change, every source that affects important visitor answers and every support configuration change. With those habits, AI and Live Support remains useful, explainable and aligned with the organisation that operates it.</w:t>
      </w:r>
    </w:p>
    <w:sectPr w:rsidR="00FC693F" w:rsidRPr="0006063C" w:rsidSect="00034616">
      <w:footerReference w:type="default" r:id="rId9"/>
      <w:pgSz w:w="12240" w:h="15840"/>
      <w:pgMar w:top="1020" w:right="1134" w:bottom="935" w:left="1134"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F8B"/>
        <w:sz w:val="16"/>
      </w:rPr>
      <w:t xml:space="preserve">Sense CMS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Live Support Manual</dc:title>
  <dc:subject>Providers Knowledge Base Visitor Assistant</dc:subject>
  <dc:creator>Sense CMS</dc:creator>
  <cp:keywords/>
  <dc:description>generated by python-docx</dc:description>
  <cp:lastModifiedBy/>
  <cp:revision>1</cp:revision>
  <dcterms:created xsi:type="dcterms:W3CDTF">2013-12-23T23:15:00Z</dcterms:created>
  <dcterms:modified xsi:type="dcterms:W3CDTF">2013-12-23T23:15:00Z</dcterms:modified>
  <cp:category/>
</cp:coreProperties>
</file>