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Instrukcja AI i Live Support</w:t>
      </w:r>
    </w:p>
    <w:p>
      <w:pPr>
        <w:spacing w:after="360"/>
      </w:pPr>
      <w:r>
        <w:rPr>
          <w:color w:val="355C98"/>
          <w:sz w:val="25"/>
        </w:rPr>
        <w:t>Providers Knowledge Base Visitor Assistant</w:t>
      </w:r>
    </w:p>
    <w:p>
      <w:pPr>
        <w:spacing w:after="360"/>
      </w:pPr>
      <w:r>
        <w:t>Instrukcja wyjaśnia, jak konfigurować zaufane usługi AI, zarządzać wiedzą używaną do wyszukiwania oraz prowadzić rozmowy z odwiedzającymi z jasną ścieżką przejęcia przez człowieka.</w:t>
      </w:r>
    </w:p>
    <w:tbl>
      <w:tblPr>
        <w:tblW w:type="auto" w:w="0"/>
        <w:jc w:val="left"/>
        <w:tblLayout w:type="fixed"/>
        <w:tblLook w:firstColumn="1" w:firstRow="1" w:lastColumn="0" w:lastRow="0" w:noHBand="0" w:noVBand="1" w:val="04A0"/>
      </w:tblPr>
      <w:tblGrid>
        <w:gridCol w:w="4986"/>
        <w:gridCol w:w="4986"/>
      </w:tblGrid>
      <w:tr>
        <w:trPr>
          <w:tblHeader w:val="true"/>
        </w:trP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Product</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Sense CMS</w:t>
            </w:r>
          </w:p>
        </w:tc>
      </w:tr>
      <w:t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Scope</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AI and Live Support</w:t>
            </w:r>
          </w:p>
        </w:tc>
      </w:tr>
      <w:t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Edition</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Przewodnik operacyjny dla administratorów Sense CMS</w:t>
            </w:r>
          </w:p>
        </w:tc>
      </w:tr>
    </w:tbl>
    <w:p/>
    <w:p>
      <w:pPr>
        <w:pStyle w:val="Heading1"/>
      </w:pPr>
      <w:r>
        <w:t>Wstęp</w:t>
      </w:r>
    </w:p>
    <w:p>
      <w:r>
        <w:t>AI i Live Support jest funkcją Core Sense CMS. Łączy konfigurację dostawców, zarządzanie bazą wiedzy, wspomaganie pracy redakcyjnej przez AI oraz obsługę odwiedzających w jednym panelu administracyjnym. System pozostawia kontrolę po stronie ludzi: zmiany treści wymagają akceptacji, źródła wiedzy są jawnie zatwierdzane, a rozmowę zawsze można przekierować do zespołu.</w:t>
      </w:r>
    </w:p>
    <w:p>
      <w:r>
        <w:t>Z instrukcji należy korzystać przy konfiguracji AI, przygotowywaniu wiedzy serwisu, obsłudze czatu lub kontroli jakości wsparcia. Trzy główne rozdziały zachowują kolejność bezpiecznego uruchomienia usługi: najpierw dostawca, następnie zatwierdzona wiedza, a później Asystent Odwiedzających.</w:t>
      </w:r>
    </w:p>
    <w:p>
      <w:pPr>
        <w:pStyle w:val="Heading2"/>
      </w:pPr>
      <w:r>
        <w:t>Przed rozpoczęciem</w:t>
      </w:r>
    </w:p>
    <w:p>
      <w:pPr>
        <w:pStyle w:val="ListBullet"/>
        <w:spacing w:after="60"/>
      </w:pPr>
      <w:r>
        <w:t>Potwierdź, że Twoja rola ma uprawnienie do zarządzania AI i ustawieniami Live Chat.</w:t>
      </w:r>
    </w:p>
    <w:p>
      <w:pPr>
        <w:pStyle w:val="ListBullet"/>
        <w:spacing w:after="60"/>
      </w:pPr>
      <w:r>
        <w:t>Przygotuj konto dostawcy, identyfikator modelu i klucz API poza Sense CMS. Nie umieszczaj klucza API na stronie, w poście, pliku dla odwiedzających ani w wiadomości czatu.</w:t>
      </w:r>
    </w:p>
    <w:p>
      <w:pPr>
        <w:pStyle w:val="ListBullet"/>
        <w:spacing w:after="60"/>
      </w:pPr>
      <w:r>
        <w:t>Ustal, które opublikowane strony i posty są wystarczająco wiarygodne, aby trafić do wyszukiwania RAG. Asystent powinien odpowiadać na podstawie utrzymywanej wiedzy, a nie szkiców.</w:t>
      </w:r>
    </w:p>
    <w:p>
      <w:pPr>
        <w:pStyle w:val="ListBullet"/>
        <w:spacing w:after="60"/>
      </w:pPr>
      <w:r>
        <w:t>Wskaż operatorów i zespoły wsparcia mogące przyjmować rozmowy oraz odbiorców natychmiastowych powiadomień.</w:t>
      </w:r>
    </w:p>
    <w:tbl>
      <w:tblPr>
        <w:tblW w:type="auto" w:w="0"/>
        <w:jc w:val="center"/>
        <w:tblLayout w:type="fixed"/>
        <w:tblLook w:firstColumn="1" w:firstRow="1" w:lastColumn="0" w:lastRow="0" w:noHBand="0" w:noVBand="1" w:val="04A0"/>
      </w:tblPr>
      <w:tblGrid>
        <w:gridCol w:w="2381"/>
        <w:gridCol w:w="6690"/>
      </w:tblGrid>
      <w:tr>
        <w:trPr>
          <w:tblHeader w:val="true"/>
        </w:trP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Area</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What to check</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Providers</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Wybierz sterownik, model i dozwolone zastosowania. Przetestuj połączenie przed włączeniem.</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Knowledge Base</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Dodaj lub zatwierdź kontrolowane źródła, włącz właściwe treści serwisu i sprawdź indeks.</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Visitor Assistant</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Wybierz pierwszego odpowiadającego, limity, czas przejęcia i proces wsparcia człowieka.</w:t>
            </w:r>
          </w:p>
        </w:tc>
      </w:tr>
    </w:tbl>
    <w:p>
      <w:pPr>
        <w:spacing w:after="20"/>
      </w:pPr>
    </w:p>
    <w:p>
      <w:r>
        <w:br w:type="page"/>
      </w:r>
    </w:p>
    <w:p>
      <w:pPr>
        <w:pStyle w:val="Heading1"/>
      </w:pPr>
      <w:r>
        <w:t>Providers</w:t>
      </w:r>
    </w:p>
    <w:p>
      <w:pPr>
        <w:spacing w:after="200" w:line="288" w:lineRule="auto"/>
      </w:pPr>
      <w:r>
        <w:rPr>
          <w:i/>
          <w:color w:val="475569"/>
        </w:rPr>
        <w:t>Dostawca jest kontrolowanym połączeniem pomiędzy Sense CMS a zewnętrznym modelem AI. Jedna instalacja może posiadać wielu dostawców i przypisywać im wyłącznie zadania, do których zostali zaakceptowani.</w:t>
      </w:r>
    </w:p>
    <w:p>
      <w:pPr>
        <w:pStyle w:val="Heading2"/>
      </w:pPr>
      <w:r>
        <w:t>Elementy konfiguracji dostawcy</w:t>
      </w:r>
    </w:p>
    <w:p>
      <w:r>
        <w:t>Każdy rekord dostawcy posiada czytelną nazwę i stabilny slug, sterownik, identyfikator modelu, bezpieczny adres HTTPS tam, gdzie jest potrzebny, klucz API, priorytet oraz zestaw dozwolonych zastosowań. Dane dostępowe są przechowywane przez Sense CMS w formie zaszyfrowanej. Rejestry użycia mają charakter operacyjny; nie przechowują promptów ani wygenerowanej treści.</w:t>
      </w:r>
    </w:p>
    <w:tbl>
      <w:tblPr>
        <w:tblW w:type="auto" w:w="0"/>
        <w:jc w:val="center"/>
        <w:tblLayout w:type="fixed"/>
        <w:tblLook w:firstColumn="1" w:firstRow="1" w:lastColumn="0" w:lastRow="0" w:noHBand="0" w:noVBand="1" w:val="04A0"/>
      </w:tblPr>
      <w:tblGrid>
        <w:gridCol w:w="2381"/>
        <w:gridCol w:w="6690"/>
      </w:tblGrid>
      <w:tr>
        <w:trPr>
          <w:tblHeader w:val="true"/>
        </w:trP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Area</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What to check</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OpenAI Responses API</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Natywny punkt końcowy OpenAI Responses dla zgodnych modeli OpenAI.</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OpenAI compatible API</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Publicznie dostępna przez HTTPS usługa udostępniająca standard chat completions.</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Anthropic Messages API</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Natywny punkt końcowy Messages dla obsługiwanych modeli Claude.</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Google Gemini API</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Natywny punkt końcowy generateContent dla obsługiwanych modeli Gemini.</w:t>
            </w:r>
          </w:p>
        </w:tc>
      </w:tr>
    </w:tbl>
    <w:p>
      <w:pPr>
        <w:spacing w:after="20"/>
      </w:pPr>
    </w:p>
    <w:p>
      <w:pPr>
        <w:pStyle w:val="Heading2"/>
      </w:pPr>
      <w:r>
        <w:t>Dodanie i weryfikacja dostawcy</w:t>
      </w:r>
    </w:p>
    <w:p>
      <w:pPr>
        <w:pStyle w:val="ListNumber"/>
        <w:spacing w:after="80"/>
      </w:pPr>
      <w:r>
        <w:t>Otwórz AI i Live Support, a następnie pozostań na zakładce Providers.</w:t>
      </w:r>
    </w:p>
    <w:p>
      <w:pPr>
        <w:pStyle w:val="ListNumber"/>
        <w:spacing w:after="80"/>
      </w:pPr>
      <w:r>
        <w:t>Wybierz Add provider i podaj zrozumiałą nazwę. Użyj unikalnego sluga małymi literami, cyframi i łącznikami.</w:t>
      </w:r>
    </w:p>
    <w:p>
      <w:pPr>
        <w:pStyle w:val="ListNumber"/>
        <w:spacing w:after="80"/>
      </w:pPr>
      <w:r>
        <w:t>Wybierz sterownik, a potem wpisz identyfikator modelu dokładnie w formie podanej przez dostawcę. Dla usługi zgodnej z OpenAI wskaż poprawny publiczny bazowy adres HTTPS.</w:t>
      </w:r>
    </w:p>
    <w:p>
      <w:pPr>
        <w:pStyle w:val="ListNumber"/>
        <w:spacing w:after="80"/>
      </w:pPr>
      <w:r>
        <w:t>Wpisz klucz API w chronionym polu. Przy edycji istniejącego dostawcy pozostawienie pustego pola zachowuje wcześniej zapisany klucz.</w:t>
      </w:r>
    </w:p>
    <w:p>
      <w:pPr>
        <w:pStyle w:val="ListNumber"/>
        <w:spacing w:after="80"/>
      </w:pPr>
      <w:r>
        <w:t>Wybierz zastosowania dostawcy: Page Builder, Posts i Visitor Assistant. Ogranicz go do zastosowań, dla których został sprawdzony.</w:t>
      </w:r>
    </w:p>
    <w:p>
      <w:pPr>
        <w:pStyle w:val="ListNumber"/>
        <w:spacing w:after="80"/>
      </w:pPr>
      <w:r>
        <w:t>Ustaw priorytet i limity użycia, zapisz rekord, a następnie użyj Test connection. Włącz dostawcę dopiero po poprawnej weryfikacji.</w:t>
      </w:r>
    </w:p>
    <w:p>
      <w:pPr>
        <w:pStyle w:val="Heading2"/>
      </w:pPr>
      <w:r>
        <w:t>Zastosowania i akceptacja człowieka</w:t>
      </w:r>
    </w:p>
    <w:p>
      <w:r>
        <w:t>Page Builder oraz Posts wykorzystują AI wyłącznie jako narzędzie tworzące propozycję. Propozycja nie zapisuje ani nie publikuje treści samodzielnie. Redaktor porównuje wynik, stosuje wybrane zmiany i zapisuje je standardowymi mechanizmami redakcyjnymi. Visitor Assistant korzysta z dostawcy tylko wtedy, gdy ma on włączone zastosowanie Chat, a asystent jest aktywny w konfiguracji Live Chat.</w:t>
      </w:r>
    </w:p>
    <w:p>
      <w:pPr>
        <w:pStyle w:val="Heading2"/>
      </w:pPr>
      <w:r>
        <w:t>Limity i ochrona budżetu</w:t>
      </w:r>
    </w:p>
    <w:p>
      <w:r>
        <w:t>Limity żądań, tokenów i kosztów są oceniane przed wysłaniem pracy do dostawcy. Wartość zero oznacza brak danego limitu. Jeśli potrzebne jest prognozowanie kosztu, wpisz bieżące ceny wejścia i wyjścia z cennika dostawcy. Ustaw próg ostrzegawczy, aby administrator mógł zareagować przed wyczerpaniem budżetu.</w:t>
      </w:r>
    </w:p>
    <w:tbl>
      <w:tblPr>
        <w:tblW w:type="auto" w:w="0"/>
        <w:jc w:val="center"/>
        <w:tblLayout w:type="fixed"/>
        <w:tblLook w:firstColumn="1" w:firstRow="1" w:lastColumn="0" w:lastRow="0" w:noHBand="0" w:noVBand="1" w:val="04A0"/>
      </w:tblPr>
      <w:tblGrid>
        <w:gridCol w:w="2381"/>
        <w:gridCol w:w="6690"/>
      </w:tblGrid>
      <w:tr>
        <w:trPr>
          <w:tblHeader w:val="true"/>
        </w:trP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Area</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What to check</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Dzienne i miesięczne żądania</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Ogranicz liczbę zaakceptowanych wywołań dostawcy w danym okresie.</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Dzienne i miesięczne tokeny</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Ogranicz przewidywane obciążenie, gdy użycie jest rozliczane tokenami.</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Dzienny i miesięczny budżet</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Ustaw limit wydatków operacyjnych z użyciem aktualnego cennika dostawcy.</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Próg ostrzegawczy</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Sygnalizuje zbliżanie się użycia do wybranego limitu.</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Priorytet</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Porządkuje uprawnionych dostawców dla danego zastosowania; zweryfikowany wariant główny utrzymuj na pierwszym miejscu.</w:t>
            </w:r>
          </w:p>
        </w:tc>
      </w:tr>
    </w:tbl>
    <w:p>
      <w:pPr>
        <w:spacing w:after="20"/>
      </w:pPr>
    </w:p>
    <w:p>
      <w:pPr>
        <w:pStyle w:val="Heading2"/>
      </w:pPr>
      <w:r>
        <w:t>Dobra praktyka pracy z dostawcami</w:t>
      </w:r>
    </w:p>
    <w:p>
      <w:pPr>
        <w:pStyle w:val="ListBullet"/>
        <w:spacing w:after="60"/>
      </w:pPr>
      <w:r>
        <w:t>Najpierw wykorzystuj dostawcę o wąskim zastosowaniu. Ekonomiczny dostawca redakcyjny nie musi obsługiwać czatu odwiedzających.</w:t>
      </w:r>
    </w:p>
    <w:p>
      <w:pPr>
        <w:pStyle w:val="ListBullet"/>
        <w:spacing w:after="60"/>
      </w:pPr>
      <w:r>
        <w:t>Ponownie przetestuj po zmianie modelu, punktu końcowego lub danych dostępowych. Nieudany test oznacza konieczność korekty przed użyciem.</w:t>
      </w:r>
    </w:p>
    <w:p>
      <w:pPr>
        <w:pStyle w:val="ListBullet"/>
        <w:spacing w:after="60"/>
      </w:pPr>
      <w:r>
        <w:t>Odpowiedź o limicie lub quota traktuj jako stan usługi, a nie jako poprawny wynik. Sprawdź limity, rozliczenia i status dostawcy przed ponowieniem.</w:t>
      </w:r>
    </w:p>
    <w:p>
      <w:pPr>
        <w:pStyle w:val="ListBullet"/>
        <w:spacing w:after="60"/>
      </w:pPr>
      <w:r>
        <w:t>Rotuj ujawnione lub wycofane dane dostępowe po stronie dostawcy i aktualizuj wyłącznie chronione pole klucza w Sense CMS.</w:t>
      </w:r>
    </w:p>
    <w:p>
      <w:pPr>
        <w:pStyle w:val="Heading2"/>
      </w:pPr>
      <w:r>
        <w:t>Rozwiązywanie problemów</w:t>
      </w:r>
    </w:p>
    <w:p>
      <w:r>
        <w:t>Jeśli test połączenia się nie powiedzie, sprawdź najpierw identyfikator modelu, publiczny adres HTTPS i klucz API. Punkt końcowy musi rozwiązywać się do publicznego adresu i nie może zawierać danych logowania, parametrów zapytania ani fragmentów. Gdy dostawca osiągnie limit, zmniejsz użycie, zmień budżet po akceptacji albo wybierz innego zweryfikowanego dostawcę. Nie wpisuj danych diagnostycznych do czatu, logów ani dokumentów.</w:t>
      </w:r>
    </w:p>
    <w:p>
      <w:r>
        <w:br w:type="page"/>
      </w:r>
    </w:p>
    <w:p>
      <w:pPr>
        <w:pStyle w:val="Heading1"/>
      </w:pPr>
      <w:r>
        <w:t>Knowledge Base</w:t>
      </w:r>
    </w:p>
    <w:p>
      <w:pPr>
        <w:spacing w:after="200" w:line="288" w:lineRule="auto"/>
      </w:pPr>
      <w:r>
        <w:rPr>
          <w:i/>
          <w:color w:val="475569"/>
        </w:rPr>
        <w:t>Knowledge Base jest źródłem zweryfikowanych faktów dla generowania wspomaganego wyszukiwaniem, nazywanego RAG. Działa niezależnie od pojedynczego dostawcy AI i pozostaje pod kontrolą redakcyjną w Sense CMS.</w:t>
      </w:r>
    </w:p>
    <w:p>
      <w:pPr>
        <w:pStyle w:val="Heading2"/>
      </w:pPr>
      <w:r>
        <w:t>Jak działa RAG w Sense CMS</w:t>
      </w:r>
    </w:p>
    <w:p>
      <w:r>
        <w:t>RAG nie uczy modelu nowych faktów na stałe. Sense CMS przechowuje zatwierdzony tekst źródłowy, normalizuje go, dzieli na ograniczone nakładające się fragmenty i wybiera fragmenty istotne dla pytania odwiedzającego. Asystent otrzymuje wyłącznie wybrany kontekst dla konkretnej odpowiedzi. Dzięki temu odpowiedzi merytoryczne mogą opierać się na aktualnym zatwierdzonym materiale, a nie na założeniach.</w:t>
      </w:r>
    </w:p>
    <w:tbl>
      <w:tblPr>
        <w:tblW w:type="auto" w:w="0"/>
        <w:jc w:val="center"/>
        <w:tblLayout w:type="fixed"/>
        <w:tblLook w:firstColumn="1" w:firstRow="1" w:lastColumn="0" w:lastRow="0" w:noHBand="0" w:noVBand="1" w:val="04A0"/>
      </w:tblPr>
      <w:tblGrid>
        <w:gridCol w:w="2381"/>
        <w:gridCol w:w="6690"/>
      </w:tblGrid>
      <w:tr>
        <w:trPr>
          <w:tblHeader w:val="true"/>
        </w:trP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Area</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What to check</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Zbierz</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Dostępne są teksty ręczne, prywatne pliki, zatwierdzone strony i zatwierdzone posty.</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Normalizuj</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Usuwane są znaczniki i niebezpieczne dane sterujące, podczas gdy zatwierdzony tekst pozostaje pod kontrolą właściciela.</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Podziel</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Tekst staje się zbiorem ograniczonych fragmentów z nakładaniem, tożsamością źródła i językiem.</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Wyszukaj</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Pasujące fragmenty są oceniane według pytania, języka i aktualnego stanu źródła.</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Odpowiedz</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Visitor Assistant używa odnalezionych faktów, dodaje zweryfikowane lokalne linki, gdy są dostępne, i prosi o pomoc człowieka przy braku wiedzy.</w:t>
            </w:r>
          </w:p>
        </w:tc>
      </w:tr>
    </w:tbl>
    <w:p>
      <w:pPr>
        <w:spacing w:after="20"/>
      </w:pPr>
    </w:p>
    <w:p>
      <w:pPr>
        <w:pStyle w:val="Heading2"/>
      </w:pPr>
      <w:r>
        <w:t>Rodzaje źródeł</w:t>
      </w:r>
    </w:p>
    <w:p>
      <w:r>
        <w:t>Tekst ręczny najlepiej sprawdza się dla polityk, procedur, faktów produktowych, odpowiedzi utrzymywanych przez specjalistę oraz krótkiej wiedzy, która nie musi znaleźć się na stronie publicznej. Prywatne pliki są przeznaczone dla kontrolowanego materiału referencyjnego. Sense CMS przyjmuje pliki TXT, PDF, RTF, DOC i DOCX o rozmiarze do 20 MiB, jeśli można wydobyć z nich tekst. Skanowany PDF wymaga uprzedniego OCR, ponieważ plik zawierający wyłącznie obraz nie ma tekstu źródłowego do użycia.</w:t>
      </w:r>
    </w:p>
    <w:p>
      <w:r>
        <w:t>Źródła treści serwisu reprezentują opublikowane strony i opublikowane posty. Każda strona lub post może zostać niezależnie włączona albo wykluczona z RAG. Szkice, treści prywatne, zaplanowane w przyszłości oraz wykluczone nie są wyszukiwane. Pozwala to publikować pracę redakcyjną bez automatycznego przekształcania każdego materiału w odpowiedź wsparcia.</w:t>
      </w:r>
    </w:p>
    <w:p>
      <w:pPr>
        <w:pStyle w:val="Heading2"/>
      </w:pPr>
      <w:r>
        <w:t>Dodawanie zatwierdzanie i utrzymanie wiedzy</w:t>
      </w:r>
    </w:p>
    <w:p>
      <w:pPr>
        <w:pStyle w:val="ListNumber"/>
        <w:spacing w:after="80"/>
      </w:pPr>
      <w:r>
        <w:t>Otwórz AI i Live Support, następnie wybierz Knowledge Base oraz zakładkę Sources.</w:t>
      </w:r>
    </w:p>
    <w:p>
      <w:pPr>
        <w:pStyle w:val="ListNumber"/>
        <w:spacing w:after="80"/>
      </w:pPr>
      <w:r>
        <w:t>Utwórz źródło ręczne lub prześlij obsługiwany plik. Nadaj mu precyzyjny tytuł i, gdy ma to zastosowanie, wybierz język źródła.</w:t>
      </w:r>
    </w:p>
    <w:p>
      <w:pPr>
        <w:pStyle w:val="ListNumber"/>
        <w:spacing w:after="80"/>
      </w:pPr>
      <w:r>
        <w:t>Sprawdź tekst pod kątem poprawności, zakresu, twierdzeń zależnych od daty oraz informacji poufnych. Źródło powinno odpowiadać na rzeczywistą potrzebę odwiedzającego i mieć jednoznacznego właściciela.</w:t>
      </w:r>
    </w:p>
    <w:p>
      <w:pPr>
        <w:pStyle w:val="ListNumber"/>
        <w:spacing w:after="80"/>
      </w:pPr>
      <w:r>
        <w:t>Zapisz jako szkic podczas przygotowania. Zatwierdź dopiero po przeglądzie; zatwierdzone źródło kwalifikuje się do indeksowania i wyszukiwania.</w:t>
      </w:r>
    </w:p>
    <w:p>
      <w:pPr>
        <w:pStyle w:val="ListNumber"/>
        <w:spacing w:after="80"/>
      </w:pPr>
      <w:r>
        <w:t>Użyj listy źródeł, aby wyszukać, edytować, ponownie indeksować, wyłączyć lub usunąć źródło. Edycja zatwierdzonego źródła ręcznego uruchamia indeksowanie, dzięki czemu kopia wyszukiwania odpowiada zatwierdzonemu tekstowi.</w:t>
      </w:r>
    </w:p>
    <w:p>
      <w:pPr>
        <w:pStyle w:val="ListNumber"/>
        <w:spacing w:after="80"/>
      </w:pPr>
      <w:r>
        <w:t>Dla treści serwisu użyj zakładki Website content, aby włączyć lub wykluczyć stronę albo post; zapisz zmiany i przebuduj indeks, gdy potrzebne jest kontrolowane pełne odświeżenie.</w:t>
      </w:r>
    </w:p>
    <w:p>
      <w:pPr>
        <w:pStyle w:val="Heading2"/>
      </w:pPr>
      <w:r>
        <w:t>Języki i jakość źródeł</w:t>
      </w:r>
    </w:p>
    <w:p>
      <w:r>
        <w:t>Przypisz język źródła, gdy jego treść jest specyficzna językowo. Wyszukiwanie preferuje materiał w języku zgodnym z pytaniem. Utrzymuj równolegle angielskie i polskie źródła, jeśli oba języki są udostępniane odwiedzającym. Pisz bezpośrednio, wyjaśniaj skróty, unikaj sprzeczności oraz zastępuj nieaktualne wartości zamiast dopisywać pod nimi wyjątki.</w:t>
      </w:r>
    </w:p>
    <w:p>
      <w:pPr>
        <w:pStyle w:val="Heading2"/>
      </w:pPr>
      <w:r>
        <w:t>Stan indeksu i synchronizacja</w:t>
      </w:r>
    </w:p>
    <w:p>
      <w:r>
        <w:t>Indeks RAG pokazuje liczbę źródeł gotowych, oczekujących i błędnych oraz liczbę fragmentów wyszukiwania. Gotowe źródło może być odnalezione przez asystenta. Źródło z błędem wymaga korekty, ponownego indeksowania albo zastąpienia. Zwykłe zmiany redakcyjne synchronizują się asynchronicznie, aby zapis strony lub postu nie był opóźniany. Kontrolowana pełna przebudowa służy do celowego uzgodnienia całego indeksu. Przebudowa indeksu nie wywołuje modelu generującego tekst i nie tworzy kosztu generacji AI.</w:t>
      </w:r>
    </w:p>
    <w:p>
      <w:pPr>
        <w:pStyle w:val="Heading2"/>
      </w:pPr>
      <w:r>
        <w:t>Trening i ewaluacje</w:t>
      </w:r>
    </w:p>
    <w:p>
      <w:r>
        <w:t>Przestrzeń Training and evals jest oddzielona od RAG. Służy do przygotowywania przykładów pożądanego zachowania, tonu i bezpiecznych odpowiedzi oraz do definiowania powtarzalnych przypadków ewaluacyjnych. Lokalny pakiet treningowy można przygotować tylko ze zatwierdzonego gotowego zbioru zawierającego co najmniej dziesięć zatwierdzonych przykładów. Wygenerowany pakiet JSONL jest prywatny i zabezpieczony sumą kontrolną. Jego przygotowanie odbywa się lokalnie: nie wysyła danych do dostawcy i nie uruchamia płatnego fine-tuningu. RAG pozostaje mechanizmem aktualizowania bieżącej wiedzy merytorycznej.</w:t>
      </w:r>
    </w:p>
    <w:p>
      <w:pPr>
        <w:pStyle w:val="Heading2"/>
      </w:pPr>
      <w:r>
        <w:t>Lista kontroli zarządzania wiedzą</w:t>
      </w:r>
    </w:p>
    <w:p>
      <w:pPr>
        <w:pStyle w:val="ListBullet"/>
        <w:spacing w:after="60"/>
      </w:pPr>
      <w:r>
        <w:t>Przypisz właściciela każdemu istotnemu źródłu i przeglądaj je po zmianie polityk, cen, produktów lub danych kontaktowych.</w:t>
      </w:r>
    </w:p>
    <w:p>
      <w:pPr>
        <w:pStyle w:val="ListBullet"/>
        <w:spacing w:after="60"/>
      </w:pPr>
      <w:r>
        <w:t>Stosuj tytuły opisowe, aby operatorzy mogli szybko odnaleźć właściwy dokument.</w:t>
      </w:r>
    </w:p>
    <w:p>
      <w:pPr>
        <w:pStyle w:val="ListBullet"/>
        <w:spacing w:after="60"/>
      </w:pPr>
      <w:r>
        <w:t>Wyłącz albo usuń treść, która nie może już być używana. Po istotnych zmianach potwierdź stan indeksu.</w:t>
      </w:r>
    </w:p>
    <w:p>
      <w:pPr>
        <w:pStyle w:val="ListBullet"/>
        <w:spacing w:after="60"/>
      </w:pPr>
      <w:r>
        <w:t>Używaj przypadków ewaluacyjnych do testowania ważnych odpowiedzi przed zmianą dostawcy, modelu lub polityki asystenta.</w:t>
      </w:r>
    </w:p>
    <w:p>
      <w:r>
        <w:br w:type="page"/>
      </w:r>
    </w:p>
    <w:p>
      <w:pPr>
        <w:pStyle w:val="Heading1"/>
      </w:pPr>
      <w:r>
        <w:t>Visitor Assistant</w:t>
      </w:r>
    </w:p>
    <w:p>
      <w:pPr>
        <w:spacing w:after="200" w:line="288" w:lineRule="auto"/>
      </w:pPr>
      <w:r>
        <w:rPr>
          <w:i/>
          <w:color w:val="475569"/>
        </w:rPr>
        <w:t>Visitor Assistant jest publiczną funkcją Live Chat. Łączy wyszukiwanie w zatwierdzonej Knowledge Base z wybranym dostawcą AI oraz procesem wsparcia człowieka. Jest konfigurowany przez ustawienia Live Chat i świadomie ograniczony limitami odpowiedzi, budżetu i bezpieczeństwa.</w:t>
      </w:r>
    </w:p>
    <w:p>
      <w:pPr>
        <w:pStyle w:val="Heading2"/>
      </w:pPr>
      <w:r>
        <w:t>Bezpieczne włączenie asystenta</w:t>
      </w:r>
    </w:p>
    <w:p>
      <w:pPr>
        <w:pStyle w:val="ListNumber"/>
        <w:spacing w:after="80"/>
      </w:pPr>
      <w:r>
        <w:t>Zweryfikuj co najmniej jednego włączonego dostawcę z zaznaczonym zastosowaniem Visitor Assistant.</w:t>
      </w:r>
    </w:p>
    <w:p>
      <w:pPr>
        <w:pStyle w:val="ListNumber"/>
        <w:spacing w:after="80"/>
      </w:pPr>
      <w:r>
        <w:t>Otwórz konfigurację Live Chat i włącz AI Assistant dopiero wtedy, gdy Knowledge Base zawiera zatwierdzone gotowe źródła.</w:t>
      </w:r>
    </w:p>
    <w:p>
      <w:pPr>
        <w:pStyle w:val="ListNumber"/>
        <w:spacing w:after="80"/>
      </w:pPr>
      <w:r>
        <w:t>Wybierz, czy pierwszą odpowiedź ma udzielać AI Assistant, czy zespół człowieka.</w:t>
      </w:r>
    </w:p>
    <w:p>
      <w:pPr>
        <w:pStyle w:val="ListNumber"/>
        <w:spacing w:after="80"/>
      </w:pPr>
      <w:r>
        <w:t>Ustaw dzienny limit odpowiedzi AI oraz maksymalną liczbę tokenów odpowiedzi. Limity działają razem z limitami dostawcy.</w:t>
      </w:r>
    </w:p>
    <w:p>
      <w:pPr>
        <w:pStyle w:val="ListNumber"/>
        <w:spacing w:after="80"/>
      </w:pPr>
      <w:r>
        <w:t>Jeśli wybrano Human team first, ustaw czas przejęcia od 0 do 300 sekund. Dobrym punktem startowym operacyjnie jest 15 sekund, a później można go dopasować do danych wsparcia.</w:t>
      </w:r>
    </w:p>
    <w:p>
      <w:pPr>
        <w:pStyle w:val="ListNumber"/>
        <w:spacing w:after="80"/>
      </w:pPr>
      <w:r>
        <w:t>Zapisz konfigurację i przeprowadź krótką rozmowę testową w każdym obsługiwanym języku. Potwierdź otrzymanie wiadomości przez odbiorców powiadomień oraz możliwość przyjęcia rozmowy przez członka zespołu.</w:t>
      </w:r>
    </w:p>
    <w:p>
      <w:pPr>
        <w:pStyle w:val="Heading2"/>
      </w:pPr>
      <w:r>
        <w:t>Pierwszy odpowiadający i przejęcie</w:t>
      </w:r>
    </w:p>
    <w:p>
      <w:r>
        <w:t>AI assistant first pozwala asystentowi odpowiedzieć od razu, gdy ma zatwierdzoną istotną wiedzę i uprawnionego dostawcę. Odwiedzający może w każdej chwili poprosić o człowieka. Human team first umieszcza rozmowę w kolejce ludzkiej i uruchamia natychmiastową ścieżkę powiadomień. Jeżeli nikt nie przyjmie rozmowy przed upływem ustawionego czasu przejęcia, asystent może przejąć oczekującą rozmowę i odpowiedzieć na podstawie zatwierdzonej wiedzy. Jeżeli nie ma uprawnionego dostawcy, rozmowa pozostaje sprawą dla wsparcia człowieka.</w:t>
      </w:r>
    </w:p>
    <w:tbl>
      <w:tblPr>
        <w:tblW w:type="auto" w:w="0"/>
        <w:jc w:val="center"/>
        <w:tblLayout w:type="fixed"/>
        <w:tblLook w:firstColumn="1" w:firstRow="1" w:lastColumn="0" w:lastRow="0" w:noHBand="0" w:noVBand="1" w:val="04A0"/>
      </w:tblPr>
      <w:tblGrid>
        <w:gridCol w:w="2381"/>
        <w:gridCol w:w="6690"/>
      </w:tblGrid>
      <w:tr>
        <w:trPr>
          <w:tblHeader w:val="true"/>
        </w:trP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Area</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What to check</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AI ma zweryfikowany kontekst</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Udziela zwięzłej odpowiedzi w języku odwiedzającego i może dodać do trzech zweryfikowanych lokalnych linków źródłowych.</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Odwiedzający prosi o człowieka</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Rozmowa trafia do kolejki ludzkiej bez próby zastąpienia prośby odpowiedzią AI.</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Najpierw człowiek bez przyjęcia</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Po skonfigurowanym czasie asystent może przejąć rozmowę, jeśli jest włączony i dostępny jest uprawniony dostawca.</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Brak zweryfikowanej odpowiedzi lub operatora</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Asystent prosi o adres e-mail do kontaktu zwrotnego zamiast wymyślać odpowiedź.</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Operator przyjmuje rozmowę</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Rozmowa zostaje przypisana temu operatorowi. Operator może ją prowadzić, przekierować albo zamknąć w standardowym panelu.</w:t>
            </w:r>
          </w:p>
        </w:tc>
      </w:tr>
    </w:tbl>
    <w:p>
      <w:pPr>
        <w:spacing w:after="20"/>
      </w:pPr>
    </w:p>
    <w:p>
      <w:pPr>
        <w:pStyle w:val="Heading2"/>
      </w:pPr>
      <w:r>
        <w:t>Obsługa przez człowieka</w:t>
      </w:r>
    </w:p>
    <w:p>
      <w:r>
        <w:t>Operatorzy widzą kolejkę i stan nieprzeczytanych wiadomości w panelu administracyjnym. Uprawniony operator może przyjąć rozmowę i przekazać ją innemu operatorowi, zespołowi wsparcia albo ponownie do włączonego asystenta AI. Przekierowania są rejestrowane w historii rozmowy. Zespoły należy przypisywać według odpowiedzialności, aby powiadomienia i przekazania trafiały do osób, które rzeczywiście mogą rozwiązać sprawę odwiedzającego.</w:t>
      </w:r>
    </w:p>
    <w:p>
      <w:r>
        <w:t>Gdy asystent nie może potwierdzić twierdzenia na podstawie odnalezionej wiedzy, a człowiek nie jest dostępny, prosi odwiedzającego o adres e-mail. Adres jest walidowany i przechowywany jako prywatna informacja odwiedzającego. Nie jest zwracany w publicznym stanie rozmowy. Prośbę o kontakt zwrotny traktuj jak zadanie: przypisz odpowiedzialność, odpowiedz według zaakceptowanego procesu i zamknij rozmowę dopiero po wykonaniu dalszego kontaktu.</w:t>
      </w:r>
    </w:p>
    <w:p>
      <w:pPr>
        <w:pStyle w:val="Heading2"/>
      </w:pPr>
      <w:r>
        <w:t>Jakość odpowiedzi i granice</w:t>
      </w:r>
    </w:p>
    <w:p>
      <w:pPr>
        <w:pStyle w:val="ListBullet"/>
        <w:spacing w:after="60"/>
      </w:pPr>
      <w:r>
        <w:t>Asystent odpowiada w języku odwiedzającego i wykorzystuje zatwierdzoną odnalezioną treść dla twierdzeń merytorycznych.</w:t>
      </w:r>
    </w:p>
    <w:p>
      <w:pPr>
        <w:pStyle w:val="ListBullet"/>
        <w:spacing w:after="60"/>
      </w:pPr>
      <w:r>
        <w:t>Nie ujawnia danych o dostawcy, danych dostępowych, ustawień prywatnych ani danych wewnętrznych.</w:t>
      </w:r>
    </w:p>
    <w:p>
      <w:pPr>
        <w:pStyle w:val="ListBullet"/>
        <w:spacing w:after="60"/>
      </w:pPr>
      <w:r>
        <w:t>Nie może wymyślać cen, polityk, dat, dostępności ani zobowiązań. Gdy ważne pytanie nie jest pokryte, uzupełnij Knowledge Base.</w:t>
      </w:r>
    </w:p>
    <w:p>
      <w:pPr>
        <w:pStyle w:val="ListBullet"/>
        <w:spacing w:after="60"/>
      </w:pPr>
      <w:r>
        <w:t>Linki źródłowe są dodawane wyłącznie z potwierdzonych lokalnych adresów źródeł. Po istotnej zmianie treści sprawdź podlinkowaną stronę.</w:t>
      </w:r>
    </w:p>
    <w:p>
      <w:pPr>
        <w:pStyle w:val="Heading2"/>
      </w:pPr>
      <w:r>
        <w:t>Powiadomienia prywatność i retencja</w:t>
      </w:r>
    </w:p>
    <w:p>
      <w:r>
        <w:t>Nowa aktywność odwiedzającego korzysta ze skonfigurowanych natychmiastowych kanałów powiadomień operatora, w tym przeglądarki i Telegrama, jeśli są włączone. Rozmowy pozostają izolowane sesją i są chronione kontrolą dostępu Live Chat. Informacje dostępne wyłącznie operatorom, takie jak prywatny kontekst techniczny odwiedzającego, nie są ujawniane w publicznym stanie czatu. Retencja zamkniętych rozmów jest konfigurowalna; aktywne rozmowy nie są usuwane przez proces retencji. Usunięcie rozmowy natychmiast usuwa jej wiadomości i dane odwiedzającego. Operatorzy mogą pobrać uprawniony transkrypt TXT lub pełny rekord JSON, gdy wymaga tego proces wsparcia.</w:t>
      </w:r>
    </w:p>
    <w:p>
      <w:pPr>
        <w:pStyle w:val="Heading2"/>
      </w:pPr>
      <w:r>
        <w:t>Codzienna lista operacyjna</w:t>
      </w:r>
    </w:p>
    <w:p>
      <w:pPr>
        <w:pStyle w:val="ListBullet"/>
        <w:spacing w:after="60"/>
      </w:pPr>
      <w:r>
        <w:t>Sprawdzaj nieprzeczytane rozmowy i kolejkę ludzką na początku każdego okresu obsługi.</w:t>
      </w:r>
    </w:p>
    <w:p>
      <w:pPr>
        <w:pStyle w:val="ListBullet"/>
        <w:spacing w:after="60"/>
      </w:pPr>
      <w:r>
        <w:t>Przeglądaj prośby o kontakt e-mail i zapewnij, że każda ma wskazaną odpowiedzialną osobę oraz rezultat.</w:t>
      </w:r>
    </w:p>
    <w:p>
      <w:pPr>
        <w:pStyle w:val="ListBullet"/>
        <w:spacing w:after="60"/>
      </w:pPr>
      <w:r>
        <w:t>Sprawdzaj weryfikację dostawców i ostrzeżenia budżetowe przed intensywnym okresem pracy.</w:t>
      </w:r>
    </w:p>
    <w:p>
      <w:pPr>
        <w:pStyle w:val="ListBullet"/>
        <w:spacing w:after="60"/>
      </w:pPr>
      <w:r>
        <w:t>Dodawaj lub koryguj materiał Knowledge Base, gdy powtarzające się pytania ujawniają lukę.</w:t>
      </w:r>
    </w:p>
    <w:p>
      <w:pPr>
        <w:pStyle w:val="ListBullet"/>
        <w:spacing w:after="60"/>
      </w:pPr>
      <w:r>
        <w:t>Okresowo analizuj transkrypty, przekazania i ewaluacje, aby poprawiać obsługę człowieka oraz zachowanie asystenta.</w:t>
      </w:r>
    </w:p>
    <w:p>
      <w:r>
        <w:br w:type="page"/>
      </w:r>
    </w:p>
    <w:p>
      <w:pPr>
        <w:pStyle w:val="Heading1"/>
      </w:pPr>
      <w:r>
        <w:t>Zakończenie</w:t>
      </w:r>
    </w:p>
    <w:p>
      <w:r>
        <w:t>Wiarygodne wsparcie AI jest dyscypliną redakcyjną i operacyjną, a nie tylko ustawieniem modelu. Sense CMS ułatwia jej zachowanie: dostawcy są konfigurowani i limitowani w jednym miejscu, wiedza jest jawnie zatwierdzana i indeksowana, a rozmowy z odwiedzającymi zachowują przejrzystą ścieżkę do odpowiedzialnego wsparcia człowieka. Zacznij od małego, zweryfikowanego zestawu wiedzy, mierz rozmowy trafiające do zespołu i rozwijaj źródła oraz reguły działania wraz z dojrzałością usługi.</w:t>
      </w:r>
    </w:p>
    <w:p>
      <w:r>
        <w:t>Utrzymuj jasną odpowiedzialność. Przeglądaj każdą zmianę dostawcy, każde źródło wpływające na ważne odpowiedzi odwiedzających oraz każdą zmianę konfiguracji wsparcia. Dzięki tym zasadom AI i Live Support pozostaje użyteczne, możliwe do wyjaśnienia i zgodne z organizacją, która je prowadzi.</w:t>
      </w:r>
    </w:p>
    <w:sectPr w:rsidR="00FC693F" w:rsidRPr="0006063C" w:rsidSect="00034616">
      <w:footerReference w:type="default" r:id="rId9"/>
      <w:pgSz w:w="12240" w:h="15840"/>
      <w:pgMar w:top="1020" w:right="1134" w:bottom="935" w:left="1134"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F8B"/>
        <w:sz w:val="16"/>
      </w:rPr>
      <w:t xml:space="preserve">Sense CMS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20" w:after="14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Instrukcja AI i Live Support</dc:title>
  <dc:subject>Providers Knowledge Base Visitor Assistant</dc:subject>
  <dc:creator>Sense CMS</dc:creator>
  <cp:keywords/>
  <dc:description>generated by python-docx</dc:description>
  <cp:lastModifiedBy/>
  <cp:revision>1</cp:revision>
  <dcterms:created xsi:type="dcterms:W3CDTF">2013-12-23T23:15:00Z</dcterms:created>
  <dcterms:modified xsi:type="dcterms:W3CDTF">2013-12-23T23:15:00Z</dcterms:modified>
  <cp:category/>
</cp:coreProperties>
</file>