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E261F" w14:textId="611F3868" w:rsidR="008D52F0" w:rsidRDefault="008D52F0" w:rsidP="008D52F0">
      <w:pPr>
        <w:pStyle w:val="Title"/>
      </w:pPr>
      <w:r>
        <w:t>Pampered Pets Supply Chain risks and e-commerce mitigations</w:t>
      </w:r>
    </w:p>
    <w:p w14:paraId="429FF281" w14:textId="01BA66B6" w:rsidR="008D52F0" w:rsidRDefault="008D52F0" w:rsidP="008D52F0">
      <w:pPr>
        <w:pStyle w:val="Subtitle"/>
        <w:rPr>
          <w:rStyle w:val="Hyperlink"/>
        </w:rPr>
      </w:pPr>
      <w:r>
        <w:t xml:space="preserve">Mark Collins </w:t>
      </w:r>
      <w:hyperlink r:id="rId6" w:history="1">
        <w:r w:rsidRPr="007F0053">
          <w:rPr>
            <w:rStyle w:val="Hyperlink"/>
          </w:rPr>
          <w:t>MC24952@essex.ac.uk</w:t>
        </w:r>
      </w:hyperlink>
    </w:p>
    <w:p w14:paraId="3BADC278" w14:textId="007CAA24" w:rsidR="00A24357" w:rsidRPr="00A24357" w:rsidRDefault="00A24357" w:rsidP="00A24357">
      <w:pPr>
        <w:rPr>
          <w:b/>
          <w:bCs/>
        </w:rPr>
      </w:pPr>
      <w:r w:rsidRPr="00A24357">
        <w:rPr>
          <w:b/>
          <w:bCs/>
        </w:rPr>
        <w:t>Word Count: 180</w:t>
      </w:r>
      <w:r w:rsidR="002E195A">
        <w:rPr>
          <w:b/>
          <w:bCs/>
        </w:rPr>
        <w:t>4</w:t>
      </w:r>
      <w:r w:rsidRPr="00A24357">
        <w:rPr>
          <w:b/>
          <w:bCs/>
        </w:rPr>
        <w:t xml:space="preserve"> </w:t>
      </w:r>
    </w:p>
    <w:p w14:paraId="799B036C" w14:textId="7FFDFB9C" w:rsidR="008D52F0" w:rsidRDefault="008D52F0" w:rsidP="00611884">
      <w:pPr>
        <w:pStyle w:val="Heading1"/>
        <w:numPr>
          <w:ilvl w:val="0"/>
          <w:numId w:val="3"/>
        </w:numPr>
      </w:pPr>
      <w:r>
        <w:t>Executive Summary</w:t>
      </w:r>
    </w:p>
    <w:p w14:paraId="6E762BC5" w14:textId="4D3AD0DA" w:rsidR="008D52F0" w:rsidRDefault="006E1D95" w:rsidP="008D52F0">
      <w:r>
        <w:t xml:space="preserve">Pampered Pets </w:t>
      </w:r>
      <w:r w:rsidR="00D611AB">
        <w:t>has decided to adopt a digitisation process and launch an e-commerce solution. It also desires</w:t>
      </w:r>
      <w:r w:rsidR="00A33157">
        <w:t xml:space="preserve"> to reduce production costs and develop an international supply chain. </w:t>
      </w:r>
    </w:p>
    <w:p w14:paraId="1BAB30A6" w14:textId="5CF441AC" w:rsidR="00A33157" w:rsidRDefault="00A33157" w:rsidP="00611884">
      <w:pPr>
        <w:pStyle w:val="Heading2"/>
        <w:numPr>
          <w:ilvl w:val="1"/>
          <w:numId w:val="3"/>
        </w:numPr>
      </w:pPr>
      <w:r>
        <w:t>Supply chain risks</w:t>
      </w:r>
    </w:p>
    <w:p w14:paraId="6D7D5057" w14:textId="11A441A0" w:rsidR="008B7815" w:rsidRDefault="00A33157" w:rsidP="00A33157">
      <w:r>
        <w:t xml:space="preserve">When changing elements of the supply chain, there are always associated risks. </w:t>
      </w:r>
      <w:r w:rsidR="008B7815">
        <w:t xml:space="preserve">Two scenarios are considered – a </w:t>
      </w:r>
      <w:r w:rsidR="008B7815">
        <w:rPr>
          <w:i/>
          <w:iCs/>
        </w:rPr>
        <w:t>normalised</w:t>
      </w:r>
      <w:r w:rsidR="008B7815">
        <w:t xml:space="preserve"> as-is scenario with a “Bricks-and-Mortar” shop, and an extreme “Digitised” scenario. Using YASAI </w:t>
      </w:r>
      <w:r w:rsidR="008B7815">
        <w:fldChar w:fldCharType="begin" w:fldLock="1"/>
      </w:r>
      <w:r w:rsidR="008B7815">
        <w:instrText>ADDIN CSL_CITATION {"citationItems":[{"id":"ITEM-1","itemData":{"DOI":"10.1287/ited.2.2.12","ISSN":"1532-0545","abstract":"This report describes YASAI (Yet Another Simulation Add-In), a tool for performing Monte Carlo simulations via Excel spreadsheet models. Although similar tools do already exist, we needed one that was simple to use for beginning students, and could be used and installed easily without system administrator privileges. We describe the design philosophy of YASAI and its features for generating random variables, identifying simulation outputs, and specifying scenarios. The output specification mechanism is novel, and the scenario generation mechanism has some novel features. An example illustrates most of YASAI's features.","author":[{"dropping-particle":"","family":"Eckstein","given":"Jonathan","non-dropping-particle":"","parse-names":false,"suffix":""},{"dropping-particle":"","family":"Riedmueller","given":"Steven T.","non-dropping-particle":"","parse-names":false,"suffix":""}],"container-title":"INFORMS Transactions on Education","id":"ITEM-1","issue":"2","issued":{"date-parts":[["2002"]]},"page":"12-26","title":"YASAI: Yet Another Add-in for Teaching Elementary Monte Carlo Simulation in Excel","type":"article-journal","volume":"2"},"uris":["http://www.mendeley.com/documents/?uuid=523213db-19db-4d82-86c5-9c6ccb0c8d76"]}],"mendeley":{"formattedCitation":"(Eckstein &amp; Riedmueller, 2002)","plainTextFormattedCitation":"(Eckstein &amp; Riedmueller, 2002)","previouslyFormattedCitation":"(Eckstein &amp; Riedmueller, 2002)"},"properties":{"noteIndex":0},"schema":"https://github.com/citation-style-language/schema/raw/master/csl-citation.json"}</w:instrText>
      </w:r>
      <w:r w:rsidR="008B7815">
        <w:fldChar w:fldCharType="separate"/>
      </w:r>
      <w:r w:rsidR="008B7815" w:rsidRPr="008B7815">
        <w:rPr>
          <w:noProof/>
        </w:rPr>
        <w:t>(Eckstein &amp; Riedmueller, 2002)</w:t>
      </w:r>
      <w:r w:rsidR="008B7815">
        <w:fldChar w:fldCharType="end"/>
      </w:r>
      <w:r w:rsidR="00D611AB">
        <w:t>,</w:t>
      </w:r>
      <w:r w:rsidR="008B7815">
        <w:t xml:space="preserve"> and following the methodology outlined in </w:t>
      </w:r>
      <w:r w:rsidR="00D611AB">
        <w:t>Chapter</w:t>
      </w:r>
      <w:r w:rsidR="008B7815">
        <w:t xml:space="preserve"> 5 of </w:t>
      </w:r>
      <w:r w:rsidR="008B7815">
        <w:fldChar w:fldCharType="begin" w:fldLock="1"/>
      </w:r>
      <w:r w:rsidR="008B7815">
        <w:instrText>ADDIN CSL_CITATION {"citationItems":[{"id":"ITEM-1","itemData":{"DOI":"https://doi.org/10.1007/978-3-662-60608-7","ISBN":"978-3-662-60607-0","author":[{"dropping-particle":"","family":"Olson","given":"David L.","non-dropping-particle":"","parse-names":false,"suffix":""},{"dropping-particle":"","family":"Wu","given":"Desheng","non-dropping-particle":"","parse-names":false,"suffix":""}],"edition":"3rd","id":"ITEM-1","issued":{"date-parts":[["2020"]]},"publisher":"Springer Nature","publisher-place":"Berlin","title":"Enterprise Risk Management Models","type":"book"},"uris":["http://www.mendeley.com/documents/?uuid=16db8ab3-98b6-4ba9-9887-19a5c249a030"]}],"mendeley":{"formattedCitation":"(Olson &amp; Wu, 2020)","manualFormatting":"Olson &amp; Wu, (2020)","plainTextFormattedCitation":"(Olson &amp; Wu, 2020)","previouslyFormattedCitation":"(Olson &amp; Wu, 2020)"},"properties":{"noteIndex":0},"schema":"https://github.com/citation-style-language/schema/raw/master/csl-citation.json"}</w:instrText>
      </w:r>
      <w:r w:rsidR="008B7815">
        <w:fldChar w:fldCharType="separate"/>
      </w:r>
      <w:r w:rsidR="008B7815" w:rsidRPr="008B7815">
        <w:rPr>
          <w:noProof/>
        </w:rPr>
        <w:t xml:space="preserve">Olson &amp; Wu, </w:t>
      </w:r>
      <w:r w:rsidR="008B7815">
        <w:rPr>
          <w:noProof/>
        </w:rPr>
        <w:t>(</w:t>
      </w:r>
      <w:r w:rsidR="008B7815" w:rsidRPr="008B7815">
        <w:rPr>
          <w:noProof/>
        </w:rPr>
        <w:t>2020)</w:t>
      </w:r>
      <w:r w:rsidR="008B7815">
        <w:fldChar w:fldCharType="end"/>
      </w:r>
      <w:r w:rsidR="008B7815">
        <w:t>, a Monte Carlo simulation has been run to estimate the risks associated with proposed changes.</w:t>
      </w:r>
    </w:p>
    <w:p w14:paraId="32649D33" w14:textId="17D869BE" w:rsidR="008B7815" w:rsidRDefault="008B7815" w:rsidP="00611884">
      <w:pPr>
        <w:pStyle w:val="Heading3"/>
        <w:numPr>
          <w:ilvl w:val="2"/>
          <w:numId w:val="3"/>
        </w:numPr>
      </w:pPr>
      <w:r>
        <w:t>Parameters and Assumptions</w:t>
      </w:r>
    </w:p>
    <w:p w14:paraId="01946D20" w14:textId="06F67B8B" w:rsidR="008B7815" w:rsidRDefault="008B7815" w:rsidP="008B7815">
      <w:r>
        <w:t>The following assumptions have been made to model the business changes:</w:t>
      </w:r>
    </w:p>
    <w:p w14:paraId="24CE4AFF" w14:textId="2A4C9570" w:rsidR="008B7815" w:rsidRDefault="008B7815" w:rsidP="008B7815">
      <w:pPr>
        <w:pStyle w:val="ListParagraph"/>
        <w:numPr>
          <w:ilvl w:val="0"/>
          <w:numId w:val="2"/>
        </w:numPr>
      </w:pPr>
      <w:r>
        <w:rPr>
          <w:b/>
          <w:bCs/>
        </w:rPr>
        <w:t>Product Quality Control</w:t>
      </w:r>
    </w:p>
    <w:p w14:paraId="447AB614" w14:textId="7C7BBFDE" w:rsidR="008B7815" w:rsidRDefault="008B7815" w:rsidP="008B7815">
      <w:pPr>
        <w:pStyle w:val="ListParagraph"/>
        <w:numPr>
          <w:ilvl w:val="1"/>
          <w:numId w:val="2"/>
        </w:numPr>
      </w:pPr>
      <w:r>
        <w:t>It is assumed that product Quality Control</w:t>
      </w:r>
      <w:r w:rsidR="00AD674E">
        <w:t xml:space="preserve"> (QC)</w:t>
      </w:r>
      <w:r>
        <w:t xml:space="preserve"> remains high, and the actual quality of the product is not compromised in any way. </w:t>
      </w:r>
    </w:p>
    <w:p w14:paraId="13AF543A" w14:textId="6E7C5AEE" w:rsidR="008B7815" w:rsidRDefault="008B7815" w:rsidP="008B7815">
      <w:pPr>
        <w:pStyle w:val="ListParagraph"/>
        <w:numPr>
          <w:ilvl w:val="0"/>
          <w:numId w:val="2"/>
        </w:numPr>
      </w:pPr>
      <w:r>
        <w:rPr>
          <w:b/>
          <w:bCs/>
        </w:rPr>
        <w:t>Sale Price</w:t>
      </w:r>
    </w:p>
    <w:p w14:paraId="69C5B043" w14:textId="05C28B80" w:rsidR="008B7815" w:rsidRDefault="008B7815" w:rsidP="008B7815">
      <w:pPr>
        <w:pStyle w:val="ListParagraph"/>
        <w:numPr>
          <w:ilvl w:val="1"/>
          <w:numId w:val="2"/>
        </w:numPr>
      </w:pPr>
      <w:r>
        <w:t xml:space="preserve">The </w:t>
      </w:r>
      <w:r w:rsidR="00D611AB">
        <w:t>product cost</w:t>
      </w:r>
      <w:r>
        <w:t xml:space="preserve"> to the customer is normalised to be (£)100.</w:t>
      </w:r>
    </w:p>
    <w:p w14:paraId="01F7DBC6" w14:textId="6CA4F412" w:rsidR="008B7815" w:rsidRDefault="008B7815" w:rsidP="008B7815">
      <w:pPr>
        <w:pStyle w:val="ListParagraph"/>
        <w:numPr>
          <w:ilvl w:val="0"/>
          <w:numId w:val="2"/>
        </w:numPr>
      </w:pPr>
      <w:r>
        <w:rPr>
          <w:b/>
          <w:bCs/>
        </w:rPr>
        <w:t>Purchase Price</w:t>
      </w:r>
    </w:p>
    <w:p w14:paraId="6141DEC6" w14:textId="72A1F279" w:rsidR="008B7815" w:rsidRDefault="008B7815" w:rsidP="008B7815">
      <w:pPr>
        <w:pStyle w:val="ListParagraph"/>
        <w:numPr>
          <w:ilvl w:val="1"/>
          <w:numId w:val="2"/>
        </w:numPr>
      </w:pPr>
      <w:r>
        <w:t xml:space="preserve">Profit Margins for the petfood industry range from 40% to 70% </w:t>
      </w:r>
      <w:r>
        <w:fldChar w:fldCharType="begin" w:fldLock="1"/>
      </w:r>
      <w:r w:rsidR="00AD674E">
        <w:instrText>ADDIN CSL_CITATION {"citationItems":[{"id":"ITEM-1","itemData":{"URL":"https://erply.com/pros-and-cons-of-starting-a-pet-supplies-business","accessed":{"date-parts":[["2024","10","10"]]},"author":[{"dropping-particle":"","family":"ERPLY","given":"","non-dropping-particle":"","parse-names":false,"suffix":""}],"id":"ITEM-1","issued":{"date-parts":[["2024"]]},"title":"Pros And Cons Of Starting A Pet Supplies Business","type":"webpage"},"uris":["http://www.mendeley.com/documents/?uuid=89adba2a-53c3-401b-a9cd-369e3c776826"]}],"mendeley":{"formattedCitation":"(ERPLY, 2024)","plainTextFormattedCitation":"(ERPLY, 2024)","previouslyFormattedCitation":"(ERPLY, 2024)"},"properties":{"noteIndex":0},"schema":"https://github.com/citation-style-language/schema/raw/master/csl-citation.json"}</w:instrText>
      </w:r>
      <w:r>
        <w:fldChar w:fldCharType="separate"/>
      </w:r>
      <w:r w:rsidRPr="008B7815">
        <w:rPr>
          <w:noProof/>
        </w:rPr>
        <w:t>(ERPLY, 2024)</w:t>
      </w:r>
      <w:r>
        <w:fldChar w:fldCharType="end"/>
      </w:r>
      <w:r>
        <w:t xml:space="preserve">. </w:t>
      </w:r>
    </w:p>
    <w:p w14:paraId="1F4D95D4" w14:textId="5B0281D8" w:rsidR="008B7815" w:rsidRDefault="008B7815" w:rsidP="008B7815">
      <w:pPr>
        <w:pStyle w:val="ListParagraph"/>
        <w:numPr>
          <w:ilvl w:val="1"/>
          <w:numId w:val="2"/>
        </w:numPr>
      </w:pPr>
      <w:r>
        <w:t>Changes to the supply chain are driven by cheaper raw materials.</w:t>
      </w:r>
    </w:p>
    <w:p w14:paraId="41A4FFDC" w14:textId="19A79F20" w:rsidR="008B7815" w:rsidRDefault="008B7815" w:rsidP="008B7815">
      <w:pPr>
        <w:pStyle w:val="ListParagraph"/>
        <w:numPr>
          <w:ilvl w:val="1"/>
          <w:numId w:val="2"/>
        </w:numPr>
      </w:pPr>
      <w:r>
        <w:t>Extremes of this range are assumed.</w:t>
      </w:r>
    </w:p>
    <w:p w14:paraId="13947F76" w14:textId="6A950A9F" w:rsidR="008B7815" w:rsidRDefault="008B7815" w:rsidP="008B7815">
      <w:pPr>
        <w:pStyle w:val="ListParagraph"/>
        <w:numPr>
          <w:ilvl w:val="1"/>
          <w:numId w:val="2"/>
        </w:numPr>
      </w:pPr>
      <w:r>
        <w:t>30% margin for as-is Bricks-and-Mortar shop.</w:t>
      </w:r>
    </w:p>
    <w:p w14:paraId="794F1993" w14:textId="46F85A7B" w:rsidR="008B7815" w:rsidRDefault="008B7815" w:rsidP="008B7815">
      <w:pPr>
        <w:pStyle w:val="ListParagraph"/>
        <w:numPr>
          <w:ilvl w:val="1"/>
          <w:numId w:val="2"/>
        </w:numPr>
      </w:pPr>
      <w:r>
        <w:t xml:space="preserve">70% margin for digital e-commerce. </w:t>
      </w:r>
    </w:p>
    <w:p w14:paraId="543FB11C" w14:textId="157C3042" w:rsidR="008B7815" w:rsidRPr="00AD674E" w:rsidRDefault="00AD674E" w:rsidP="00AD674E">
      <w:pPr>
        <w:pStyle w:val="ListParagraph"/>
        <w:numPr>
          <w:ilvl w:val="0"/>
          <w:numId w:val="2"/>
        </w:numPr>
        <w:rPr>
          <w:b/>
          <w:bCs/>
        </w:rPr>
      </w:pPr>
      <w:r w:rsidRPr="00AD674E">
        <w:rPr>
          <w:b/>
          <w:bCs/>
        </w:rPr>
        <w:t>Order cost</w:t>
      </w:r>
    </w:p>
    <w:p w14:paraId="2B6F5626" w14:textId="3E059E99" w:rsidR="00AD674E" w:rsidRPr="00AD674E" w:rsidRDefault="00AD674E" w:rsidP="00AD674E">
      <w:pPr>
        <w:pStyle w:val="ListParagraph"/>
        <w:numPr>
          <w:ilvl w:val="1"/>
          <w:numId w:val="2"/>
        </w:numPr>
        <w:rPr>
          <w:b/>
          <w:bCs/>
        </w:rPr>
      </w:pPr>
      <w:r>
        <w:t>This has been normalised to (£)100 for the Bricks-and-Mortar scenario.</w:t>
      </w:r>
    </w:p>
    <w:p w14:paraId="52D33304" w14:textId="37762EF2" w:rsidR="00AD674E" w:rsidRPr="00AD674E" w:rsidRDefault="00AD674E" w:rsidP="00AD674E">
      <w:pPr>
        <w:pStyle w:val="ListParagraph"/>
        <w:numPr>
          <w:ilvl w:val="1"/>
          <w:numId w:val="2"/>
        </w:numPr>
        <w:rPr>
          <w:b/>
          <w:bCs/>
        </w:rPr>
      </w:pPr>
      <w:r>
        <w:t xml:space="preserve">Given the increased shipping costs, and increased QC with expected increased failure rates, </w:t>
      </w:r>
      <w:r w:rsidR="00D611AB">
        <w:t>the</w:t>
      </w:r>
      <w:r>
        <w:t xml:space="preserve"> </w:t>
      </w:r>
      <w:r w:rsidR="00D611AB">
        <w:t>worst-case</w:t>
      </w:r>
      <w:r>
        <w:t xml:space="preserve"> scenario has been assumed of ten times the Bricks-and-Mortar scenario (£1,000).</w:t>
      </w:r>
    </w:p>
    <w:p w14:paraId="358A3031" w14:textId="6B00B348" w:rsidR="00AD674E" w:rsidRPr="00AD674E" w:rsidRDefault="00AD674E" w:rsidP="00AD674E">
      <w:pPr>
        <w:pStyle w:val="ListParagraph"/>
        <w:numPr>
          <w:ilvl w:val="0"/>
          <w:numId w:val="2"/>
        </w:numPr>
        <w:rPr>
          <w:b/>
          <w:bCs/>
        </w:rPr>
      </w:pPr>
      <w:r>
        <w:rPr>
          <w:b/>
          <w:bCs/>
        </w:rPr>
        <w:lastRenderedPageBreak/>
        <w:t>Demand</w:t>
      </w:r>
    </w:p>
    <w:p w14:paraId="1B7FCE0D" w14:textId="1A9B506B" w:rsidR="00AD674E" w:rsidRPr="00434BD2" w:rsidRDefault="00AD674E" w:rsidP="00AD674E">
      <w:pPr>
        <w:pStyle w:val="ListParagraph"/>
        <w:numPr>
          <w:ilvl w:val="1"/>
          <w:numId w:val="2"/>
        </w:numPr>
        <w:rPr>
          <w:b/>
          <w:bCs/>
        </w:rPr>
      </w:pPr>
      <w:r>
        <w:t xml:space="preserve">For the Bricks-and-Mortar scenario, this is normalised to a mean of 100 units per day with a standard deviation of 10, following a normal distribution. </w:t>
      </w:r>
    </w:p>
    <w:p w14:paraId="0EE76E2D" w14:textId="51785331" w:rsidR="00AD674E" w:rsidRPr="00AD674E" w:rsidRDefault="00AD674E" w:rsidP="00AD674E">
      <w:pPr>
        <w:pStyle w:val="ListParagraph"/>
        <w:numPr>
          <w:ilvl w:val="1"/>
          <w:numId w:val="2"/>
        </w:numPr>
        <w:rPr>
          <w:b/>
          <w:bCs/>
        </w:rPr>
      </w:pPr>
      <w:r>
        <w:t>As previously stated in the previous risk assessment, the online share of the pet</w:t>
      </w:r>
      <w:r w:rsidR="00C875C8">
        <w:t xml:space="preserve"> </w:t>
      </w:r>
      <w:r>
        <w:t xml:space="preserve">food </w:t>
      </w:r>
      <w:r w:rsidR="00D611AB">
        <w:t xml:space="preserve">market </w:t>
      </w:r>
      <w:r>
        <w:t xml:space="preserve">is expected to grow to 6.6% </w:t>
      </w:r>
      <w:r>
        <w:fldChar w:fldCharType="begin" w:fldLock="1"/>
      </w:r>
      <w:r w:rsidR="0082127F">
        <w:instrText>ADDIN CSL_CITATION {"citationItems":[{"id":"ITEM-1","itemData":{"URL":"https://www.statista.com/topics/10264/pet-food-market-in-the-uk/#topicOverview","accessed":{"date-parts":[["2024","9","1"]]},"author":[{"dropping-particle":"","family":"Shahbandeh","given":"M.","non-dropping-particle":"","parse-names":false,"suffix":""}],"container-title":"statistica","id":"ITEM-1","issued":{"date-parts":[["2024"]]},"title":"Pet food market in the UK - statistics &amp; facts","type":"webpage"},"uris":["http://www.mendeley.com/documents/?uuid=2545aa9e-01cf-4250-bdd2-ceb7763dc87f"]}],"mendeley":{"formattedCitation":"(Shahbandeh, 2024)","plainTextFormattedCitation":"(Shahbandeh, 2024)","previouslyFormattedCitation":"(Shahbandeh, 2024)"},"properties":{"noteIndex":0},"schema":"https://github.com/citation-style-language/schema/raw/master/csl-citation.json"}</w:instrText>
      </w:r>
      <w:r>
        <w:fldChar w:fldCharType="separate"/>
      </w:r>
      <w:r w:rsidRPr="00AD674E">
        <w:rPr>
          <w:noProof/>
        </w:rPr>
        <w:t>(Shahbandeh, 2024)</w:t>
      </w:r>
      <w:r>
        <w:fldChar w:fldCharType="end"/>
      </w:r>
      <w:r>
        <w:t>. Both mean demand and standard deviation have been increased by 6.6%.</w:t>
      </w:r>
    </w:p>
    <w:p w14:paraId="576913FF" w14:textId="77777777" w:rsidR="00AD674E" w:rsidRPr="00434BD2" w:rsidRDefault="00AD674E" w:rsidP="00AD674E">
      <w:pPr>
        <w:pStyle w:val="ListParagraph"/>
        <w:numPr>
          <w:ilvl w:val="0"/>
          <w:numId w:val="2"/>
        </w:numPr>
        <w:rPr>
          <w:b/>
          <w:bCs/>
        </w:rPr>
      </w:pPr>
      <w:r>
        <w:rPr>
          <w:b/>
          <w:bCs/>
        </w:rPr>
        <w:t>Delivery Time</w:t>
      </w:r>
    </w:p>
    <w:p w14:paraId="7530FD3E" w14:textId="6E1959DB" w:rsidR="00AD674E" w:rsidRPr="00434BD2" w:rsidRDefault="00AD674E" w:rsidP="00AD674E">
      <w:pPr>
        <w:pStyle w:val="ListParagraph"/>
        <w:numPr>
          <w:ilvl w:val="1"/>
          <w:numId w:val="2"/>
        </w:numPr>
        <w:rPr>
          <w:b/>
          <w:bCs/>
        </w:rPr>
      </w:pPr>
      <w:r>
        <w:t>With local suppliers, the store staff can collect the same day, therefore a delivery lag time of 1 day is assumed.</w:t>
      </w:r>
    </w:p>
    <w:p w14:paraId="73702B08" w14:textId="641AE444" w:rsidR="00AD674E" w:rsidRPr="00C80F9E" w:rsidRDefault="00AD674E" w:rsidP="00AD674E">
      <w:pPr>
        <w:pStyle w:val="ListParagraph"/>
        <w:numPr>
          <w:ilvl w:val="1"/>
          <w:numId w:val="2"/>
        </w:numPr>
        <w:rPr>
          <w:b/>
          <w:bCs/>
        </w:rPr>
      </w:pPr>
      <w:r>
        <w:t xml:space="preserve">With international suppliers, the delivery time will increase. To assume a worst case, delivery time would be five days. Therefore, when calculating stock quantity at the beginning of each day, the ordered quantity will be added to not the next </w:t>
      </w:r>
      <w:r w:rsidR="00D611AB">
        <w:t>day</w:t>
      </w:r>
      <w:r>
        <w:t xml:space="preserve">, but five days later. </w:t>
      </w:r>
    </w:p>
    <w:p w14:paraId="312FC752" w14:textId="77777777" w:rsidR="00AD674E" w:rsidRDefault="00AD674E" w:rsidP="00AD674E">
      <w:pPr>
        <w:pStyle w:val="ListParagraph"/>
        <w:numPr>
          <w:ilvl w:val="0"/>
          <w:numId w:val="2"/>
        </w:numPr>
        <w:rPr>
          <w:b/>
          <w:bCs/>
        </w:rPr>
      </w:pPr>
      <w:r>
        <w:rPr>
          <w:b/>
          <w:bCs/>
        </w:rPr>
        <w:t>Hold Cost</w:t>
      </w:r>
    </w:p>
    <w:p w14:paraId="10FE608B" w14:textId="77777777" w:rsidR="00AD674E" w:rsidRPr="00C80F9E" w:rsidRDefault="00AD674E" w:rsidP="00AD674E">
      <w:pPr>
        <w:pStyle w:val="ListParagraph"/>
        <w:numPr>
          <w:ilvl w:val="1"/>
          <w:numId w:val="2"/>
        </w:numPr>
        <w:rPr>
          <w:b/>
          <w:bCs/>
        </w:rPr>
      </w:pPr>
      <w:r>
        <w:t xml:space="preserve">Is assumed to be the same for both at 0.8. </w:t>
      </w:r>
    </w:p>
    <w:p w14:paraId="7120267D" w14:textId="77777777" w:rsidR="00AD674E" w:rsidRDefault="00AD674E" w:rsidP="00AD674E">
      <w:pPr>
        <w:pStyle w:val="ListParagraph"/>
        <w:numPr>
          <w:ilvl w:val="0"/>
          <w:numId w:val="2"/>
        </w:numPr>
        <w:rPr>
          <w:b/>
          <w:bCs/>
        </w:rPr>
      </w:pPr>
      <w:r>
        <w:rPr>
          <w:b/>
          <w:bCs/>
        </w:rPr>
        <w:t>Shortage</w:t>
      </w:r>
    </w:p>
    <w:p w14:paraId="4352B251" w14:textId="47BA33BD" w:rsidR="00AD674E" w:rsidRPr="00AD674E" w:rsidRDefault="00AD674E" w:rsidP="00AD674E">
      <w:pPr>
        <w:pStyle w:val="ListParagraph"/>
        <w:numPr>
          <w:ilvl w:val="1"/>
          <w:numId w:val="2"/>
        </w:numPr>
        <w:rPr>
          <w:b/>
          <w:bCs/>
        </w:rPr>
      </w:pPr>
      <w:r>
        <w:t xml:space="preserve">In the Bricks-and-Morter scenario, </w:t>
      </w:r>
      <w:r w:rsidR="00D611AB">
        <w:t xml:space="preserve">the </w:t>
      </w:r>
      <w:r>
        <w:t>stock shortage is considered lost sales, however</w:t>
      </w:r>
      <w:r w:rsidR="00D611AB">
        <w:t>,</w:t>
      </w:r>
      <w:r>
        <w:t xml:space="preserve"> in a digital e-commerce scenario, stock can be shipped once </w:t>
      </w:r>
      <w:r w:rsidR="00D611AB">
        <w:t xml:space="preserve">the </w:t>
      </w:r>
      <w:r>
        <w:t>stock has been replenished.</w:t>
      </w:r>
    </w:p>
    <w:p w14:paraId="797189F9" w14:textId="057C780E" w:rsidR="00AD674E" w:rsidRPr="00C80F9E" w:rsidRDefault="00AD674E" w:rsidP="00AD674E">
      <w:pPr>
        <w:pStyle w:val="ListParagraph"/>
        <w:numPr>
          <w:ilvl w:val="1"/>
          <w:numId w:val="2"/>
        </w:numPr>
        <w:rPr>
          <w:b/>
          <w:bCs/>
        </w:rPr>
      </w:pPr>
      <w:r>
        <w:t xml:space="preserve">For the digital scenario only, any shortage, is added to the following </w:t>
      </w:r>
      <w:r w:rsidR="00B6693C">
        <w:t>days'</w:t>
      </w:r>
      <w:r>
        <w:t xml:space="preserve"> demand. </w:t>
      </w:r>
    </w:p>
    <w:p w14:paraId="04193DEB" w14:textId="1F613C24" w:rsidR="00AD674E" w:rsidRDefault="00611884" w:rsidP="00AD674E">
      <w:pPr>
        <w:pStyle w:val="ListParagraph"/>
        <w:numPr>
          <w:ilvl w:val="0"/>
          <w:numId w:val="2"/>
        </w:numPr>
        <w:rPr>
          <w:b/>
          <w:bCs/>
        </w:rPr>
      </w:pPr>
      <w:r>
        <w:rPr>
          <w:b/>
          <w:bCs/>
        </w:rPr>
        <w:t>Time Period</w:t>
      </w:r>
    </w:p>
    <w:p w14:paraId="5583783C" w14:textId="5DB23342" w:rsidR="00611884" w:rsidRPr="00611884" w:rsidRDefault="00611884" w:rsidP="00611884">
      <w:pPr>
        <w:pStyle w:val="ListParagraph"/>
        <w:numPr>
          <w:ilvl w:val="1"/>
          <w:numId w:val="2"/>
        </w:numPr>
        <w:rPr>
          <w:b/>
          <w:bCs/>
        </w:rPr>
      </w:pPr>
      <w:r>
        <w:t xml:space="preserve">An increased </w:t>
      </w:r>
      <w:r w:rsidR="00B6693C">
        <w:t>time</w:t>
      </w:r>
      <w:r>
        <w:t xml:space="preserve"> was chosen to allow for issues involving longer delivery time to average out. </w:t>
      </w:r>
    </w:p>
    <w:p w14:paraId="1CA047A9" w14:textId="025DFCF6" w:rsidR="00611884" w:rsidRPr="00611884" w:rsidRDefault="00611884" w:rsidP="00611884">
      <w:pPr>
        <w:pStyle w:val="ListParagraph"/>
        <w:numPr>
          <w:ilvl w:val="1"/>
          <w:numId w:val="2"/>
        </w:numPr>
        <w:rPr>
          <w:b/>
          <w:bCs/>
        </w:rPr>
      </w:pPr>
      <w:r>
        <w:t xml:space="preserve">one financial quarter or 90 days was chosen. </w:t>
      </w:r>
    </w:p>
    <w:p w14:paraId="7AB8154F" w14:textId="6CAA0552" w:rsidR="00611884" w:rsidRDefault="00611884" w:rsidP="00611884">
      <w:pPr>
        <w:pStyle w:val="ListParagraph"/>
        <w:numPr>
          <w:ilvl w:val="0"/>
          <w:numId w:val="2"/>
        </w:numPr>
        <w:rPr>
          <w:b/>
          <w:bCs/>
        </w:rPr>
      </w:pPr>
      <w:r>
        <w:rPr>
          <w:b/>
          <w:bCs/>
        </w:rPr>
        <w:t>Re-order Point (ROP)</w:t>
      </w:r>
    </w:p>
    <w:p w14:paraId="4450AC13" w14:textId="74D6D023" w:rsidR="00611884" w:rsidRPr="00611884" w:rsidRDefault="00611884" w:rsidP="00611884">
      <w:pPr>
        <w:pStyle w:val="ListParagraph"/>
        <w:numPr>
          <w:ilvl w:val="1"/>
          <w:numId w:val="2"/>
        </w:numPr>
        <w:rPr>
          <w:b/>
          <w:bCs/>
        </w:rPr>
      </w:pPr>
      <w:r>
        <w:t>A range of ROP’s were chosen to model the best mitigation to supply chain risks.</w:t>
      </w:r>
    </w:p>
    <w:p w14:paraId="2A40BEEA" w14:textId="19966575" w:rsidR="00611884" w:rsidRPr="00611884" w:rsidRDefault="00611884" w:rsidP="00611884">
      <w:pPr>
        <w:pStyle w:val="ListParagraph"/>
        <w:numPr>
          <w:ilvl w:val="1"/>
          <w:numId w:val="2"/>
        </w:numPr>
        <w:rPr>
          <w:b/>
          <w:bCs/>
        </w:rPr>
      </w:pPr>
      <w:r>
        <w:t>Multiple simulations were run to find the “</w:t>
      </w:r>
      <w:r w:rsidR="00B6693C">
        <w:t>sweet spot</w:t>
      </w:r>
      <w:r>
        <w:t xml:space="preserve">” for maximum profit and minimum shortages. </w:t>
      </w:r>
    </w:p>
    <w:p w14:paraId="2911E6E9" w14:textId="3568B145" w:rsidR="00611884" w:rsidRDefault="00611884" w:rsidP="00611884">
      <w:pPr>
        <w:pStyle w:val="ListParagraph"/>
        <w:numPr>
          <w:ilvl w:val="0"/>
          <w:numId w:val="2"/>
        </w:numPr>
        <w:rPr>
          <w:b/>
          <w:bCs/>
        </w:rPr>
      </w:pPr>
      <w:r>
        <w:rPr>
          <w:b/>
          <w:bCs/>
        </w:rPr>
        <w:t>Order Quantity (Q)</w:t>
      </w:r>
    </w:p>
    <w:p w14:paraId="0856C1FA" w14:textId="77777777" w:rsidR="00611884" w:rsidRPr="00611884" w:rsidRDefault="00611884" w:rsidP="00611884">
      <w:pPr>
        <w:pStyle w:val="ListParagraph"/>
        <w:numPr>
          <w:ilvl w:val="1"/>
          <w:numId w:val="2"/>
        </w:numPr>
        <w:rPr>
          <w:b/>
          <w:bCs/>
        </w:rPr>
      </w:pPr>
      <w:r>
        <w:t>A range of ROP’s were chosen to model the best mitigation to supply chain risks.</w:t>
      </w:r>
    </w:p>
    <w:p w14:paraId="035C5AA2" w14:textId="6E707584" w:rsidR="00611884" w:rsidRPr="00611884" w:rsidRDefault="00611884" w:rsidP="00611884">
      <w:pPr>
        <w:pStyle w:val="ListParagraph"/>
        <w:numPr>
          <w:ilvl w:val="1"/>
          <w:numId w:val="2"/>
        </w:numPr>
        <w:rPr>
          <w:b/>
          <w:bCs/>
        </w:rPr>
      </w:pPr>
      <w:r>
        <w:t>Multiple simulations were run to find the “</w:t>
      </w:r>
      <w:r w:rsidR="00B6693C">
        <w:t>sweet spot</w:t>
      </w:r>
      <w:r>
        <w:t xml:space="preserve">” for maximum profit and minimum shortages. </w:t>
      </w:r>
    </w:p>
    <w:p w14:paraId="6A252169" w14:textId="77777777" w:rsidR="00611884" w:rsidRPr="00611884" w:rsidRDefault="00611884" w:rsidP="00611884">
      <w:pPr>
        <w:pStyle w:val="ListParagraph"/>
        <w:ind w:left="1440"/>
        <w:rPr>
          <w:b/>
          <w:bCs/>
        </w:rPr>
      </w:pPr>
    </w:p>
    <w:p w14:paraId="1EBB3672" w14:textId="49C010F5" w:rsidR="00611884" w:rsidRDefault="00611884" w:rsidP="00611884">
      <w:pPr>
        <w:pStyle w:val="Heading3"/>
        <w:numPr>
          <w:ilvl w:val="2"/>
          <w:numId w:val="3"/>
        </w:numPr>
      </w:pPr>
      <w:r>
        <w:t>Results</w:t>
      </w:r>
    </w:p>
    <w:p w14:paraId="75E6CA11" w14:textId="6B592CE8" w:rsidR="00611884" w:rsidRDefault="008B776E" w:rsidP="00611884">
      <w:r>
        <w:t xml:space="preserve">For the as-is, Bricks-and-Mortar scenario, net profit is shown in </w:t>
      </w:r>
      <w:r w:rsidR="00DC6BDD">
        <w:fldChar w:fldCharType="begin"/>
      </w:r>
      <w:r w:rsidR="00DC6BDD">
        <w:instrText xml:space="preserve"> REF _Ref179660887 \h </w:instrText>
      </w:r>
      <w:r w:rsidR="00DC6BDD">
        <w:fldChar w:fldCharType="separate"/>
      </w:r>
      <w:r w:rsidR="00DC6BDD">
        <w:t xml:space="preserve">Table </w:t>
      </w:r>
      <w:r w:rsidR="00DC6BDD">
        <w:rPr>
          <w:noProof/>
        </w:rPr>
        <w:t>1</w:t>
      </w:r>
      <w:r w:rsidR="00DC6BDD">
        <w:fldChar w:fldCharType="end"/>
      </w:r>
      <w:r>
        <w:t>and Shortages are shown in</w:t>
      </w:r>
      <w:r w:rsidR="00DC6BDD">
        <w:t xml:space="preserve"> </w:t>
      </w:r>
      <w:r w:rsidR="00DC6BDD">
        <w:fldChar w:fldCharType="begin"/>
      </w:r>
      <w:r w:rsidR="00DC6BDD">
        <w:instrText xml:space="preserve"> REF _Ref179660913 \h </w:instrText>
      </w:r>
      <w:r w:rsidR="00DC6BDD">
        <w:fldChar w:fldCharType="separate"/>
      </w:r>
      <w:r w:rsidR="00DC6BDD">
        <w:t xml:space="preserve">Table </w:t>
      </w:r>
      <w:r w:rsidR="00DC6BDD">
        <w:rPr>
          <w:noProof/>
        </w:rPr>
        <w:t>2</w:t>
      </w:r>
      <w:r w:rsidR="00DC6BDD">
        <w:fldChar w:fldCharType="end"/>
      </w:r>
      <w:r w:rsidR="00DC6BDD">
        <w:t xml:space="preserve">, with </w:t>
      </w:r>
      <w:r w:rsidR="00B6693C">
        <w:t xml:space="preserve">the </w:t>
      </w:r>
      <w:r w:rsidR="00DC6BDD">
        <w:t xml:space="preserve">highest Profits highlighted. </w:t>
      </w:r>
      <w:r>
        <w:t xml:space="preserve"> </w:t>
      </w:r>
    </w:p>
    <w:p w14:paraId="374CA9E0" w14:textId="41230D5D" w:rsidR="00DC6BDD" w:rsidRDefault="00DC6BDD" w:rsidP="00611884">
      <w:r>
        <w:lastRenderedPageBreak/>
        <w:t xml:space="preserve">The same is shown for the Digital scenario in </w:t>
      </w:r>
      <w:r w:rsidR="004130DD">
        <w:fldChar w:fldCharType="begin"/>
      </w:r>
      <w:r w:rsidR="004130DD">
        <w:instrText xml:space="preserve"> REF _Ref179661379 \h </w:instrText>
      </w:r>
      <w:r w:rsidR="004130DD">
        <w:fldChar w:fldCharType="separate"/>
      </w:r>
      <w:r w:rsidR="004130DD">
        <w:t xml:space="preserve">Table </w:t>
      </w:r>
      <w:r w:rsidR="004130DD">
        <w:rPr>
          <w:noProof/>
        </w:rPr>
        <w:t>3</w:t>
      </w:r>
      <w:r w:rsidR="004130DD">
        <w:fldChar w:fldCharType="end"/>
      </w:r>
      <w:r w:rsidR="004130DD">
        <w:t xml:space="preserve"> and </w:t>
      </w:r>
      <w:r w:rsidR="004130DD">
        <w:fldChar w:fldCharType="begin"/>
      </w:r>
      <w:r w:rsidR="004130DD">
        <w:instrText xml:space="preserve"> REF _Ref179661383 \h </w:instrText>
      </w:r>
      <w:r w:rsidR="004130DD">
        <w:fldChar w:fldCharType="separate"/>
      </w:r>
      <w:r w:rsidR="004130DD">
        <w:t xml:space="preserve">Table </w:t>
      </w:r>
      <w:r w:rsidR="004130DD">
        <w:rPr>
          <w:noProof/>
        </w:rPr>
        <w:t>4</w:t>
      </w:r>
      <w:r w:rsidR="004130DD">
        <w:fldChar w:fldCharType="end"/>
      </w:r>
    </w:p>
    <w:p w14:paraId="19C10DF3" w14:textId="008AD540" w:rsidR="00DC6BDD" w:rsidRDefault="00DC6BDD" w:rsidP="00DC6BDD">
      <w:pPr>
        <w:pStyle w:val="Caption"/>
        <w:keepNext/>
      </w:pPr>
      <w:bookmarkStart w:id="0" w:name="_Ref179660887"/>
      <w:bookmarkStart w:id="1" w:name="_Ref179660880"/>
      <w:r>
        <w:t xml:space="preserve">Table </w:t>
      </w:r>
      <w:fldSimple w:instr=" SEQ Table \* ARABIC ">
        <w:r w:rsidR="004130DD">
          <w:rPr>
            <w:noProof/>
          </w:rPr>
          <w:t>1</w:t>
        </w:r>
      </w:fldSimple>
      <w:bookmarkEnd w:id="0"/>
      <w:r>
        <w:t>: Net Profit for Bricks-and-Mortar Scenario</w:t>
      </w:r>
      <w:bookmarkEnd w:id="1"/>
    </w:p>
    <w:tbl>
      <w:tblPr>
        <w:tblStyle w:val="GridTable5Dark-Accent4"/>
        <w:tblW w:w="7492" w:type="dxa"/>
        <w:jc w:val="center"/>
        <w:tblLook w:val="04A0" w:firstRow="1" w:lastRow="0" w:firstColumn="1" w:lastColumn="0" w:noHBand="0" w:noVBand="1"/>
      </w:tblPr>
      <w:tblGrid>
        <w:gridCol w:w="606"/>
        <w:gridCol w:w="551"/>
        <w:gridCol w:w="1054"/>
        <w:gridCol w:w="1054"/>
        <w:gridCol w:w="1054"/>
        <w:gridCol w:w="1063"/>
        <w:gridCol w:w="1054"/>
        <w:gridCol w:w="1056"/>
      </w:tblGrid>
      <w:tr w:rsidR="008B776E" w:rsidRPr="008B776E" w14:paraId="32089E06" w14:textId="77777777" w:rsidTr="00DC6BD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noWrap/>
          </w:tcPr>
          <w:p w14:paraId="1B29F7A8" w14:textId="4A95ADDF"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6886" w:type="dxa"/>
            <w:gridSpan w:val="7"/>
            <w:noWrap/>
            <w:hideMark/>
          </w:tcPr>
          <w:p w14:paraId="340EACD1" w14:textId="77777777" w:rsidR="008B776E" w:rsidRPr="008B776E" w:rsidRDefault="008B776E" w:rsidP="008B776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Q</w:t>
            </w:r>
          </w:p>
        </w:tc>
      </w:tr>
      <w:tr w:rsidR="008B776E" w:rsidRPr="008B776E" w14:paraId="29A7EFBB"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noWrap/>
          </w:tcPr>
          <w:p w14:paraId="0FA32CB1" w14:textId="6B3C32D4"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551" w:type="dxa"/>
            <w:noWrap/>
            <w:hideMark/>
          </w:tcPr>
          <w:p w14:paraId="01F633FB" w14:textId="77777777"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p>
        </w:tc>
        <w:tc>
          <w:tcPr>
            <w:tcW w:w="1054" w:type="dxa"/>
            <w:noWrap/>
            <w:hideMark/>
          </w:tcPr>
          <w:p w14:paraId="5D34E811"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150</w:t>
            </w:r>
          </w:p>
        </w:tc>
        <w:tc>
          <w:tcPr>
            <w:tcW w:w="1054" w:type="dxa"/>
            <w:noWrap/>
            <w:hideMark/>
          </w:tcPr>
          <w:p w14:paraId="51B7C3BF"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160</w:t>
            </w:r>
          </w:p>
        </w:tc>
        <w:tc>
          <w:tcPr>
            <w:tcW w:w="1054" w:type="dxa"/>
            <w:noWrap/>
            <w:hideMark/>
          </w:tcPr>
          <w:p w14:paraId="11DD52A0"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170</w:t>
            </w:r>
          </w:p>
        </w:tc>
        <w:tc>
          <w:tcPr>
            <w:tcW w:w="1063" w:type="dxa"/>
            <w:noWrap/>
            <w:hideMark/>
          </w:tcPr>
          <w:p w14:paraId="72B78E9A"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180</w:t>
            </w:r>
          </w:p>
        </w:tc>
        <w:tc>
          <w:tcPr>
            <w:tcW w:w="1054" w:type="dxa"/>
            <w:noWrap/>
            <w:hideMark/>
          </w:tcPr>
          <w:p w14:paraId="06E698EB"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190</w:t>
            </w:r>
          </w:p>
        </w:tc>
        <w:tc>
          <w:tcPr>
            <w:tcW w:w="1056" w:type="dxa"/>
            <w:noWrap/>
            <w:hideMark/>
          </w:tcPr>
          <w:p w14:paraId="5785234C"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200</w:t>
            </w:r>
          </w:p>
        </w:tc>
      </w:tr>
      <w:tr w:rsidR="008B776E" w:rsidRPr="008B776E" w14:paraId="5D5EA6E0" w14:textId="77777777" w:rsidTr="00DC6B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val="restart"/>
            <w:noWrap/>
            <w:hideMark/>
          </w:tcPr>
          <w:p w14:paraId="2AA49999" w14:textId="77777777" w:rsidR="008B776E" w:rsidRPr="008B776E" w:rsidRDefault="008B776E" w:rsidP="008B776E">
            <w:pPr>
              <w:jc w:val="center"/>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ROP</w:t>
            </w:r>
          </w:p>
        </w:tc>
        <w:tc>
          <w:tcPr>
            <w:tcW w:w="551" w:type="dxa"/>
            <w:noWrap/>
            <w:hideMark/>
          </w:tcPr>
          <w:p w14:paraId="07A5530F"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80</w:t>
            </w:r>
          </w:p>
        </w:tc>
        <w:tc>
          <w:tcPr>
            <w:tcW w:w="1054" w:type="dxa"/>
            <w:noWrap/>
            <w:vAlign w:val="bottom"/>
            <w:hideMark/>
          </w:tcPr>
          <w:p w14:paraId="6C701D12" w14:textId="0C93F4A8"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£253,712</w:t>
            </w:r>
          </w:p>
        </w:tc>
        <w:tc>
          <w:tcPr>
            <w:tcW w:w="1054" w:type="dxa"/>
            <w:noWrap/>
            <w:vAlign w:val="bottom"/>
            <w:hideMark/>
          </w:tcPr>
          <w:p w14:paraId="24182557" w14:textId="41653EE3"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£254,112</w:t>
            </w:r>
          </w:p>
        </w:tc>
        <w:tc>
          <w:tcPr>
            <w:tcW w:w="1054" w:type="dxa"/>
            <w:noWrap/>
            <w:vAlign w:val="bottom"/>
            <w:hideMark/>
          </w:tcPr>
          <w:p w14:paraId="4D5D405D" w14:textId="47D2C777"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£254,449</w:t>
            </w:r>
          </w:p>
        </w:tc>
        <w:tc>
          <w:tcPr>
            <w:tcW w:w="1063" w:type="dxa"/>
            <w:noWrap/>
            <w:vAlign w:val="bottom"/>
            <w:hideMark/>
          </w:tcPr>
          <w:p w14:paraId="0D7B0DC0" w14:textId="0069D5C1"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£254,198</w:t>
            </w:r>
          </w:p>
        </w:tc>
        <w:tc>
          <w:tcPr>
            <w:tcW w:w="1054" w:type="dxa"/>
            <w:noWrap/>
            <w:vAlign w:val="bottom"/>
            <w:hideMark/>
          </w:tcPr>
          <w:p w14:paraId="44CB29AF" w14:textId="075DB0B9"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£254,277</w:t>
            </w:r>
          </w:p>
        </w:tc>
        <w:tc>
          <w:tcPr>
            <w:tcW w:w="1056" w:type="dxa"/>
            <w:noWrap/>
            <w:vAlign w:val="bottom"/>
            <w:hideMark/>
          </w:tcPr>
          <w:p w14:paraId="410AFB7C" w14:textId="3B8E808F"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DC6BDD">
              <w:rPr>
                <w:rFonts w:ascii="Aptos Narrow" w:hAnsi="Aptos Narrow"/>
                <w:b/>
                <w:bCs/>
                <w:i/>
                <w:iCs/>
                <w:sz w:val="22"/>
                <w:szCs w:val="22"/>
              </w:rPr>
              <w:t>£257,663</w:t>
            </w:r>
          </w:p>
        </w:tc>
      </w:tr>
      <w:tr w:rsidR="008B776E" w:rsidRPr="008B776E" w14:paraId="06B1ADF9"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1334CF9F"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551" w:type="dxa"/>
            <w:noWrap/>
            <w:hideMark/>
          </w:tcPr>
          <w:p w14:paraId="6C0DBDFB"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90</w:t>
            </w:r>
          </w:p>
        </w:tc>
        <w:tc>
          <w:tcPr>
            <w:tcW w:w="1054" w:type="dxa"/>
            <w:noWrap/>
            <w:vAlign w:val="bottom"/>
            <w:hideMark/>
          </w:tcPr>
          <w:p w14:paraId="663E415D" w14:textId="02F3346C"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£255,007</w:t>
            </w:r>
          </w:p>
        </w:tc>
        <w:tc>
          <w:tcPr>
            <w:tcW w:w="1054" w:type="dxa"/>
            <w:noWrap/>
            <w:vAlign w:val="bottom"/>
            <w:hideMark/>
          </w:tcPr>
          <w:p w14:paraId="7D5E7E4C" w14:textId="69EE75C1"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£255,435</w:t>
            </w:r>
          </w:p>
        </w:tc>
        <w:tc>
          <w:tcPr>
            <w:tcW w:w="1054" w:type="dxa"/>
            <w:noWrap/>
            <w:vAlign w:val="bottom"/>
            <w:hideMark/>
          </w:tcPr>
          <w:p w14:paraId="2D2030EE" w14:textId="31C09E99"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£255,958</w:t>
            </w:r>
          </w:p>
        </w:tc>
        <w:tc>
          <w:tcPr>
            <w:tcW w:w="1063" w:type="dxa"/>
            <w:noWrap/>
            <w:vAlign w:val="bottom"/>
            <w:hideMark/>
          </w:tcPr>
          <w:p w14:paraId="4701F619" w14:textId="695B0A03"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£256,169</w:t>
            </w:r>
          </w:p>
        </w:tc>
        <w:tc>
          <w:tcPr>
            <w:tcW w:w="1054" w:type="dxa"/>
            <w:noWrap/>
            <w:vAlign w:val="bottom"/>
            <w:hideMark/>
          </w:tcPr>
          <w:p w14:paraId="314AFC8B" w14:textId="529EF348"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£256,251</w:t>
            </w:r>
          </w:p>
        </w:tc>
        <w:tc>
          <w:tcPr>
            <w:tcW w:w="1056" w:type="dxa"/>
            <w:noWrap/>
            <w:vAlign w:val="bottom"/>
            <w:hideMark/>
          </w:tcPr>
          <w:p w14:paraId="24C723B5" w14:textId="78ED18CA"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DC6BDD">
              <w:rPr>
                <w:rFonts w:ascii="Aptos Narrow" w:hAnsi="Aptos Narrow"/>
                <w:b/>
                <w:bCs/>
                <w:i/>
                <w:iCs/>
                <w:sz w:val="22"/>
                <w:szCs w:val="22"/>
              </w:rPr>
              <w:t>£257,705</w:t>
            </w:r>
          </w:p>
        </w:tc>
      </w:tr>
      <w:tr w:rsidR="008B776E" w:rsidRPr="008B776E" w14:paraId="359D1D2A" w14:textId="77777777" w:rsidTr="00DC6B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696BED6A"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551" w:type="dxa"/>
            <w:noWrap/>
            <w:hideMark/>
          </w:tcPr>
          <w:p w14:paraId="6C7FF20B"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100</w:t>
            </w:r>
          </w:p>
        </w:tc>
        <w:tc>
          <w:tcPr>
            <w:tcW w:w="1054" w:type="dxa"/>
            <w:noWrap/>
            <w:vAlign w:val="bottom"/>
            <w:hideMark/>
          </w:tcPr>
          <w:p w14:paraId="0375777A" w14:textId="4B15F3F2"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£254,889</w:t>
            </w:r>
          </w:p>
        </w:tc>
        <w:tc>
          <w:tcPr>
            <w:tcW w:w="1054" w:type="dxa"/>
            <w:noWrap/>
            <w:vAlign w:val="bottom"/>
            <w:hideMark/>
          </w:tcPr>
          <w:p w14:paraId="4C7530F4" w14:textId="3C7EEB73"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£255,086</w:t>
            </w:r>
          </w:p>
        </w:tc>
        <w:tc>
          <w:tcPr>
            <w:tcW w:w="1054" w:type="dxa"/>
            <w:noWrap/>
            <w:vAlign w:val="bottom"/>
            <w:hideMark/>
          </w:tcPr>
          <w:p w14:paraId="46E3CBDE" w14:textId="72C0554D"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£255,687</w:t>
            </w:r>
          </w:p>
        </w:tc>
        <w:tc>
          <w:tcPr>
            <w:tcW w:w="1063" w:type="dxa"/>
            <w:noWrap/>
            <w:vAlign w:val="bottom"/>
            <w:hideMark/>
          </w:tcPr>
          <w:p w14:paraId="2C10EB93" w14:textId="1B06A60B"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£255,892</w:t>
            </w:r>
          </w:p>
        </w:tc>
        <w:tc>
          <w:tcPr>
            <w:tcW w:w="1054" w:type="dxa"/>
            <w:noWrap/>
            <w:vAlign w:val="bottom"/>
            <w:hideMark/>
          </w:tcPr>
          <w:p w14:paraId="202A3DC5" w14:textId="0F0ED391"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£256,099</w:t>
            </w:r>
          </w:p>
        </w:tc>
        <w:tc>
          <w:tcPr>
            <w:tcW w:w="1056" w:type="dxa"/>
            <w:noWrap/>
            <w:vAlign w:val="bottom"/>
            <w:hideMark/>
          </w:tcPr>
          <w:p w14:paraId="0F908077" w14:textId="45925C7C"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DC6BDD">
              <w:rPr>
                <w:rFonts w:ascii="Aptos Narrow" w:hAnsi="Aptos Narrow"/>
                <w:b/>
                <w:bCs/>
                <w:i/>
                <w:iCs/>
                <w:sz w:val="22"/>
                <w:szCs w:val="22"/>
              </w:rPr>
              <w:t>£256,835</w:t>
            </w:r>
          </w:p>
        </w:tc>
      </w:tr>
      <w:tr w:rsidR="008B776E" w:rsidRPr="008B776E" w14:paraId="534F1D7D"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6774961E"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551" w:type="dxa"/>
            <w:noWrap/>
            <w:hideMark/>
          </w:tcPr>
          <w:p w14:paraId="7EAFF022"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110</w:t>
            </w:r>
          </w:p>
        </w:tc>
        <w:tc>
          <w:tcPr>
            <w:tcW w:w="1054" w:type="dxa"/>
            <w:noWrap/>
            <w:vAlign w:val="bottom"/>
            <w:hideMark/>
          </w:tcPr>
          <w:p w14:paraId="3E9C567E" w14:textId="7222E3DE"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£253,935</w:t>
            </w:r>
          </w:p>
        </w:tc>
        <w:tc>
          <w:tcPr>
            <w:tcW w:w="1054" w:type="dxa"/>
            <w:noWrap/>
            <w:vAlign w:val="bottom"/>
            <w:hideMark/>
          </w:tcPr>
          <w:p w14:paraId="0EAEE948" w14:textId="11DC30E1"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£254,203</w:t>
            </w:r>
          </w:p>
        </w:tc>
        <w:tc>
          <w:tcPr>
            <w:tcW w:w="1054" w:type="dxa"/>
            <w:noWrap/>
            <w:vAlign w:val="bottom"/>
            <w:hideMark/>
          </w:tcPr>
          <w:p w14:paraId="673829E6" w14:textId="43F4C0DA"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£254,548</w:t>
            </w:r>
          </w:p>
        </w:tc>
        <w:tc>
          <w:tcPr>
            <w:tcW w:w="1063" w:type="dxa"/>
            <w:noWrap/>
            <w:vAlign w:val="bottom"/>
            <w:hideMark/>
          </w:tcPr>
          <w:p w14:paraId="70AC45FA" w14:textId="082F283B"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£254,792</w:t>
            </w:r>
          </w:p>
        </w:tc>
        <w:tc>
          <w:tcPr>
            <w:tcW w:w="1054" w:type="dxa"/>
            <w:noWrap/>
            <w:vAlign w:val="bottom"/>
            <w:hideMark/>
          </w:tcPr>
          <w:p w14:paraId="1C057777" w14:textId="3B29D984"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£254,922</w:t>
            </w:r>
          </w:p>
        </w:tc>
        <w:tc>
          <w:tcPr>
            <w:tcW w:w="1056" w:type="dxa"/>
            <w:noWrap/>
            <w:vAlign w:val="bottom"/>
            <w:hideMark/>
          </w:tcPr>
          <w:p w14:paraId="18C4DC96" w14:textId="0A44A63A"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4130DD">
              <w:rPr>
                <w:rFonts w:ascii="Aptos Narrow" w:hAnsi="Aptos Narrow"/>
                <w:color w:val="000000"/>
                <w:sz w:val="22"/>
                <w:szCs w:val="22"/>
              </w:rPr>
              <w:t>£255,316</w:t>
            </w:r>
          </w:p>
        </w:tc>
      </w:tr>
      <w:tr w:rsidR="008B776E" w:rsidRPr="008B776E" w14:paraId="382BCD1D" w14:textId="77777777" w:rsidTr="00DC6B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1D2B2AB1"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551" w:type="dxa"/>
            <w:noWrap/>
            <w:hideMark/>
          </w:tcPr>
          <w:p w14:paraId="1C117975"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120</w:t>
            </w:r>
          </w:p>
        </w:tc>
        <w:tc>
          <w:tcPr>
            <w:tcW w:w="1054" w:type="dxa"/>
            <w:noWrap/>
            <w:vAlign w:val="bottom"/>
            <w:hideMark/>
          </w:tcPr>
          <w:p w14:paraId="656D36F9" w14:textId="3A557273"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£252,339</w:t>
            </w:r>
          </w:p>
        </w:tc>
        <w:tc>
          <w:tcPr>
            <w:tcW w:w="1054" w:type="dxa"/>
            <w:noWrap/>
            <w:vAlign w:val="bottom"/>
            <w:hideMark/>
          </w:tcPr>
          <w:p w14:paraId="29E2D483" w14:textId="5C8A80E8"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£252,897</w:t>
            </w:r>
          </w:p>
        </w:tc>
        <w:tc>
          <w:tcPr>
            <w:tcW w:w="1054" w:type="dxa"/>
            <w:noWrap/>
            <w:vAlign w:val="bottom"/>
            <w:hideMark/>
          </w:tcPr>
          <w:p w14:paraId="7DFF6833" w14:textId="7632DB61"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£253,220</w:t>
            </w:r>
          </w:p>
        </w:tc>
        <w:tc>
          <w:tcPr>
            <w:tcW w:w="1063" w:type="dxa"/>
            <w:noWrap/>
            <w:vAlign w:val="bottom"/>
            <w:hideMark/>
          </w:tcPr>
          <w:p w14:paraId="4A4D58B9" w14:textId="4756CCB7"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£253,304</w:t>
            </w:r>
          </w:p>
        </w:tc>
        <w:tc>
          <w:tcPr>
            <w:tcW w:w="1054" w:type="dxa"/>
            <w:noWrap/>
            <w:vAlign w:val="bottom"/>
            <w:hideMark/>
          </w:tcPr>
          <w:p w14:paraId="14519623" w14:textId="3D3A2879"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£253,784</w:t>
            </w:r>
          </w:p>
        </w:tc>
        <w:tc>
          <w:tcPr>
            <w:tcW w:w="1056" w:type="dxa"/>
            <w:noWrap/>
            <w:vAlign w:val="bottom"/>
            <w:hideMark/>
          </w:tcPr>
          <w:p w14:paraId="18F989E5" w14:textId="679B2965" w:rsidR="008B776E" w:rsidRPr="008B776E" w:rsidRDefault="008B776E" w:rsidP="008B776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£253,642</w:t>
            </w:r>
          </w:p>
        </w:tc>
      </w:tr>
      <w:tr w:rsidR="008B776E" w:rsidRPr="008B776E" w14:paraId="10F5EA6A"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0368B0D9"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551" w:type="dxa"/>
            <w:noWrap/>
            <w:hideMark/>
          </w:tcPr>
          <w:p w14:paraId="62552A1B"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130</w:t>
            </w:r>
          </w:p>
        </w:tc>
        <w:tc>
          <w:tcPr>
            <w:tcW w:w="1054" w:type="dxa"/>
            <w:noWrap/>
            <w:vAlign w:val="bottom"/>
            <w:hideMark/>
          </w:tcPr>
          <w:p w14:paraId="783D2D44" w14:textId="1989A78C"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£251,120</w:t>
            </w:r>
          </w:p>
        </w:tc>
        <w:tc>
          <w:tcPr>
            <w:tcW w:w="1054" w:type="dxa"/>
            <w:noWrap/>
            <w:vAlign w:val="bottom"/>
            <w:hideMark/>
          </w:tcPr>
          <w:p w14:paraId="5DFE7347" w14:textId="3BF390A4"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£251,606</w:t>
            </w:r>
          </w:p>
        </w:tc>
        <w:tc>
          <w:tcPr>
            <w:tcW w:w="1054" w:type="dxa"/>
            <w:noWrap/>
            <w:vAlign w:val="bottom"/>
            <w:hideMark/>
          </w:tcPr>
          <w:p w14:paraId="05994217" w14:textId="56FCDFBC"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£251,762</w:t>
            </w:r>
          </w:p>
        </w:tc>
        <w:tc>
          <w:tcPr>
            <w:tcW w:w="1063" w:type="dxa"/>
            <w:noWrap/>
            <w:vAlign w:val="bottom"/>
            <w:hideMark/>
          </w:tcPr>
          <w:p w14:paraId="638910EB" w14:textId="70613A7C"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£252,105</w:t>
            </w:r>
          </w:p>
        </w:tc>
        <w:tc>
          <w:tcPr>
            <w:tcW w:w="1054" w:type="dxa"/>
            <w:noWrap/>
            <w:vAlign w:val="bottom"/>
            <w:hideMark/>
          </w:tcPr>
          <w:p w14:paraId="1C5AF9CA" w14:textId="6DCAEB88"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£252,461</w:t>
            </w:r>
          </w:p>
        </w:tc>
        <w:tc>
          <w:tcPr>
            <w:tcW w:w="1056" w:type="dxa"/>
            <w:noWrap/>
            <w:vAlign w:val="bottom"/>
            <w:hideMark/>
          </w:tcPr>
          <w:p w14:paraId="692D7BDE" w14:textId="41E0E4D6"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Pr>
                <w:rFonts w:ascii="Aptos Narrow" w:hAnsi="Aptos Narrow"/>
                <w:color w:val="000000"/>
                <w:sz w:val="22"/>
                <w:szCs w:val="22"/>
              </w:rPr>
              <w:t>£252,261</w:t>
            </w:r>
          </w:p>
        </w:tc>
      </w:tr>
    </w:tbl>
    <w:p w14:paraId="39F76149" w14:textId="77777777" w:rsidR="008B776E" w:rsidRPr="00611884" w:rsidRDefault="008B776E" w:rsidP="00611884"/>
    <w:p w14:paraId="42F51991" w14:textId="42ACC5E9" w:rsidR="00DC6BDD" w:rsidRDefault="00DC6BDD" w:rsidP="00DC6BDD">
      <w:pPr>
        <w:pStyle w:val="Caption"/>
        <w:keepNext/>
      </w:pPr>
      <w:bookmarkStart w:id="2" w:name="_Ref179660913"/>
      <w:r>
        <w:t xml:space="preserve">Table </w:t>
      </w:r>
      <w:fldSimple w:instr=" SEQ Table \* ARABIC ">
        <w:r w:rsidR="004130DD">
          <w:rPr>
            <w:noProof/>
          </w:rPr>
          <w:t>2</w:t>
        </w:r>
      </w:fldSimple>
      <w:bookmarkEnd w:id="2"/>
      <w:r>
        <w:t>: Total shortage for Bricks-and-Mortar Scenario</w:t>
      </w:r>
    </w:p>
    <w:tbl>
      <w:tblPr>
        <w:tblStyle w:val="GridTable5Dark-Accent4"/>
        <w:tblW w:w="7596" w:type="dxa"/>
        <w:jc w:val="center"/>
        <w:tblLook w:val="04A0" w:firstRow="1" w:lastRow="0" w:firstColumn="1" w:lastColumn="0" w:noHBand="0" w:noVBand="1"/>
      </w:tblPr>
      <w:tblGrid>
        <w:gridCol w:w="606"/>
        <w:gridCol w:w="611"/>
        <w:gridCol w:w="992"/>
        <w:gridCol w:w="1090"/>
        <w:gridCol w:w="1037"/>
        <w:gridCol w:w="1090"/>
        <w:gridCol w:w="1036"/>
        <w:gridCol w:w="1134"/>
      </w:tblGrid>
      <w:tr w:rsidR="00DC6BDD" w:rsidRPr="008B776E" w14:paraId="33A17BA7" w14:textId="77777777" w:rsidTr="00DC6BD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noWrap/>
          </w:tcPr>
          <w:p w14:paraId="74A4B0C2" w14:textId="344D0EB5"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6990" w:type="dxa"/>
            <w:gridSpan w:val="7"/>
            <w:noWrap/>
            <w:hideMark/>
          </w:tcPr>
          <w:p w14:paraId="6D1E048D" w14:textId="77777777" w:rsidR="008B776E" w:rsidRPr="008B776E" w:rsidRDefault="008B776E" w:rsidP="008B776E">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Q</w:t>
            </w:r>
          </w:p>
        </w:tc>
      </w:tr>
      <w:tr w:rsidR="00DC6BDD" w:rsidRPr="008B776E" w14:paraId="68436E6D"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noWrap/>
          </w:tcPr>
          <w:p w14:paraId="551174D5" w14:textId="0B3A0375"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611" w:type="dxa"/>
            <w:noWrap/>
            <w:hideMark/>
          </w:tcPr>
          <w:p w14:paraId="19BBEDF1" w14:textId="77777777" w:rsidR="008B776E" w:rsidRPr="008B776E" w:rsidRDefault="008B776E" w:rsidP="008B776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p>
        </w:tc>
        <w:tc>
          <w:tcPr>
            <w:tcW w:w="992" w:type="dxa"/>
            <w:noWrap/>
            <w:hideMark/>
          </w:tcPr>
          <w:p w14:paraId="59A3F2DE"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150</w:t>
            </w:r>
          </w:p>
        </w:tc>
        <w:tc>
          <w:tcPr>
            <w:tcW w:w="1090" w:type="dxa"/>
            <w:noWrap/>
            <w:hideMark/>
          </w:tcPr>
          <w:p w14:paraId="01A910F5"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160</w:t>
            </w:r>
          </w:p>
        </w:tc>
        <w:tc>
          <w:tcPr>
            <w:tcW w:w="1037" w:type="dxa"/>
            <w:noWrap/>
            <w:hideMark/>
          </w:tcPr>
          <w:p w14:paraId="4DFC4678"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170</w:t>
            </w:r>
          </w:p>
        </w:tc>
        <w:tc>
          <w:tcPr>
            <w:tcW w:w="1090" w:type="dxa"/>
            <w:noWrap/>
            <w:hideMark/>
          </w:tcPr>
          <w:p w14:paraId="62283DAA"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180</w:t>
            </w:r>
          </w:p>
        </w:tc>
        <w:tc>
          <w:tcPr>
            <w:tcW w:w="1036" w:type="dxa"/>
            <w:noWrap/>
            <w:hideMark/>
          </w:tcPr>
          <w:p w14:paraId="3CD2806B"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190</w:t>
            </w:r>
          </w:p>
        </w:tc>
        <w:tc>
          <w:tcPr>
            <w:tcW w:w="1134" w:type="dxa"/>
            <w:noWrap/>
            <w:hideMark/>
          </w:tcPr>
          <w:p w14:paraId="729564A8"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200</w:t>
            </w:r>
          </w:p>
        </w:tc>
      </w:tr>
      <w:tr w:rsidR="00DC6BDD" w:rsidRPr="008B776E" w14:paraId="42EE5A3C" w14:textId="77777777" w:rsidTr="00DC6B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val="restart"/>
            <w:noWrap/>
            <w:hideMark/>
          </w:tcPr>
          <w:p w14:paraId="7DF02CED" w14:textId="77777777" w:rsidR="008B776E" w:rsidRPr="008B776E" w:rsidRDefault="008B776E" w:rsidP="008B776E">
            <w:pPr>
              <w:jc w:val="center"/>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ROP</w:t>
            </w:r>
          </w:p>
        </w:tc>
        <w:tc>
          <w:tcPr>
            <w:tcW w:w="611" w:type="dxa"/>
            <w:noWrap/>
            <w:hideMark/>
          </w:tcPr>
          <w:p w14:paraId="01F87E6E"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80</w:t>
            </w:r>
          </w:p>
        </w:tc>
        <w:tc>
          <w:tcPr>
            <w:tcW w:w="992" w:type="dxa"/>
            <w:noWrap/>
            <w:hideMark/>
          </w:tcPr>
          <w:p w14:paraId="3516FF07"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136</w:t>
            </w:r>
          </w:p>
        </w:tc>
        <w:tc>
          <w:tcPr>
            <w:tcW w:w="1090" w:type="dxa"/>
            <w:noWrap/>
            <w:hideMark/>
          </w:tcPr>
          <w:p w14:paraId="4E428ACF"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130</w:t>
            </w:r>
          </w:p>
        </w:tc>
        <w:tc>
          <w:tcPr>
            <w:tcW w:w="1037" w:type="dxa"/>
            <w:noWrap/>
            <w:hideMark/>
          </w:tcPr>
          <w:p w14:paraId="69D3FAD1"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140</w:t>
            </w:r>
          </w:p>
        </w:tc>
        <w:tc>
          <w:tcPr>
            <w:tcW w:w="1090" w:type="dxa"/>
            <w:noWrap/>
            <w:hideMark/>
          </w:tcPr>
          <w:p w14:paraId="044A190B"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180</w:t>
            </w:r>
          </w:p>
        </w:tc>
        <w:tc>
          <w:tcPr>
            <w:tcW w:w="1036" w:type="dxa"/>
            <w:noWrap/>
            <w:hideMark/>
          </w:tcPr>
          <w:p w14:paraId="29AF6ACD"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218</w:t>
            </w:r>
          </w:p>
        </w:tc>
        <w:tc>
          <w:tcPr>
            <w:tcW w:w="1134" w:type="dxa"/>
            <w:noWrap/>
            <w:hideMark/>
          </w:tcPr>
          <w:p w14:paraId="49A10FF7"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84</w:t>
            </w:r>
          </w:p>
        </w:tc>
      </w:tr>
      <w:tr w:rsidR="00DC6BDD" w:rsidRPr="008B776E" w14:paraId="53DA654B"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4D089207"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611" w:type="dxa"/>
            <w:noWrap/>
            <w:hideMark/>
          </w:tcPr>
          <w:p w14:paraId="5CD6F567"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90</w:t>
            </w:r>
          </w:p>
        </w:tc>
        <w:tc>
          <w:tcPr>
            <w:tcW w:w="992" w:type="dxa"/>
            <w:noWrap/>
            <w:hideMark/>
          </w:tcPr>
          <w:p w14:paraId="3D91489C"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59</w:t>
            </w:r>
          </w:p>
        </w:tc>
        <w:tc>
          <w:tcPr>
            <w:tcW w:w="1090" w:type="dxa"/>
            <w:noWrap/>
            <w:hideMark/>
          </w:tcPr>
          <w:p w14:paraId="099B5A7F"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50</w:t>
            </w:r>
          </w:p>
        </w:tc>
        <w:tc>
          <w:tcPr>
            <w:tcW w:w="1037" w:type="dxa"/>
            <w:noWrap/>
            <w:hideMark/>
          </w:tcPr>
          <w:p w14:paraId="27EB7B1A"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48</w:t>
            </w:r>
          </w:p>
        </w:tc>
        <w:tc>
          <w:tcPr>
            <w:tcW w:w="1090" w:type="dxa"/>
            <w:noWrap/>
            <w:hideMark/>
          </w:tcPr>
          <w:p w14:paraId="0FDE5A6E"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50</w:t>
            </w:r>
          </w:p>
        </w:tc>
        <w:tc>
          <w:tcPr>
            <w:tcW w:w="1036" w:type="dxa"/>
            <w:noWrap/>
            <w:hideMark/>
          </w:tcPr>
          <w:p w14:paraId="603FFA76"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60</w:t>
            </w:r>
          </w:p>
        </w:tc>
        <w:tc>
          <w:tcPr>
            <w:tcW w:w="1134" w:type="dxa"/>
            <w:noWrap/>
            <w:hideMark/>
          </w:tcPr>
          <w:p w14:paraId="11786C2B"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48</w:t>
            </w:r>
          </w:p>
        </w:tc>
      </w:tr>
      <w:tr w:rsidR="00DC6BDD" w:rsidRPr="008B776E" w14:paraId="5EF7FCAF" w14:textId="77777777" w:rsidTr="00DC6B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7C6CC682"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611" w:type="dxa"/>
            <w:noWrap/>
            <w:hideMark/>
          </w:tcPr>
          <w:p w14:paraId="74086861"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100</w:t>
            </w:r>
          </w:p>
        </w:tc>
        <w:tc>
          <w:tcPr>
            <w:tcW w:w="992" w:type="dxa"/>
            <w:noWrap/>
            <w:hideMark/>
          </w:tcPr>
          <w:p w14:paraId="01993486"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15</w:t>
            </w:r>
          </w:p>
        </w:tc>
        <w:tc>
          <w:tcPr>
            <w:tcW w:w="1090" w:type="dxa"/>
            <w:noWrap/>
            <w:hideMark/>
          </w:tcPr>
          <w:p w14:paraId="6D809FB7"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13</w:t>
            </w:r>
          </w:p>
        </w:tc>
        <w:tc>
          <w:tcPr>
            <w:tcW w:w="1037" w:type="dxa"/>
            <w:noWrap/>
            <w:hideMark/>
          </w:tcPr>
          <w:p w14:paraId="7A7C21AB"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12</w:t>
            </w:r>
          </w:p>
        </w:tc>
        <w:tc>
          <w:tcPr>
            <w:tcW w:w="1090" w:type="dxa"/>
            <w:noWrap/>
            <w:hideMark/>
          </w:tcPr>
          <w:p w14:paraId="0724A1F9"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12</w:t>
            </w:r>
          </w:p>
        </w:tc>
        <w:tc>
          <w:tcPr>
            <w:tcW w:w="1036" w:type="dxa"/>
            <w:noWrap/>
            <w:hideMark/>
          </w:tcPr>
          <w:p w14:paraId="236682E2"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12</w:t>
            </w:r>
          </w:p>
        </w:tc>
        <w:tc>
          <w:tcPr>
            <w:tcW w:w="1134" w:type="dxa"/>
            <w:noWrap/>
            <w:hideMark/>
          </w:tcPr>
          <w:p w14:paraId="2EB7DF23"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13</w:t>
            </w:r>
          </w:p>
        </w:tc>
      </w:tr>
      <w:tr w:rsidR="00DC6BDD" w:rsidRPr="008B776E" w14:paraId="1F7D0538"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6AA59D8A"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611" w:type="dxa"/>
            <w:noWrap/>
            <w:hideMark/>
          </w:tcPr>
          <w:p w14:paraId="6E999A69"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110</w:t>
            </w:r>
          </w:p>
        </w:tc>
        <w:tc>
          <w:tcPr>
            <w:tcW w:w="992" w:type="dxa"/>
            <w:noWrap/>
            <w:hideMark/>
          </w:tcPr>
          <w:p w14:paraId="15C5A1D6"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2</w:t>
            </w:r>
          </w:p>
        </w:tc>
        <w:tc>
          <w:tcPr>
            <w:tcW w:w="1090" w:type="dxa"/>
            <w:noWrap/>
            <w:hideMark/>
          </w:tcPr>
          <w:p w14:paraId="59DE539A"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2</w:t>
            </w:r>
          </w:p>
        </w:tc>
        <w:tc>
          <w:tcPr>
            <w:tcW w:w="1037" w:type="dxa"/>
            <w:noWrap/>
            <w:hideMark/>
          </w:tcPr>
          <w:p w14:paraId="413A1203"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2</w:t>
            </w:r>
          </w:p>
        </w:tc>
        <w:tc>
          <w:tcPr>
            <w:tcW w:w="1090" w:type="dxa"/>
            <w:noWrap/>
            <w:hideMark/>
          </w:tcPr>
          <w:p w14:paraId="6BD1D979"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2</w:t>
            </w:r>
          </w:p>
        </w:tc>
        <w:tc>
          <w:tcPr>
            <w:tcW w:w="1036" w:type="dxa"/>
            <w:noWrap/>
            <w:hideMark/>
          </w:tcPr>
          <w:p w14:paraId="6C90F5BC"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2</w:t>
            </w:r>
          </w:p>
        </w:tc>
        <w:tc>
          <w:tcPr>
            <w:tcW w:w="1134" w:type="dxa"/>
            <w:noWrap/>
            <w:hideMark/>
          </w:tcPr>
          <w:p w14:paraId="10301407"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8B776E">
              <w:rPr>
                <w:rFonts w:ascii="Aptos Narrow" w:eastAsia="Times New Roman" w:hAnsi="Aptos Narrow" w:cs="Times New Roman"/>
                <w:color w:val="000000"/>
                <w:kern w:val="0"/>
                <w:sz w:val="22"/>
                <w:szCs w:val="22"/>
                <w:lang w:eastAsia="en-GB"/>
                <w14:ligatures w14:val="none"/>
              </w:rPr>
              <w:t>2</w:t>
            </w:r>
          </w:p>
        </w:tc>
      </w:tr>
      <w:tr w:rsidR="00DC6BDD" w:rsidRPr="008B776E" w14:paraId="53400AB9" w14:textId="77777777" w:rsidTr="00DC6B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1A3E036C"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611" w:type="dxa"/>
            <w:noWrap/>
            <w:hideMark/>
          </w:tcPr>
          <w:p w14:paraId="5816040D"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120</w:t>
            </w:r>
          </w:p>
        </w:tc>
        <w:tc>
          <w:tcPr>
            <w:tcW w:w="992" w:type="dxa"/>
            <w:noWrap/>
            <w:hideMark/>
          </w:tcPr>
          <w:p w14:paraId="5FA63AF1"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090" w:type="dxa"/>
            <w:noWrap/>
            <w:hideMark/>
          </w:tcPr>
          <w:p w14:paraId="07300FB0"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037" w:type="dxa"/>
            <w:noWrap/>
            <w:hideMark/>
          </w:tcPr>
          <w:p w14:paraId="59D68823"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090" w:type="dxa"/>
            <w:noWrap/>
            <w:hideMark/>
          </w:tcPr>
          <w:p w14:paraId="16317F35"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036" w:type="dxa"/>
            <w:noWrap/>
            <w:hideMark/>
          </w:tcPr>
          <w:p w14:paraId="03E9DB97"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134" w:type="dxa"/>
            <w:noWrap/>
            <w:hideMark/>
          </w:tcPr>
          <w:p w14:paraId="3D99E056" w14:textId="77777777" w:rsidR="008B776E" w:rsidRPr="008B776E" w:rsidRDefault="008B776E" w:rsidP="008B776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r>
      <w:tr w:rsidR="00DC6BDD" w:rsidRPr="008B776E" w14:paraId="51002F53"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5AE83FFC" w14:textId="77777777" w:rsidR="008B776E" w:rsidRPr="008B776E" w:rsidRDefault="008B776E" w:rsidP="008B776E">
            <w:pPr>
              <w:rPr>
                <w:rFonts w:ascii="Aptos Narrow" w:eastAsia="Times New Roman" w:hAnsi="Aptos Narrow" w:cs="Times New Roman"/>
                <w:color w:val="000000"/>
                <w:kern w:val="0"/>
                <w:sz w:val="22"/>
                <w:szCs w:val="22"/>
                <w:lang w:eastAsia="en-GB"/>
                <w14:ligatures w14:val="none"/>
              </w:rPr>
            </w:pPr>
          </w:p>
        </w:tc>
        <w:tc>
          <w:tcPr>
            <w:tcW w:w="611" w:type="dxa"/>
            <w:noWrap/>
            <w:hideMark/>
          </w:tcPr>
          <w:p w14:paraId="1AEB8C27"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8B776E">
              <w:rPr>
                <w:rFonts w:ascii="Aptos Narrow" w:eastAsia="Times New Roman" w:hAnsi="Aptos Narrow" w:cs="Times New Roman"/>
                <w:b/>
                <w:bCs/>
                <w:color w:val="000000"/>
                <w:kern w:val="0"/>
                <w:sz w:val="22"/>
                <w:szCs w:val="22"/>
                <w:lang w:eastAsia="en-GB"/>
                <w14:ligatures w14:val="none"/>
              </w:rPr>
              <w:t>130</w:t>
            </w:r>
          </w:p>
        </w:tc>
        <w:tc>
          <w:tcPr>
            <w:tcW w:w="992" w:type="dxa"/>
            <w:noWrap/>
            <w:hideMark/>
          </w:tcPr>
          <w:p w14:paraId="596C7355"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090" w:type="dxa"/>
            <w:noWrap/>
            <w:hideMark/>
          </w:tcPr>
          <w:p w14:paraId="30916271"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037" w:type="dxa"/>
            <w:noWrap/>
            <w:hideMark/>
          </w:tcPr>
          <w:p w14:paraId="547A455E"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090" w:type="dxa"/>
            <w:noWrap/>
            <w:hideMark/>
          </w:tcPr>
          <w:p w14:paraId="71C40974"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036" w:type="dxa"/>
            <w:noWrap/>
            <w:hideMark/>
          </w:tcPr>
          <w:p w14:paraId="08AB8CF9"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c>
          <w:tcPr>
            <w:tcW w:w="1134" w:type="dxa"/>
            <w:noWrap/>
            <w:hideMark/>
          </w:tcPr>
          <w:p w14:paraId="384BDA3D" w14:textId="77777777" w:rsidR="008B776E" w:rsidRPr="008B776E" w:rsidRDefault="008B776E" w:rsidP="008B776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8B776E">
              <w:rPr>
                <w:rFonts w:ascii="Aptos Narrow" w:eastAsia="Times New Roman" w:hAnsi="Aptos Narrow" w:cs="Times New Roman"/>
                <w:b/>
                <w:bCs/>
                <w:i/>
                <w:iCs/>
                <w:kern w:val="0"/>
                <w:sz w:val="22"/>
                <w:szCs w:val="22"/>
                <w:lang w:eastAsia="en-GB"/>
                <w14:ligatures w14:val="none"/>
              </w:rPr>
              <w:t>0</w:t>
            </w:r>
          </w:p>
        </w:tc>
      </w:tr>
    </w:tbl>
    <w:p w14:paraId="3D479375" w14:textId="77777777" w:rsidR="008D52F0" w:rsidRDefault="008D52F0" w:rsidP="008D52F0"/>
    <w:p w14:paraId="724EAA30" w14:textId="0DDD5EEA" w:rsidR="00DC6BDD" w:rsidRDefault="00DC6BDD" w:rsidP="00DC6BDD">
      <w:pPr>
        <w:pStyle w:val="Caption"/>
        <w:keepNext/>
      </w:pPr>
      <w:bookmarkStart w:id="3" w:name="_Ref179661379"/>
      <w:r>
        <w:t xml:space="preserve">Table </w:t>
      </w:r>
      <w:fldSimple w:instr=" SEQ Table \* ARABIC ">
        <w:r w:rsidR="004130DD">
          <w:rPr>
            <w:noProof/>
          </w:rPr>
          <w:t>3</w:t>
        </w:r>
      </w:fldSimple>
      <w:bookmarkEnd w:id="3"/>
      <w:r>
        <w:t>: Net Profit for Digital Scenario</w:t>
      </w:r>
    </w:p>
    <w:tbl>
      <w:tblPr>
        <w:tblStyle w:val="GridTable5Dark-Accent4"/>
        <w:tblW w:w="7933" w:type="dxa"/>
        <w:jc w:val="center"/>
        <w:tblLook w:val="04A0" w:firstRow="1" w:lastRow="0" w:firstColumn="1" w:lastColumn="0" w:noHBand="0" w:noVBand="1"/>
      </w:tblPr>
      <w:tblGrid>
        <w:gridCol w:w="606"/>
        <w:gridCol w:w="665"/>
        <w:gridCol w:w="1134"/>
        <w:gridCol w:w="1134"/>
        <w:gridCol w:w="1134"/>
        <w:gridCol w:w="1134"/>
        <w:gridCol w:w="1054"/>
        <w:gridCol w:w="1072"/>
      </w:tblGrid>
      <w:tr w:rsidR="00DC6BDD" w:rsidRPr="00DC6BDD" w14:paraId="58CD118C" w14:textId="77777777" w:rsidTr="00DC6BD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noWrap/>
          </w:tcPr>
          <w:p w14:paraId="4411A68E" w14:textId="6EA43AF4"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7327" w:type="dxa"/>
            <w:gridSpan w:val="7"/>
            <w:noWrap/>
            <w:hideMark/>
          </w:tcPr>
          <w:p w14:paraId="742F61EF" w14:textId="77777777" w:rsidR="00DC6BDD" w:rsidRPr="00DC6BDD" w:rsidRDefault="00DC6BDD" w:rsidP="00DC6BDD">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Q</w:t>
            </w:r>
          </w:p>
        </w:tc>
      </w:tr>
      <w:tr w:rsidR="00DC6BDD" w:rsidRPr="00DC6BDD" w14:paraId="3F368BE8"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noWrap/>
          </w:tcPr>
          <w:p w14:paraId="4E270E49" w14:textId="2D769CDA"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665" w:type="dxa"/>
            <w:noWrap/>
            <w:hideMark/>
          </w:tcPr>
          <w:p w14:paraId="4B5BEBF9" w14:textId="77777777" w:rsidR="00DC6BDD" w:rsidRPr="00DC6BDD" w:rsidRDefault="00DC6BDD" w:rsidP="00DC6BD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p>
        </w:tc>
        <w:tc>
          <w:tcPr>
            <w:tcW w:w="1134" w:type="dxa"/>
            <w:noWrap/>
            <w:hideMark/>
          </w:tcPr>
          <w:p w14:paraId="2078870D"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370</w:t>
            </w:r>
          </w:p>
        </w:tc>
        <w:tc>
          <w:tcPr>
            <w:tcW w:w="1134" w:type="dxa"/>
            <w:noWrap/>
            <w:hideMark/>
          </w:tcPr>
          <w:p w14:paraId="4AE1BE29"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380</w:t>
            </w:r>
          </w:p>
        </w:tc>
        <w:tc>
          <w:tcPr>
            <w:tcW w:w="1134" w:type="dxa"/>
            <w:noWrap/>
            <w:hideMark/>
          </w:tcPr>
          <w:p w14:paraId="51490CD3"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390</w:t>
            </w:r>
          </w:p>
        </w:tc>
        <w:tc>
          <w:tcPr>
            <w:tcW w:w="1134" w:type="dxa"/>
            <w:noWrap/>
            <w:hideMark/>
          </w:tcPr>
          <w:p w14:paraId="7A7DE400"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400</w:t>
            </w:r>
          </w:p>
        </w:tc>
        <w:tc>
          <w:tcPr>
            <w:tcW w:w="1054" w:type="dxa"/>
            <w:noWrap/>
            <w:hideMark/>
          </w:tcPr>
          <w:p w14:paraId="4AA0BCAD"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410</w:t>
            </w:r>
          </w:p>
        </w:tc>
        <w:tc>
          <w:tcPr>
            <w:tcW w:w="1072" w:type="dxa"/>
            <w:noWrap/>
            <w:hideMark/>
          </w:tcPr>
          <w:p w14:paraId="13730940"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420</w:t>
            </w:r>
          </w:p>
        </w:tc>
      </w:tr>
      <w:tr w:rsidR="00DC6BDD" w:rsidRPr="00DC6BDD" w14:paraId="0B5A0A09" w14:textId="77777777" w:rsidTr="00DC6B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val="restart"/>
            <w:noWrap/>
            <w:hideMark/>
          </w:tcPr>
          <w:p w14:paraId="2AA20AD7" w14:textId="77777777" w:rsidR="00DC6BDD" w:rsidRPr="00DC6BDD" w:rsidRDefault="00DC6BDD" w:rsidP="00DC6BDD">
            <w:pPr>
              <w:jc w:val="center"/>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ROP</w:t>
            </w:r>
          </w:p>
        </w:tc>
        <w:tc>
          <w:tcPr>
            <w:tcW w:w="665" w:type="dxa"/>
            <w:noWrap/>
            <w:hideMark/>
          </w:tcPr>
          <w:p w14:paraId="25869F7E"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390</w:t>
            </w:r>
          </w:p>
        </w:tc>
        <w:tc>
          <w:tcPr>
            <w:tcW w:w="1134" w:type="dxa"/>
            <w:noWrap/>
            <w:hideMark/>
          </w:tcPr>
          <w:p w14:paraId="38A15FE5"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£563,296</w:t>
            </w:r>
          </w:p>
        </w:tc>
        <w:tc>
          <w:tcPr>
            <w:tcW w:w="1134" w:type="dxa"/>
            <w:noWrap/>
            <w:hideMark/>
          </w:tcPr>
          <w:p w14:paraId="21E893BC"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£581,486</w:t>
            </w:r>
          </w:p>
        </w:tc>
        <w:tc>
          <w:tcPr>
            <w:tcW w:w="1134" w:type="dxa"/>
            <w:noWrap/>
            <w:hideMark/>
          </w:tcPr>
          <w:p w14:paraId="727847F8"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DC6BDD">
              <w:rPr>
                <w:rFonts w:ascii="Aptos Narrow" w:eastAsia="Times New Roman" w:hAnsi="Aptos Narrow" w:cs="Times New Roman"/>
                <w:b/>
                <w:bCs/>
                <w:i/>
                <w:iCs/>
                <w:kern w:val="0"/>
                <w:sz w:val="22"/>
                <w:szCs w:val="22"/>
                <w:lang w:eastAsia="en-GB"/>
                <w14:ligatures w14:val="none"/>
              </w:rPr>
              <w:t>£585,118</w:t>
            </w:r>
          </w:p>
        </w:tc>
        <w:tc>
          <w:tcPr>
            <w:tcW w:w="1134" w:type="dxa"/>
            <w:noWrap/>
            <w:hideMark/>
          </w:tcPr>
          <w:p w14:paraId="0B6DE989"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£576,626</w:t>
            </w:r>
          </w:p>
        </w:tc>
        <w:tc>
          <w:tcPr>
            <w:tcW w:w="1054" w:type="dxa"/>
            <w:noWrap/>
            <w:hideMark/>
          </w:tcPr>
          <w:p w14:paraId="12A4EABD"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£568,466</w:t>
            </w:r>
          </w:p>
        </w:tc>
        <w:tc>
          <w:tcPr>
            <w:tcW w:w="1072" w:type="dxa"/>
            <w:noWrap/>
            <w:hideMark/>
          </w:tcPr>
          <w:p w14:paraId="5BCE1074"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£561,707</w:t>
            </w:r>
          </w:p>
        </w:tc>
      </w:tr>
      <w:tr w:rsidR="00DC6BDD" w:rsidRPr="00DC6BDD" w14:paraId="6EE971DF"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183FB138"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665" w:type="dxa"/>
            <w:noWrap/>
            <w:hideMark/>
          </w:tcPr>
          <w:p w14:paraId="5E7E82CA"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400</w:t>
            </w:r>
          </w:p>
        </w:tc>
        <w:tc>
          <w:tcPr>
            <w:tcW w:w="1134" w:type="dxa"/>
            <w:noWrap/>
            <w:hideMark/>
          </w:tcPr>
          <w:p w14:paraId="366C6A3B"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£561,771</w:t>
            </w:r>
          </w:p>
        </w:tc>
        <w:tc>
          <w:tcPr>
            <w:tcW w:w="1134" w:type="dxa"/>
            <w:noWrap/>
            <w:hideMark/>
          </w:tcPr>
          <w:p w14:paraId="78343405"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£579,819</w:t>
            </w:r>
          </w:p>
        </w:tc>
        <w:tc>
          <w:tcPr>
            <w:tcW w:w="1134" w:type="dxa"/>
            <w:noWrap/>
            <w:hideMark/>
          </w:tcPr>
          <w:p w14:paraId="05BC94D0"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DC6BDD">
              <w:rPr>
                <w:rFonts w:ascii="Aptos Narrow" w:eastAsia="Times New Roman" w:hAnsi="Aptos Narrow" w:cs="Times New Roman"/>
                <w:b/>
                <w:bCs/>
                <w:i/>
                <w:iCs/>
                <w:kern w:val="0"/>
                <w:sz w:val="22"/>
                <w:szCs w:val="22"/>
                <w:lang w:eastAsia="en-GB"/>
                <w14:ligatures w14:val="none"/>
              </w:rPr>
              <w:t>£584,438</w:t>
            </w:r>
          </w:p>
        </w:tc>
        <w:tc>
          <w:tcPr>
            <w:tcW w:w="1134" w:type="dxa"/>
            <w:noWrap/>
            <w:hideMark/>
          </w:tcPr>
          <w:p w14:paraId="2EA59FBE"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£576,130</w:t>
            </w:r>
          </w:p>
        </w:tc>
        <w:tc>
          <w:tcPr>
            <w:tcW w:w="1054" w:type="dxa"/>
            <w:noWrap/>
            <w:hideMark/>
          </w:tcPr>
          <w:p w14:paraId="22EE0DFF"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£567,721</w:t>
            </w:r>
          </w:p>
        </w:tc>
        <w:tc>
          <w:tcPr>
            <w:tcW w:w="1072" w:type="dxa"/>
            <w:noWrap/>
            <w:hideMark/>
          </w:tcPr>
          <w:p w14:paraId="219BBE8A"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£560,892</w:t>
            </w:r>
          </w:p>
        </w:tc>
      </w:tr>
      <w:tr w:rsidR="00DC6BDD" w:rsidRPr="00DC6BDD" w14:paraId="4BFEA5E7" w14:textId="77777777" w:rsidTr="00DC6B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0CC26BA1"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665" w:type="dxa"/>
            <w:noWrap/>
            <w:hideMark/>
          </w:tcPr>
          <w:p w14:paraId="19A7BD75"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410</w:t>
            </w:r>
          </w:p>
        </w:tc>
        <w:tc>
          <w:tcPr>
            <w:tcW w:w="1134" w:type="dxa"/>
            <w:noWrap/>
            <w:hideMark/>
          </w:tcPr>
          <w:p w14:paraId="531BED4C"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£560,338</w:t>
            </w:r>
          </w:p>
        </w:tc>
        <w:tc>
          <w:tcPr>
            <w:tcW w:w="1134" w:type="dxa"/>
            <w:noWrap/>
            <w:hideMark/>
          </w:tcPr>
          <w:p w14:paraId="716B547F"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£578,231</w:t>
            </w:r>
          </w:p>
        </w:tc>
        <w:tc>
          <w:tcPr>
            <w:tcW w:w="1134" w:type="dxa"/>
            <w:noWrap/>
            <w:hideMark/>
          </w:tcPr>
          <w:p w14:paraId="3D958ED0"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kern w:val="0"/>
                <w:sz w:val="22"/>
                <w:szCs w:val="22"/>
                <w:lang w:eastAsia="en-GB"/>
                <w14:ligatures w14:val="none"/>
              </w:rPr>
            </w:pPr>
            <w:r w:rsidRPr="00DC6BDD">
              <w:rPr>
                <w:rFonts w:ascii="Aptos Narrow" w:eastAsia="Times New Roman" w:hAnsi="Aptos Narrow" w:cs="Times New Roman"/>
                <w:b/>
                <w:bCs/>
                <w:i/>
                <w:iCs/>
                <w:kern w:val="0"/>
                <w:sz w:val="22"/>
                <w:szCs w:val="22"/>
                <w:lang w:eastAsia="en-GB"/>
                <w14:ligatures w14:val="none"/>
              </w:rPr>
              <w:t>£583,802</w:t>
            </w:r>
          </w:p>
        </w:tc>
        <w:tc>
          <w:tcPr>
            <w:tcW w:w="1134" w:type="dxa"/>
            <w:noWrap/>
            <w:hideMark/>
          </w:tcPr>
          <w:p w14:paraId="2D949303"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£575,395</w:t>
            </w:r>
          </w:p>
        </w:tc>
        <w:tc>
          <w:tcPr>
            <w:tcW w:w="1054" w:type="dxa"/>
            <w:noWrap/>
            <w:hideMark/>
          </w:tcPr>
          <w:p w14:paraId="37D89E93"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£567,171</w:t>
            </w:r>
          </w:p>
        </w:tc>
        <w:tc>
          <w:tcPr>
            <w:tcW w:w="1072" w:type="dxa"/>
            <w:noWrap/>
            <w:hideMark/>
          </w:tcPr>
          <w:p w14:paraId="0C4847FE"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£560,148</w:t>
            </w:r>
          </w:p>
        </w:tc>
      </w:tr>
      <w:tr w:rsidR="00DC6BDD" w:rsidRPr="00DC6BDD" w14:paraId="7B5C139A"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032F6577"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665" w:type="dxa"/>
            <w:noWrap/>
            <w:hideMark/>
          </w:tcPr>
          <w:p w14:paraId="4C5431D7"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420</w:t>
            </w:r>
          </w:p>
        </w:tc>
        <w:tc>
          <w:tcPr>
            <w:tcW w:w="1134" w:type="dxa"/>
            <w:noWrap/>
            <w:hideMark/>
          </w:tcPr>
          <w:p w14:paraId="5508D402"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£558,991</w:t>
            </w:r>
          </w:p>
        </w:tc>
        <w:tc>
          <w:tcPr>
            <w:tcW w:w="1134" w:type="dxa"/>
            <w:noWrap/>
            <w:hideMark/>
          </w:tcPr>
          <w:p w14:paraId="4EBA2578"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£576,499</w:t>
            </w:r>
          </w:p>
        </w:tc>
        <w:tc>
          <w:tcPr>
            <w:tcW w:w="1134" w:type="dxa"/>
            <w:noWrap/>
            <w:hideMark/>
          </w:tcPr>
          <w:p w14:paraId="563C5724"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£582,859</w:t>
            </w:r>
          </w:p>
        </w:tc>
        <w:tc>
          <w:tcPr>
            <w:tcW w:w="1134" w:type="dxa"/>
            <w:noWrap/>
            <w:hideMark/>
          </w:tcPr>
          <w:p w14:paraId="63E7E528"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£574,828</w:t>
            </w:r>
          </w:p>
        </w:tc>
        <w:tc>
          <w:tcPr>
            <w:tcW w:w="1054" w:type="dxa"/>
            <w:noWrap/>
            <w:hideMark/>
          </w:tcPr>
          <w:p w14:paraId="524F0AA5"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£566,772</w:t>
            </w:r>
          </w:p>
        </w:tc>
        <w:tc>
          <w:tcPr>
            <w:tcW w:w="1072" w:type="dxa"/>
            <w:noWrap/>
            <w:hideMark/>
          </w:tcPr>
          <w:p w14:paraId="3D5830FC"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£559,824</w:t>
            </w:r>
          </w:p>
        </w:tc>
      </w:tr>
      <w:tr w:rsidR="00DC6BDD" w:rsidRPr="00DC6BDD" w14:paraId="25D79E66" w14:textId="77777777" w:rsidTr="00DC6B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1668F5E8"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665" w:type="dxa"/>
            <w:noWrap/>
            <w:hideMark/>
          </w:tcPr>
          <w:p w14:paraId="53AE7B9A"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430</w:t>
            </w:r>
          </w:p>
        </w:tc>
        <w:tc>
          <w:tcPr>
            <w:tcW w:w="1134" w:type="dxa"/>
            <w:noWrap/>
            <w:hideMark/>
          </w:tcPr>
          <w:p w14:paraId="67C8B73B"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£557,990</w:t>
            </w:r>
          </w:p>
        </w:tc>
        <w:tc>
          <w:tcPr>
            <w:tcW w:w="1134" w:type="dxa"/>
            <w:noWrap/>
            <w:hideMark/>
          </w:tcPr>
          <w:p w14:paraId="1A2A4F0B"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£574,905</w:t>
            </w:r>
          </w:p>
        </w:tc>
        <w:tc>
          <w:tcPr>
            <w:tcW w:w="1134" w:type="dxa"/>
            <w:noWrap/>
            <w:hideMark/>
          </w:tcPr>
          <w:p w14:paraId="64270F18"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£582,240</w:t>
            </w:r>
          </w:p>
        </w:tc>
        <w:tc>
          <w:tcPr>
            <w:tcW w:w="1134" w:type="dxa"/>
            <w:noWrap/>
            <w:hideMark/>
          </w:tcPr>
          <w:p w14:paraId="497AEB1A"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£574,270</w:t>
            </w:r>
          </w:p>
        </w:tc>
        <w:tc>
          <w:tcPr>
            <w:tcW w:w="1054" w:type="dxa"/>
            <w:noWrap/>
            <w:hideMark/>
          </w:tcPr>
          <w:p w14:paraId="0B9A270E"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£566,019</w:t>
            </w:r>
          </w:p>
        </w:tc>
        <w:tc>
          <w:tcPr>
            <w:tcW w:w="1072" w:type="dxa"/>
            <w:noWrap/>
            <w:hideMark/>
          </w:tcPr>
          <w:p w14:paraId="33D8F910"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£559,195</w:t>
            </w:r>
          </w:p>
        </w:tc>
      </w:tr>
      <w:tr w:rsidR="00DC6BDD" w:rsidRPr="00DC6BDD" w14:paraId="201AF3FA" w14:textId="77777777" w:rsidTr="00DC6B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5BE482C0"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665" w:type="dxa"/>
            <w:noWrap/>
            <w:hideMark/>
          </w:tcPr>
          <w:p w14:paraId="6878D577"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440</w:t>
            </w:r>
          </w:p>
        </w:tc>
        <w:tc>
          <w:tcPr>
            <w:tcW w:w="1134" w:type="dxa"/>
            <w:noWrap/>
            <w:hideMark/>
          </w:tcPr>
          <w:p w14:paraId="7EA22EA3"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£557,660</w:t>
            </w:r>
          </w:p>
        </w:tc>
        <w:tc>
          <w:tcPr>
            <w:tcW w:w="1134" w:type="dxa"/>
            <w:noWrap/>
            <w:hideMark/>
          </w:tcPr>
          <w:p w14:paraId="2EE41F73"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£573,268</w:t>
            </w:r>
          </w:p>
        </w:tc>
        <w:tc>
          <w:tcPr>
            <w:tcW w:w="1134" w:type="dxa"/>
            <w:noWrap/>
            <w:hideMark/>
          </w:tcPr>
          <w:p w14:paraId="0097388D"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£581,470</w:t>
            </w:r>
          </w:p>
        </w:tc>
        <w:tc>
          <w:tcPr>
            <w:tcW w:w="1134" w:type="dxa"/>
            <w:noWrap/>
            <w:hideMark/>
          </w:tcPr>
          <w:p w14:paraId="44612E6C"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£573,334</w:t>
            </w:r>
          </w:p>
        </w:tc>
        <w:tc>
          <w:tcPr>
            <w:tcW w:w="1054" w:type="dxa"/>
            <w:noWrap/>
            <w:hideMark/>
          </w:tcPr>
          <w:p w14:paraId="5F3EBDB9"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£565,399</w:t>
            </w:r>
          </w:p>
        </w:tc>
        <w:tc>
          <w:tcPr>
            <w:tcW w:w="1072" w:type="dxa"/>
            <w:noWrap/>
            <w:hideMark/>
          </w:tcPr>
          <w:p w14:paraId="05015B5F"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£558,701</w:t>
            </w:r>
          </w:p>
        </w:tc>
      </w:tr>
    </w:tbl>
    <w:p w14:paraId="178EBBFB" w14:textId="357B0055" w:rsidR="008D52F0" w:rsidRDefault="008D52F0"/>
    <w:p w14:paraId="25629F35" w14:textId="33C0FC69" w:rsidR="004130DD" w:rsidRDefault="004130DD" w:rsidP="004130DD">
      <w:pPr>
        <w:pStyle w:val="Caption"/>
        <w:keepNext/>
      </w:pPr>
      <w:bookmarkStart w:id="4" w:name="_Ref179661383"/>
      <w:r>
        <w:t xml:space="preserve">Table </w:t>
      </w:r>
      <w:fldSimple w:instr=" SEQ Table \* ARABIC ">
        <w:r>
          <w:rPr>
            <w:noProof/>
          </w:rPr>
          <w:t>4</w:t>
        </w:r>
      </w:fldSimple>
      <w:bookmarkEnd w:id="4"/>
      <w:r>
        <w:t>: Total shortage for Digital Solution</w:t>
      </w:r>
    </w:p>
    <w:tbl>
      <w:tblPr>
        <w:tblStyle w:val="GridTable5Dark-Accent4"/>
        <w:tblW w:w="7557" w:type="dxa"/>
        <w:jc w:val="center"/>
        <w:tblLook w:val="04A0" w:firstRow="1" w:lastRow="0" w:firstColumn="1" w:lastColumn="0" w:noHBand="0" w:noVBand="1"/>
      </w:tblPr>
      <w:tblGrid>
        <w:gridCol w:w="606"/>
        <w:gridCol w:w="742"/>
        <w:gridCol w:w="959"/>
        <w:gridCol w:w="993"/>
        <w:gridCol w:w="997"/>
        <w:gridCol w:w="1129"/>
        <w:gridCol w:w="1134"/>
        <w:gridCol w:w="997"/>
      </w:tblGrid>
      <w:tr w:rsidR="00DC6BDD" w:rsidRPr="00DC6BDD" w14:paraId="51203577" w14:textId="77777777" w:rsidTr="004130D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noWrap/>
          </w:tcPr>
          <w:p w14:paraId="538271D5" w14:textId="297F5706" w:rsidR="00DC6BDD" w:rsidRPr="00DC6BDD" w:rsidRDefault="00DC6BDD" w:rsidP="00DC6BDD">
            <w:pPr>
              <w:jc w:val="center"/>
              <w:rPr>
                <w:rFonts w:ascii="Aptos Narrow" w:eastAsia="Times New Roman" w:hAnsi="Aptos Narrow" w:cs="Times New Roman"/>
                <w:color w:val="000000"/>
                <w:kern w:val="0"/>
                <w:sz w:val="22"/>
                <w:szCs w:val="22"/>
                <w:lang w:eastAsia="en-GB"/>
                <w14:ligatures w14:val="none"/>
              </w:rPr>
            </w:pPr>
          </w:p>
        </w:tc>
        <w:tc>
          <w:tcPr>
            <w:tcW w:w="6951" w:type="dxa"/>
            <w:gridSpan w:val="7"/>
            <w:noWrap/>
            <w:hideMark/>
          </w:tcPr>
          <w:p w14:paraId="4E55EADE" w14:textId="77777777" w:rsidR="00DC6BDD" w:rsidRPr="00DC6BDD" w:rsidRDefault="00DC6BDD" w:rsidP="00DC6BDD">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Q</w:t>
            </w:r>
          </w:p>
        </w:tc>
      </w:tr>
      <w:tr w:rsidR="00DC6BDD" w:rsidRPr="00DC6BDD" w14:paraId="2E9F0ED4" w14:textId="77777777" w:rsidTr="004130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noWrap/>
          </w:tcPr>
          <w:p w14:paraId="5BB008DF" w14:textId="153A3EEC"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742" w:type="dxa"/>
            <w:noWrap/>
            <w:hideMark/>
          </w:tcPr>
          <w:p w14:paraId="0B512968" w14:textId="77777777" w:rsidR="00DC6BDD" w:rsidRPr="00DC6BDD" w:rsidRDefault="00DC6BDD" w:rsidP="00DC6BD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p>
        </w:tc>
        <w:tc>
          <w:tcPr>
            <w:tcW w:w="959" w:type="dxa"/>
            <w:noWrap/>
            <w:hideMark/>
          </w:tcPr>
          <w:p w14:paraId="43AE3ED1"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370</w:t>
            </w:r>
          </w:p>
        </w:tc>
        <w:tc>
          <w:tcPr>
            <w:tcW w:w="993" w:type="dxa"/>
            <w:noWrap/>
            <w:hideMark/>
          </w:tcPr>
          <w:p w14:paraId="0EACAF12"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380</w:t>
            </w:r>
          </w:p>
        </w:tc>
        <w:tc>
          <w:tcPr>
            <w:tcW w:w="997" w:type="dxa"/>
            <w:noWrap/>
            <w:hideMark/>
          </w:tcPr>
          <w:p w14:paraId="11C50289"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390</w:t>
            </w:r>
          </w:p>
        </w:tc>
        <w:tc>
          <w:tcPr>
            <w:tcW w:w="1129" w:type="dxa"/>
            <w:noWrap/>
            <w:hideMark/>
          </w:tcPr>
          <w:p w14:paraId="4DFEEFB3"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400</w:t>
            </w:r>
          </w:p>
        </w:tc>
        <w:tc>
          <w:tcPr>
            <w:tcW w:w="1134" w:type="dxa"/>
            <w:noWrap/>
            <w:hideMark/>
          </w:tcPr>
          <w:p w14:paraId="483E8D21"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410</w:t>
            </w:r>
          </w:p>
        </w:tc>
        <w:tc>
          <w:tcPr>
            <w:tcW w:w="997" w:type="dxa"/>
            <w:noWrap/>
            <w:hideMark/>
          </w:tcPr>
          <w:p w14:paraId="22B9026F"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420</w:t>
            </w:r>
          </w:p>
        </w:tc>
      </w:tr>
      <w:tr w:rsidR="00DC6BDD" w:rsidRPr="00DC6BDD" w14:paraId="3C64CA6D" w14:textId="77777777" w:rsidTr="004130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val="restart"/>
            <w:noWrap/>
            <w:hideMark/>
          </w:tcPr>
          <w:p w14:paraId="27089ED4" w14:textId="77777777" w:rsidR="00DC6BDD" w:rsidRPr="00DC6BDD" w:rsidRDefault="00DC6BDD" w:rsidP="00DC6BDD">
            <w:pPr>
              <w:jc w:val="center"/>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ROP</w:t>
            </w:r>
          </w:p>
        </w:tc>
        <w:tc>
          <w:tcPr>
            <w:tcW w:w="742" w:type="dxa"/>
            <w:noWrap/>
            <w:hideMark/>
          </w:tcPr>
          <w:p w14:paraId="10C1ED41"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390</w:t>
            </w:r>
          </w:p>
        </w:tc>
        <w:tc>
          <w:tcPr>
            <w:tcW w:w="959" w:type="dxa"/>
            <w:noWrap/>
            <w:hideMark/>
          </w:tcPr>
          <w:p w14:paraId="7AB79FF7"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90</w:t>
            </w:r>
          </w:p>
        </w:tc>
        <w:tc>
          <w:tcPr>
            <w:tcW w:w="993" w:type="dxa"/>
            <w:noWrap/>
            <w:hideMark/>
          </w:tcPr>
          <w:p w14:paraId="7180C043"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75</w:t>
            </w:r>
          </w:p>
        </w:tc>
        <w:tc>
          <w:tcPr>
            <w:tcW w:w="997" w:type="dxa"/>
            <w:noWrap/>
            <w:hideMark/>
          </w:tcPr>
          <w:p w14:paraId="735CBC27"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66</w:t>
            </w:r>
          </w:p>
        </w:tc>
        <w:tc>
          <w:tcPr>
            <w:tcW w:w="1129" w:type="dxa"/>
            <w:noWrap/>
            <w:hideMark/>
          </w:tcPr>
          <w:p w14:paraId="47AB2113"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55</w:t>
            </w:r>
          </w:p>
        </w:tc>
        <w:tc>
          <w:tcPr>
            <w:tcW w:w="1134" w:type="dxa"/>
            <w:noWrap/>
            <w:hideMark/>
          </w:tcPr>
          <w:p w14:paraId="0B20A7F4"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48</w:t>
            </w:r>
          </w:p>
        </w:tc>
        <w:tc>
          <w:tcPr>
            <w:tcW w:w="997" w:type="dxa"/>
            <w:noWrap/>
            <w:hideMark/>
          </w:tcPr>
          <w:p w14:paraId="7ED7EB24"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42</w:t>
            </w:r>
          </w:p>
        </w:tc>
      </w:tr>
      <w:tr w:rsidR="00DC6BDD" w:rsidRPr="00DC6BDD" w14:paraId="145B8CE5" w14:textId="77777777" w:rsidTr="004130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01B6854D"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742" w:type="dxa"/>
            <w:noWrap/>
            <w:hideMark/>
          </w:tcPr>
          <w:p w14:paraId="52249C4F"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400</w:t>
            </w:r>
          </w:p>
        </w:tc>
        <w:tc>
          <w:tcPr>
            <w:tcW w:w="959" w:type="dxa"/>
            <w:noWrap/>
            <w:hideMark/>
          </w:tcPr>
          <w:p w14:paraId="618D6B86"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76</w:t>
            </w:r>
          </w:p>
        </w:tc>
        <w:tc>
          <w:tcPr>
            <w:tcW w:w="993" w:type="dxa"/>
            <w:noWrap/>
            <w:hideMark/>
          </w:tcPr>
          <w:p w14:paraId="0962E8F2"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63</w:t>
            </w:r>
          </w:p>
        </w:tc>
        <w:tc>
          <w:tcPr>
            <w:tcW w:w="997" w:type="dxa"/>
            <w:noWrap/>
            <w:hideMark/>
          </w:tcPr>
          <w:p w14:paraId="328F49A8"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55</w:t>
            </w:r>
          </w:p>
        </w:tc>
        <w:tc>
          <w:tcPr>
            <w:tcW w:w="1129" w:type="dxa"/>
            <w:noWrap/>
            <w:hideMark/>
          </w:tcPr>
          <w:p w14:paraId="3E097F48"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44</w:t>
            </w:r>
          </w:p>
        </w:tc>
        <w:tc>
          <w:tcPr>
            <w:tcW w:w="1134" w:type="dxa"/>
            <w:noWrap/>
            <w:hideMark/>
          </w:tcPr>
          <w:p w14:paraId="0D64D16A"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36</w:t>
            </w:r>
          </w:p>
        </w:tc>
        <w:tc>
          <w:tcPr>
            <w:tcW w:w="997" w:type="dxa"/>
            <w:noWrap/>
            <w:hideMark/>
          </w:tcPr>
          <w:p w14:paraId="6FC28454"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30</w:t>
            </w:r>
          </w:p>
        </w:tc>
      </w:tr>
      <w:tr w:rsidR="00DC6BDD" w:rsidRPr="00DC6BDD" w14:paraId="4962BD36" w14:textId="77777777" w:rsidTr="004130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1738E2C5"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742" w:type="dxa"/>
            <w:noWrap/>
            <w:hideMark/>
          </w:tcPr>
          <w:p w14:paraId="7C604E2B"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410</w:t>
            </w:r>
          </w:p>
        </w:tc>
        <w:tc>
          <w:tcPr>
            <w:tcW w:w="959" w:type="dxa"/>
            <w:noWrap/>
            <w:hideMark/>
          </w:tcPr>
          <w:p w14:paraId="15A3C714"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68</w:t>
            </w:r>
          </w:p>
        </w:tc>
        <w:tc>
          <w:tcPr>
            <w:tcW w:w="993" w:type="dxa"/>
            <w:noWrap/>
            <w:hideMark/>
          </w:tcPr>
          <w:p w14:paraId="4718FCB1"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w:t>
            </w:r>
          </w:p>
        </w:tc>
        <w:tc>
          <w:tcPr>
            <w:tcW w:w="997" w:type="dxa"/>
            <w:noWrap/>
            <w:hideMark/>
          </w:tcPr>
          <w:p w14:paraId="24A2F582"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47</w:t>
            </w:r>
          </w:p>
        </w:tc>
        <w:tc>
          <w:tcPr>
            <w:tcW w:w="1129" w:type="dxa"/>
            <w:noWrap/>
            <w:hideMark/>
          </w:tcPr>
          <w:p w14:paraId="1AB14296"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37</w:t>
            </w:r>
          </w:p>
        </w:tc>
        <w:tc>
          <w:tcPr>
            <w:tcW w:w="1134" w:type="dxa"/>
            <w:noWrap/>
            <w:hideMark/>
          </w:tcPr>
          <w:p w14:paraId="1D543D7A"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28</w:t>
            </w:r>
          </w:p>
        </w:tc>
        <w:tc>
          <w:tcPr>
            <w:tcW w:w="997" w:type="dxa"/>
            <w:noWrap/>
            <w:hideMark/>
          </w:tcPr>
          <w:p w14:paraId="43C721A6"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22</w:t>
            </w:r>
          </w:p>
        </w:tc>
      </w:tr>
      <w:tr w:rsidR="00DC6BDD" w:rsidRPr="00DC6BDD" w14:paraId="661BEC8F" w14:textId="77777777" w:rsidTr="004130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6C01ADA3"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742" w:type="dxa"/>
            <w:noWrap/>
            <w:hideMark/>
          </w:tcPr>
          <w:p w14:paraId="176F2B12"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420</w:t>
            </w:r>
          </w:p>
        </w:tc>
        <w:tc>
          <w:tcPr>
            <w:tcW w:w="959" w:type="dxa"/>
            <w:noWrap/>
            <w:hideMark/>
          </w:tcPr>
          <w:p w14:paraId="1ED417E6"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61</w:t>
            </w:r>
          </w:p>
        </w:tc>
        <w:tc>
          <w:tcPr>
            <w:tcW w:w="993" w:type="dxa"/>
            <w:noWrap/>
            <w:hideMark/>
          </w:tcPr>
          <w:p w14:paraId="49A59B89"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50</w:t>
            </w:r>
          </w:p>
        </w:tc>
        <w:tc>
          <w:tcPr>
            <w:tcW w:w="997" w:type="dxa"/>
            <w:noWrap/>
            <w:hideMark/>
          </w:tcPr>
          <w:p w14:paraId="714CAD75"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41</w:t>
            </w:r>
          </w:p>
        </w:tc>
        <w:tc>
          <w:tcPr>
            <w:tcW w:w="1129" w:type="dxa"/>
            <w:noWrap/>
            <w:hideMark/>
          </w:tcPr>
          <w:p w14:paraId="25A767C7"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31</w:t>
            </w:r>
          </w:p>
        </w:tc>
        <w:tc>
          <w:tcPr>
            <w:tcW w:w="1134" w:type="dxa"/>
            <w:noWrap/>
            <w:hideMark/>
          </w:tcPr>
          <w:p w14:paraId="224503F4"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23</w:t>
            </w:r>
          </w:p>
        </w:tc>
        <w:tc>
          <w:tcPr>
            <w:tcW w:w="997" w:type="dxa"/>
            <w:noWrap/>
            <w:hideMark/>
          </w:tcPr>
          <w:p w14:paraId="4CB56621"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kern w:val="0"/>
                <w:sz w:val="22"/>
                <w:szCs w:val="22"/>
                <w:lang w:eastAsia="en-GB"/>
                <w14:ligatures w14:val="none"/>
              </w:rPr>
            </w:pPr>
            <w:r w:rsidRPr="00DC6BDD">
              <w:rPr>
                <w:rFonts w:ascii="Aptos Narrow" w:eastAsia="Times New Roman" w:hAnsi="Aptos Narrow" w:cs="Times New Roman"/>
                <w:kern w:val="0"/>
                <w:sz w:val="22"/>
                <w:szCs w:val="22"/>
                <w:lang w:eastAsia="en-GB"/>
                <w14:ligatures w14:val="none"/>
              </w:rPr>
              <w:t>16</w:t>
            </w:r>
          </w:p>
        </w:tc>
      </w:tr>
      <w:tr w:rsidR="00DC6BDD" w:rsidRPr="00DC6BDD" w14:paraId="05E50F9F" w14:textId="77777777" w:rsidTr="004130DD">
        <w:trPr>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584F0B5B"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742" w:type="dxa"/>
            <w:noWrap/>
            <w:hideMark/>
          </w:tcPr>
          <w:p w14:paraId="6B7380FE"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430</w:t>
            </w:r>
          </w:p>
        </w:tc>
        <w:tc>
          <w:tcPr>
            <w:tcW w:w="959" w:type="dxa"/>
            <w:noWrap/>
            <w:hideMark/>
          </w:tcPr>
          <w:p w14:paraId="49286F6F"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58</w:t>
            </w:r>
          </w:p>
        </w:tc>
        <w:tc>
          <w:tcPr>
            <w:tcW w:w="993" w:type="dxa"/>
            <w:noWrap/>
            <w:hideMark/>
          </w:tcPr>
          <w:p w14:paraId="2F47C32D"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47</w:t>
            </w:r>
          </w:p>
        </w:tc>
        <w:tc>
          <w:tcPr>
            <w:tcW w:w="997" w:type="dxa"/>
            <w:noWrap/>
            <w:hideMark/>
          </w:tcPr>
          <w:p w14:paraId="6F17649F"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38</w:t>
            </w:r>
          </w:p>
        </w:tc>
        <w:tc>
          <w:tcPr>
            <w:tcW w:w="1129" w:type="dxa"/>
            <w:noWrap/>
            <w:hideMark/>
          </w:tcPr>
          <w:p w14:paraId="6F7C0857"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28</w:t>
            </w:r>
          </w:p>
        </w:tc>
        <w:tc>
          <w:tcPr>
            <w:tcW w:w="1134" w:type="dxa"/>
            <w:noWrap/>
            <w:hideMark/>
          </w:tcPr>
          <w:p w14:paraId="0458F70F"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20</w:t>
            </w:r>
          </w:p>
        </w:tc>
        <w:tc>
          <w:tcPr>
            <w:tcW w:w="997" w:type="dxa"/>
            <w:noWrap/>
            <w:hideMark/>
          </w:tcPr>
          <w:p w14:paraId="640A9AE4" w14:textId="77777777" w:rsidR="00DC6BDD" w:rsidRPr="00DC6BDD" w:rsidRDefault="00DC6BDD" w:rsidP="00DC6BD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en-GB"/>
                <w14:ligatures w14:val="none"/>
              </w:rPr>
            </w:pPr>
            <w:r w:rsidRPr="00DC6BDD">
              <w:rPr>
                <w:rFonts w:ascii="Aptos Narrow" w:eastAsia="Times New Roman" w:hAnsi="Aptos Narrow" w:cs="Times New Roman"/>
                <w:kern w:val="0"/>
                <w:sz w:val="22"/>
                <w:szCs w:val="22"/>
                <w:lang w:eastAsia="en-GB"/>
                <w14:ligatures w14:val="none"/>
              </w:rPr>
              <w:t>13</w:t>
            </w:r>
          </w:p>
        </w:tc>
      </w:tr>
      <w:tr w:rsidR="00DC6BDD" w:rsidRPr="00DC6BDD" w14:paraId="52E2487C" w14:textId="77777777" w:rsidTr="004130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6" w:type="dxa"/>
            <w:vMerge/>
            <w:hideMark/>
          </w:tcPr>
          <w:p w14:paraId="3F9504BA" w14:textId="77777777" w:rsidR="00DC6BDD" w:rsidRPr="00DC6BDD" w:rsidRDefault="00DC6BDD" w:rsidP="00DC6BDD">
            <w:pPr>
              <w:rPr>
                <w:rFonts w:ascii="Aptos Narrow" w:eastAsia="Times New Roman" w:hAnsi="Aptos Narrow" w:cs="Times New Roman"/>
                <w:color w:val="000000"/>
                <w:kern w:val="0"/>
                <w:sz w:val="22"/>
                <w:szCs w:val="22"/>
                <w:lang w:eastAsia="en-GB"/>
                <w14:ligatures w14:val="none"/>
              </w:rPr>
            </w:pPr>
          </w:p>
        </w:tc>
        <w:tc>
          <w:tcPr>
            <w:tcW w:w="742" w:type="dxa"/>
            <w:noWrap/>
            <w:hideMark/>
          </w:tcPr>
          <w:p w14:paraId="52E335BA"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en-GB"/>
                <w14:ligatures w14:val="none"/>
              </w:rPr>
            </w:pPr>
            <w:r w:rsidRPr="00DC6BDD">
              <w:rPr>
                <w:rFonts w:ascii="Aptos Narrow" w:eastAsia="Times New Roman" w:hAnsi="Aptos Narrow" w:cs="Times New Roman"/>
                <w:b/>
                <w:bCs/>
                <w:color w:val="000000"/>
                <w:kern w:val="0"/>
                <w:sz w:val="22"/>
                <w:szCs w:val="22"/>
                <w:lang w:eastAsia="en-GB"/>
                <w14:ligatures w14:val="none"/>
              </w:rPr>
              <w:t>440</w:t>
            </w:r>
          </w:p>
        </w:tc>
        <w:tc>
          <w:tcPr>
            <w:tcW w:w="959" w:type="dxa"/>
            <w:noWrap/>
            <w:hideMark/>
          </w:tcPr>
          <w:p w14:paraId="7190F875"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56</w:t>
            </w:r>
          </w:p>
        </w:tc>
        <w:tc>
          <w:tcPr>
            <w:tcW w:w="993" w:type="dxa"/>
            <w:noWrap/>
            <w:hideMark/>
          </w:tcPr>
          <w:p w14:paraId="6198A32D"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46</w:t>
            </w:r>
          </w:p>
        </w:tc>
        <w:tc>
          <w:tcPr>
            <w:tcW w:w="997" w:type="dxa"/>
            <w:noWrap/>
            <w:hideMark/>
          </w:tcPr>
          <w:p w14:paraId="37B8ED29"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36</w:t>
            </w:r>
          </w:p>
        </w:tc>
        <w:tc>
          <w:tcPr>
            <w:tcW w:w="1129" w:type="dxa"/>
            <w:noWrap/>
            <w:hideMark/>
          </w:tcPr>
          <w:p w14:paraId="4C6F0261"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26</w:t>
            </w:r>
          </w:p>
        </w:tc>
        <w:tc>
          <w:tcPr>
            <w:tcW w:w="1134" w:type="dxa"/>
            <w:noWrap/>
            <w:hideMark/>
          </w:tcPr>
          <w:p w14:paraId="59BB1DD3"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n-GB"/>
                <w14:ligatures w14:val="none"/>
              </w:rPr>
            </w:pPr>
            <w:r w:rsidRPr="00DC6BDD">
              <w:rPr>
                <w:rFonts w:ascii="Aptos Narrow" w:eastAsia="Times New Roman" w:hAnsi="Aptos Narrow" w:cs="Times New Roman"/>
                <w:color w:val="000000"/>
                <w:kern w:val="0"/>
                <w:sz w:val="22"/>
                <w:szCs w:val="22"/>
                <w:lang w:eastAsia="en-GB"/>
                <w14:ligatures w14:val="none"/>
              </w:rPr>
              <w:t>18</w:t>
            </w:r>
          </w:p>
        </w:tc>
        <w:tc>
          <w:tcPr>
            <w:tcW w:w="997" w:type="dxa"/>
            <w:noWrap/>
            <w:hideMark/>
          </w:tcPr>
          <w:p w14:paraId="7A7418A4" w14:textId="77777777" w:rsidR="00DC6BDD" w:rsidRPr="00DC6BDD" w:rsidRDefault="00DC6BDD" w:rsidP="00DC6BD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kern w:val="0"/>
                <w:sz w:val="22"/>
                <w:szCs w:val="22"/>
                <w:lang w:eastAsia="en-GB"/>
                <w14:ligatures w14:val="none"/>
              </w:rPr>
            </w:pPr>
            <w:r w:rsidRPr="00DC6BDD">
              <w:rPr>
                <w:rFonts w:ascii="Aptos Narrow" w:eastAsia="Times New Roman" w:hAnsi="Aptos Narrow" w:cs="Times New Roman"/>
                <w:kern w:val="0"/>
                <w:sz w:val="22"/>
                <w:szCs w:val="22"/>
                <w:lang w:eastAsia="en-GB"/>
                <w14:ligatures w14:val="none"/>
              </w:rPr>
              <w:t>12</w:t>
            </w:r>
          </w:p>
        </w:tc>
      </w:tr>
    </w:tbl>
    <w:p w14:paraId="58A087B2" w14:textId="3640EFC6" w:rsidR="00DC6BDD" w:rsidRDefault="00DC6BDD"/>
    <w:p w14:paraId="7DAB9C09" w14:textId="00E00039" w:rsidR="00A740C9" w:rsidRDefault="004130DD">
      <w:r>
        <w:lastRenderedPageBreak/>
        <w:t>When maximising profit for the Bricks-and-Mortar scenario, whilst also trying to minimise the shortages, the optimum solution appears to be an ROP of 100 and a Q of 200. Thi</w:t>
      </w:r>
      <w:r w:rsidR="00A740C9">
        <w:t xml:space="preserve">s results in a mean shortage of 13 units over the quarter. Taking the same shortage from </w:t>
      </w:r>
      <w:r w:rsidR="00A740C9">
        <w:fldChar w:fldCharType="begin"/>
      </w:r>
      <w:r w:rsidR="00A740C9">
        <w:instrText xml:space="preserve"> REF _Ref179661383 \h </w:instrText>
      </w:r>
      <w:r w:rsidR="00A740C9">
        <w:fldChar w:fldCharType="separate"/>
      </w:r>
      <w:r w:rsidR="00A740C9">
        <w:t xml:space="preserve">Table </w:t>
      </w:r>
      <w:r w:rsidR="00A740C9">
        <w:rPr>
          <w:noProof/>
        </w:rPr>
        <w:t>4</w:t>
      </w:r>
      <w:r w:rsidR="00A740C9">
        <w:fldChar w:fldCharType="end"/>
      </w:r>
      <w:r w:rsidR="00A740C9">
        <w:t>, the cumulative probability can be plotted (</w:t>
      </w:r>
      <w:r w:rsidR="00A740C9">
        <w:fldChar w:fldCharType="begin"/>
      </w:r>
      <w:r w:rsidR="00A740C9">
        <w:instrText xml:space="preserve"> REF _Ref179662851 \h </w:instrText>
      </w:r>
      <w:r w:rsidR="00A740C9">
        <w:fldChar w:fldCharType="separate"/>
      </w:r>
      <w:r w:rsidR="00A740C9">
        <w:t xml:space="preserve">Figure </w:t>
      </w:r>
      <w:r w:rsidR="00A740C9">
        <w:rPr>
          <w:noProof/>
        </w:rPr>
        <w:t>1</w:t>
      </w:r>
      <w:r w:rsidR="00A740C9">
        <w:fldChar w:fldCharType="end"/>
      </w:r>
      <w:r w:rsidR="00A740C9">
        <w:t>).</w:t>
      </w:r>
    </w:p>
    <w:p w14:paraId="7C04316F" w14:textId="33004C99" w:rsidR="00A740C9" w:rsidRDefault="00A740C9">
      <w:r>
        <w:t>Here we can see there is a 60% chance of a shortage of 13 units or less over the quarter and a 50% chance of a profit of at least (£)559k. This is at least double the profit of the Bricks-and-Mortar with the same probability of shortage (</w:t>
      </w:r>
      <w:r>
        <w:fldChar w:fldCharType="begin"/>
      </w:r>
      <w:r>
        <w:instrText xml:space="preserve"> REF _Ref179663191 \h </w:instrText>
      </w:r>
      <w:r>
        <w:fldChar w:fldCharType="separate"/>
      </w:r>
      <w:r>
        <w:t xml:space="preserve">Figure </w:t>
      </w:r>
      <w:r>
        <w:rPr>
          <w:noProof/>
        </w:rPr>
        <w:t>2</w:t>
      </w:r>
      <w:r>
        <w:fldChar w:fldCharType="end"/>
      </w:r>
      <w:r>
        <w:t xml:space="preserve">).  </w:t>
      </w:r>
    </w:p>
    <w:p w14:paraId="516F3066" w14:textId="77777777" w:rsidR="00A740C9" w:rsidRDefault="00A740C9"/>
    <w:p w14:paraId="7440F668" w14:textId="77777777" w:rsidR="00A740C9" w:rsidRDefault="00A740C9" w:rsidP="00A740C9">
      <w:pPr>
        <w:keepNext/>
      </w:pPr>
      <w:r>
        <w:t xml:space="preserve"> </w:t>
      </w:r>
      <w:r>
        <w:rPr>
          <w:noProof/>
        </w:rPr>
        <w:drawing>
          <wp:inline distT="0" distB="0" distL="0" distR="0" wp14:anchorId="76D45C82" wp14:editId="484BC920">
            <wp:extent cx="5668818" cy="3705225"/>
            <wp:effectExtent l="0" t="0" r="8255" b="0"/>
            <wp:docPr id="2013281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2816" cy="3714375"/>
                    </a:xfrm>
                    <a:prstGeom prst="rect">
                      <a:avLst/>
                    </a:prstGeom>
                    <a:noFill/>
                  </pic:spPr>
                </pic:pic>
              </a:graphicData>
            </a:graphic>
          </wp:inline>
        </w:drawing>
      </w:r>
    </w:p>
    <w:p w14:paraId="239E312E" w14:textId="77E41281" w:rsidR="004130DD" w:rsidRDefault="00A740C9" w:rsidP="00A740C9">
      <w:pPr>
        <w:pStyle w:val="Caption"/>
      </w:pPr>
      <w:bookmarkStart w:id="5" w:name="_Ref179662851"/>
      <w:r>
        <w:t xml:space="preserve">Figure </w:t>
      </w:r>
      <w:fldSimple w:instr=" SEQ Figure \* ARABIC ">
        <w:r w:rsidR="00CD4412">
          <w:rPr>
            <w:noProof/>
          </w:rPr>
          <w:t>1</w:t>
        </w:r>
      </w:fldSimple>
      <w:bookmarkEnd w:id="5"/>
      <w:r>
        <w:t>: Cumulative probability of Profit and shortage for Digital scenario with ROP of 430 and Q of 420</w:t>
      </w:r>
    </w:p>
    <w:p w14:paraId="1F132FF9" w14:textId="77777777" w:rsidR="00A740C9" w:rsidRDefault="00A740C9" w:rsidP="00A740C9">
      <w:pPr>
        <w:keepNext/>
      </w:pPr>
      <w:r>
        <w:rPr>
          <w:noProof/>
        </w:rPr>
        <w:lastRenderedPageBreak/>
        <w:drawing>
          <wp:inline distT="0" distB="0" distL="0" distR="0" wp14:anchorId="402C51A0" wp14:editId="42D5E1C3">
            <wp:extent cx="5727108" cy="3743325"/>
            <wp:effectExtent l="0" t="0" r="6985" b="0"/>
            <wp:docPr id="1538085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763" cy="3755518"/>
                    </a:xfrm>
                    <a:prstGeom prst="rect">
                      <a:avLst/>
                    </a:prstGeom>
                    <a:noFill/>
                  </pic:spPr>
                </pic:pic>
              </a:graphicData>
            </a:graphic>
          </wp:inline>
        </w:drawing>
      </w:r>
    </w:p>
    <w:p w14:paraId="324152E6" w14:textId="44731829" w:rsidR="00A740C9" w:rsidRDefault="00A740C9" w:rsidP="00A740C9">
      <w:pPr>
        <w:pStyle w:val="Caption"/>
      </w:pPr>
      <w:bookmarkStart w:id="6" w:name="_Ref179663191"/>
      <w:r>
        <w:t xml:space="preserve">Figure </w:t>
      </w:r>
      <w:fldSimple w:instr=" SEQ Figure \* ARABIC ">
        <w:r w:rsidR="00CD4412">
          <w:rPr>
            <w:noProof/>
          </w:rPr>
          <w:t>2</w:t>
        </w:r>
      </w:fldSimple>
      <w:bookmarkEnd w:id="6"/>
      <w:r>
        <w:t>: Cumulative probability of profit and shortage for Bricks-and-Mortar scenario with ROP of 100 and Q of 200</w:t>
      </w:r>
    </w:p>
    <w:p w14:paraId="3D7F7D99" w14:textId="0ADCC431" w:rsidR="00A740C9" w:rsidRDefault="00A740C9" w:rsidP="00A740C9">
      <w:pPr>
        <w:pStyle w:val="Heading3"/>
        <w:numPr>
          <w:ilvl w:val="2"/>
          <w:numId w:val="3"/>
        </w:numPr>
      </w:pPr>
      <w:r>
        <w:t>Conclusion</w:t>
      </w:r>
    </w:p>
    <w:p w14:paraId="29DD860C" w14:textId="5D388097" w:rsidR="00A740C9" w:rsidRDefault="00A740C9" w:rsidP="00A740C9">
      <w:r>
        <w:t>Due to the increased delivery time, the ROP and Quantity need to be adjusted to be much higher than the Bricks-and-Mortar scenario, however</w:t>
      </w:r>
      <w:r w:rsidR="00B6693C">
        <w:t>,</w:t>
      </w:r>
      <w:r>
        <w:t xml:space="preserve"> due to the increased profit margin from 30% to 70% </w:t>
      </w:r>
      <w:r w:rsidR="00D46733">
        <w:t xml:space="preserve">means the profit is doubled with no compromise to the supply chain and average </w:t>
      </w:r>
      <w:r w:rsidR="00B6693C">
        <w:t>stock</w:t>
      </w:r>
      <w:r w:rsidR="00D46733">
        <w:t xml:space="preserve"> shortages. </w:t>
      </w:r>
    </w:p>
    <w:p w14:paraId="3A536B64" w14:textId="23E391B7" w:rsidR="00D46733" w:rsidRDefault="00D46733" w:rsidP="00A740C9">
      <w:r>
        <w:t xml:space="preserve">A shortage </w:t>
      </w:r>
      <w:r w:rsidR="00B6693C">
        <w:t>in</w:t>
      </w:r>
      <w:r>
        <w:t xml:space="preserve"> the Digital scenario is also not a true shortage, and sales are not lost, only delayed, meaning a higher shortage could be tolerated for a higher net profit. </w:t>
      </w:r>
    </w:p>
    <w:p w14:paraId="203FA0A5" w14:textId="4E65EA2A" w:rsidR="00D46733" w:rsidRDefault="00D46733" w:rsidP="00A740C9">
      <w:r>
        <w:t xml:space="preserve">Additional Monte Carlo simulations can be run for varying profit margins and Order </w:t>
      </w:r>
      <w:r w:rsidR="00B6693C">
        <w:t>Costs</w:t>
      </w:r>
      <w:r>
        <w:t xml:space="preserve"> when evaluating different suppliers. The simulation shown here is an extreme example, and the reality is likely somewhere between. </w:t>
      </w:r>
    </w:p>
    <w:p w14:paraId="689BCDB6" w14:textId="7F74B80B" w:rsidR="00D46733" w:rsidRDefault="00D46733" w:rsidP="00A740C9">
      <w:r>
        <w:t xml:space="preserve">It is recommended that when switching to an e-commerce solution with international suppliers, the ROP and Q are increased to allow for longer delivery times. </w:t>
      </w:r>
    </w:p>
    <w:p w14:paraId="3D5D349B" w14:textId="7B874A44" w:rsidR="00D46733" w:rsidRDefault="00D46733" w:rsidP="00D46733">
      <w:pPr>
        <w:pStyle w:val="Heading2"/>
        <w:numPr>
          <w:ilvl w:val="1"/>
          <w:numId w:val="3"/>
        </w:numPr>
      </w:pPr>
      <w:r>
        <w:t>Disaster Recovery and Business Continuity</w:t>
      </w:r>
    </w:p>
    <w:p w14:paraId="2DA9DE30" w14:textId="578C487A" w:rsidR="004F7C21" w:rsidRDefault="00617C5A" w:rsidP="004F7C21">
      <w:pPr>
        <w:pStyle w:val="Heading3"/>
        <w:numPr>
          <w:ilvl w:val="2"/>
          <w:numId w:val="3"/>
        </w:numPr>
      </w:pPr>
      <w:r>
        <w:t>Cloud Architecture</w:t>
      </w:r>
    </w:p>
    <w:p w14:paraId="3B2C1266" w14:textId="3541ED3F" w:rsidR="001D5634" w:rsidRDefault="00617C5A" w:rsidP="00617C5A">
      <w:r>
        <w:t xml:space="preserve">When considering the architecture used to host the e-commerce platform, the secure design principles provided by the National Cyber Security Centre can be used </w:t>
      </w:r>
      <w:r>
        <w:fldChar w:fldCharType="begin" w:fldLock="1"/>
      </w:r>
      <w:r w:rsidR="00CE3B43">
        <w:instrText>ADDIN CSL_CITATION {"citationItems":[{"id":"ITEM-1","itemData":{"URL":"https://www.ncsc.gov.uk/collection/cyber-security-design-principles","accessed":{"date-parts":[["2024","10","12"]]},"author":[{"dropping-particle":"","family":"National Cyber Security Centre","given":"","non-dropping-particle":"","parse-names":false,"suffix":""}],"id":"ITEM-1","issued":{"date-parts":[["2019"]]},"title":"Secure design principles - Guides for the design of cyber secure systems","type":"webpage"},"uris":["http://www.mendeley.com/documents/?uuid=6beea22c-82c5-42db-80fb-b30882dcb0b9"]}],"mendeley":{"formattedCitation":"(National Cyber Security Centre, 2019)","plainTextFormattedCitation":"(National Cyber Security Centre, 2019)","previouslyFormattedCitation":"(National Cyber Security Centre, 2019)"},"properties":{"noteIndex":0},"schema":"https://github.com/citation-style-language/schema/raw/master/csl-citation.json"}</w:instrText>
      </w:r>
      <w:r>
        <w:fldChar w:fldCharType="separate"/>
      </w:r>
      <w:r w:rsidRPr="00617C5A">
        <w:rPr>
          <w:noProof/>
        </w:rPr>
        <w:t>(National Cyber Security Centre, 2019)</w:t>
      </w:r>
      <w:r>
        <w:fldChar w:fldCharType="end"/>
      </w:r>
      <w:r>
        <w:t>.</w:t>
      </w:r>
    </w:p>
    <w:p w14:paraId="7E969852" w14:textId="77777777" w:rsidR="005C2B8D" w:rsidRDefault="005C2B8D" w:rsidP="00617C5A"/>
    <w:p w14:paraId="34BB1731" w14:textId="77777777" w:rsidR="001D5634" w:rsidRDefault="001D5634" w:rsidP="00617C5A">
      <w:pPr>
        <w:rPr>
          <w:b/>
          <w:bCs/>
        </w:rPr>
      </w:pPr>
      <w:r w:rsidRPr="001D5634">
        <w:rPr>
          <w:b/>
          <w:bCs/>
        </w:rPr>
        <w:lastRenderedPageBreak/>
        <w:t>Principle 1: Establish context</w:t>
      </w:r>
    </w:p>
    <w:p w14:paraId="209E9448" w14:textId="1FB883D9" w:rsidR="001D5634" w:rsidRDefault="001D5634" w:rsidP="00617C5A">
      <w:r>
        <w:t xml:space="preserve">The data stored contains sensitive customer data, leading to the </w:t>
      </w:r>
      <w:r w:rsidR="00B6693C">
        <w:t>threat</w:t>
      </w:r>
      <w:r>
        <w:t xml:space="preserve"> of fraud. Given the high profile of some of the customers, there is also the </w:t>
      </w:r>
      <w:r w:rsidR="00B6693C">
        <w:t>threat</w:t>
      </w:r>
      <w:r>
        <w:t xml:space="preserve"> to personal safety. </w:t>
      </w:r>
    </w:p>
    <w:p w14:paraId="1F989775" w14:textId="487EE4A5" w:rsidR="001D5634" w:rsidRDefault="001D5634" w:rsidP="00617C5A">
      <w:r>
        <w:t xml:space="preserve">Customer information included name, address and payment details. There is clear legal basis for holding this information under GDPR </w:t>
      </w:r>
      <w:r w:rsidR="00CE3B43">
        <w:fldChar w:fldCharType="begin" w:fldLock="1"/>
      </w:r>
      <w:r w:rsidR="00796156">
        <w:instrText>ADDIN CSL_CITATION {"citationItems":[{"id":"ITEM-1","itemData":{"author":[{"dropping-particle":"","family":"Council of the European Parliament","given":"","non-dropping-particle":"","parse-names":false,"suffix":""}],"container-title":"Official Journal of the European Union","id":"ITEM-1","issued":{"date-parts":[["2016"]]},"title":"Regulation (EU) 2016/679 (General Data Protection Regulations)","type":"article-journal"},"uris":["http://www.mendeley.com/documents/?uuid=339a5067-520a-435d-b5a0-c79cd2ffa14e"]}],"mendeley":{"formattedCitation":"(Council of the European Parliament, 2016)","plainTextFormattedCitation":"(Council of the European Parliament, 2016)","previouslyFormattedCitation":"(Council of the European Parliament, 2016)"},"properties":{"noteIndex":0},"schema":"https://github.com/citation-style-language/schema/raw/master/csl-citation.json"}</w:instrText>
      </w:r>
      <w:r w:rsidR="00CE3B43">
        <w:fldChar w:fldCharType="separate"/>
      </w:r>
      <w:r w:rsidR="00CE3B43" w:rsidRPr="00CE3B43">
        <w:rPr>
          <w:noProof/>
        </w:rPr>
        <w:t>(Council of the European Parliament, 2016)</w:t>
      </w:r>
      <w:r w:rsidR="00CE3B43">
        <w:fldChar w:fldCharType="end"/>
      </w:r>
      <w:r w:rsidR="00CE3B43">
        <w:t xml:space="preserve">. </w:t>
      </w:r>
    </w:p>
    <w:p w14:paraId="0ACC173C" w14:textId="04A6D335" w:rsidR="00CE3B43" w:rsidRDefault="00CE3B43" w:rsidP="00617C5A">
      <w:r>
        <w:t>Clear and strong governance should be in place, minimising any additional information, and clear opt</w:t>
      </w:r>
      <w:r w:rsidR="00796156">
        <w:t>-</w:t>
      </w:r>
      <w:r>
        <w:t xml:space="preserve">out for any </w:t>
      </w:r>
      <w:r w:rsidR="00081865">
        <w:t>long-term</w:t>
      </w:r>
      <w:r>
        <w:t xml:space="preserve"> storage of data (e.g. </w:t>
      </w:r>
      <w:r w:rsidR="00B6693C">
        <w:t xml:space="preserve">an </w:t>
      </w:r>
      <w:r>
        <w:t>option to “check-out as guest”).</w:t>
      </w:r>
      <w:r w:rsidR="00081865">
        <w:t xml:space="preserve"> Additionally, shared responsibility should be clear. </w:t>
      </w:r>
      <w:r w:rsidR="00232AA0">
        <w:fldChar w:fldCharType="begin"/>
      </w:r>
      <w:r w:rsidR="00232AA0">
        <w:instrText xml:space="preserve"> REF _Ref179665961 \h </w:instrText>
      </w:r>
      <w:r w:rsidR="00232AA0">
        <w:fldChar w:fldCharType="separate"/>
      </w:r>
      <w:r w:rsidR="00232AA0">
        <w:t xml:space="preserve">Figure </w:t>
      </w:r>
      <w:r w:rsidR="00232AA0">
        <w:rPr>
          <w:noProof/>
        </w:rPr>
        <w:t>3</w:t>
      </w:r>
      <w:r w:rsidR="00232AA0">
        <w:fldChar w:fldCharType="end"/>
      </w:r>
      <w:r w:rsidR="00232AA0">
        <w:t xml:space="preserve"> shows the shared responsibility models for cloud platforms </w:t>
      </w:r>
      <w:r w:rsidR="00232AA0">
        <w:fldChar w:fldCharType="begin" w:fldLock="1"/>
      </w:r>
      <w:r w:rsidR="00A91598">
        <w:instrText>ADDIN CSL_CITATION {"citationItems":[{"id":"ITEM-1","itemData":{"URL":"https://www.ncsc.gov.uk/collection/cloud/understanding-cloud-services/cloud-security-shared-responsibility-model","accessed":{"date-parts":[["2024","10","12"]]},"author":[{"dropping-particle":"","family":"National Cyber Security Centre","given":"","non-dropping-particle":"","parse-names":false,"suffix":""}],"id":"ITEM-1","issued":{"date-parts":[["2022"]]},"title":"Cloud security guidance","type":"webpage"},"uris":["http://www.mendeley.com/documents/?uuid=45475f1e-a898-4efb-8579-18f3982d163c"]}],"mendeley":{"formattedCitation":"(National Cyber Security Centre, 2022)","plainTextFormattedCitation":"(National Cyber Security Centre, 2022)","previouslyFormattedCitation":"(National Cyber Security Centre, 2022)"},"properties":{"noteIndex":0},"schema":"https://github.com/citation-style-language/schema/raw/master/csl-citation.json"}</w:instrText>
      </w:r>
      <w:r w:rsidR="00232AA0">
        <w:fldChar w:fldCharType="separate"/>
      </w:r>
      <w:r w:rsidR="00232AA0" w:rsidRPr="00232AA0">
        <w:rPr>
          <w:noProof/>
        </w:rPr>
        <w:t>(National Cyber Security Centre, 2022)</w:t>
      </w:r>
      <w:r w:rsidR="00232AA0">
        <w:fldChar w:fldCharType="end"/>
      </w:r>
      <w:r w:rsidR="00232AA0">
        <w:t xml:space="preserve">. </w:t>
      </w:r>
      <w:r w:rsidR="00C67762">
        <w:t xml:space="preserve">Software as a Service increases the risks related to vendor lock-in. Infrastructure as a Service places too much risk ownership on the organisation. A Platform as a Service is a good compromise of risk ownership. </w:t>
      </w:r>
    </w:p>
    <w:p w14:paraId="2D1328E6" w14:textId="68D5B3E5" w:rsidR="00CE3B43" w:rsidRDefault="00CE3B43" w:rsidP="00617C5A">
      <w:pPr>
        <w:rPr>
          <w:b/>
          <w:bCs/>
        </w:rPr>
      </w:pPr>
      <w:r>
        <w:rPr>
          <w:b/>
          <w:bCs/>
        </w:rPr>
        <w:t>Principle 2: Make compromise difficult</w:t>
      </w:r>
    </w:p>
    <w:p w14:paraId="6F69408B" w14:textId="0DC1E23B" w:rsidR="00CE3B43" w:rsidRDefault="00796156" w:rsidP="00617C5A">
      <w:r>
        <w:t xml:space="preserve">Administration of any system should require secure authorisation, implementing multi-factor authentication as a minimum. </w:t>
      </w:r>
    </w:p>
    <w:p w14:paraId="33FDAB88" w14:textId="069FAB15" w:rsidR="00796156" w:rsidRDefault="00796156" w:rsidP="00617C5A">
      <w:r>
        <w:t xml:space="preserve">Any additional software or systems employed, such as the secure payment method, should be able to provide evidence of compliance with relevant security standards. The compliance and validity of any credentials should be regularly audited, and in-depth due diligence should be performed. </w:t>
      </w:r>
    </w:p>
    <w:p w14:paraId="68AE3F52" w14:textId="46B4B8AC" w:rsidR="00796156" w:rsidRDefault="00796156" w:rsidP="00617C5A">
      <w:pPr>
        <w:rPr>
          <w:b/>
          <w:bCs/>
        </w:rPr>
      </w:pPr>
      <w:r>
        <w:rPr>
          <w:b/>
          <w:bCs/>
        </w:rPr>
        <w:t>Principle 3: Make disruption difficult</w:t>
      </w:r>
    </w:p>
    <w:p w14:paraId="3097B325" w14:textId="41192737" w:rsidR="00796156" w:rsidRDefault="00796156" w:rsidP="00617C5A">
      <w:r>
        <w:t xml:space="preserve">Using </w:t>
      </w:r>
      <w:r w:rsidR="00B6693C">
        <w:t>cloud-based</w:t>
      </w:r>
      <w:r>
        <w:t xml:space="preserve"> services allows for scalability, ensuring disruption is not caused by infrastructure capacity limitations. </w:t>
      </w:r>
    </w:p>
    <w:p w14:paraId="031D5AFD" w14:textId="14993055" w:rsidR="00796156" w:rsidRDefault="00796156" w:rsidP="00617C5A">
      <w:r>
        <w:t xml:space="preserve">An active-active solution will ensure disruption is minimal in the event of a failure. A multi-cloud strategy </w:t>
      </w:r>
      <w:r>
        <w:fldChar w:fldCharType="begin" w:fldLock="1"/>
      </w:r>
      <w:r w:rsidR="00B6693C">
        <w:instrText>ADDIN CSL_CITATION {"citationItems":[{"id":"ITEM-1","itemData":{"author":[{"dropping-particle":"","family":"Sekar","given":"Jeyasri","non-dropping-particle":"","parse-names":false,"suffix":""}],"container-title":"Journal of Emerging Technologies and Innovative Research","id":"ITEM-1","issue":"5","issued":{"date-parts":[["2023"]]},"page":"600-610","title":"Multi-Cloud Strategies for Distributed AI Workflows and Application","type":"article-journal","volume":"10"},"uris":["http://www.mendeley.com/documents/?uuid=c0f42a50-e8c8-4037-a47f-82b7b23d7b23"]}],"mendeley":{"formattedCitation":"(Sekar, 2023)","plainTextFormattedCitation":"(Sekar, 2023)","previouslyFormattedCitation":"(Sekar, 2023)"},"properties":{"noteIndex":0},"schema":"https://github.com/citation-style-language/schema/raw/master/csl-citation.json"}</w:instrText>
      </w:r>
      <w:r>
        <w:fldChar w:fldCharType="separate"/>
      </w:r>
      <w:r w:rsidRPr="00796156">
        <w:rPr>
          <w:noProof/>
        </w:rPr>
        <w:t>(Sekar, 2023)</w:t>
      </w:r>
      <w:r>
        <w:fldChar w:fldCharType="end"/>
      </w:r>
      <w:r>
        <w:t xml:space="preserve"> can also be implemented. This mitigates the risks of a single supplier being the cause of </w:t>
      </w:r>
      <w:r w:rsidR="00B6693C">
        <w:t xml:space="preserve">an </w:t>
      </w:r>
      <w:r>
        <w:t xml:space="preserve">outage, such as the recent </w:t>
      </w:r>
      <w:proofErr w:type="spellStart"/>
      <w:r>
        <w:t>CloudStrike</w:t>
      </w:r>
      <w:proofErr w:type="spellEnd"/>
      <w:r>
        <w:t xml:space="preserve"> incident </w:t>
      </w:r>
      <w:r>
        <w:fldChar w:fldCharType="begin" w:fldLock="1"/>
      </w:r>
      <w:r w:rsidR="00081865">
        <w:instrText>ADDIN CSL_CITATION {"citationItems":[{"id":"ITEM-1","itemData":{"DOI":"10.1109/ACCESS.2024.3455410","ISSN":"21693536","abstract":"The detection of zero-day attacks remains one of the most critical challenges in cybersecurity. This systematic literature review delves into the various methods employed for detecting zero-day attacks, identifying both the strengths and weaknesses of these approaches. By critically evaluating existing literature, this review provides new insights and highlights the gaps that future research must address. The findings suggest that while machine learning and artificial intelligence offer promising solutions, there are significant challenges related to data availability, algorithmic complexity, and real-time application. This review contributes to the field by providing a comprehensive analysis of current methods and proposing future research directions to enhance zero-day attack detection. The recent CrowdStrike incident, where the company successfully thwarted a sophisticated zero-day attack, underscores the importance and urgency of advancing our detection capabilities.","author":[{"dropping-particle":"","family":"Por","given":"Lip Yee","non-dropping-particle":"","parse-names":false,"suffix":""},{"dropping-particle":"","family":"Dai","given":"Zhen","non-dropping-particle":"","parse-names":false,"suffix":""},{"dropping-particle":"","family":"Leem","given":"Siew Juan","non-dropping-particle":"","parse-names":false,"suffix":""},{"dropping-particle":"","family":"Chen","given":"Yi","non-dropping-particle":"","parse-names":false,"suffix":""},{"dropping-particle":"","family":"Yang","given":"Jing","non-dropping-particle":"","parse-names":false,"suffix":""},{"dropping-particle":"","family":"Binbeshr","given":"Farid","non-dropping-particle":"","parse-names":false,"suffix":""},{"dropping-particle":"","family":"Phan","given":"Koo Yuen","non-dropping-particle":"","parse-names":false,"suffix":""},{"dropping-particle":"","family":"Ku","given":"Chin Soon","non-dropping-particle":"","parse-names":false,"suffix":""}],"container-title":"IEEE Access","id":"ITEM-1","issue":"September","issued":{"date-parts":[["2024"]]},"page":"144150-144163","publisher":"IEEE","title":"A Systematic Literature Review on the Methods and Challenges in Detecting Zero-Day Attacks: Insights from the Recent CrowdStrike Incident","type":"article-journal","volume":"12"},"uris":["http://www.mendeley.com/documents/?uuid=3bcbfaf9-7bbe-44a5-8bdc-23e15ea803d4"]}],"mendeley":{"formattedCitation":"(Por et al., 2024)","plainTextFormattedCitation":"(Por et al., 2024)","previouslyFormattedCitation":"(Por et al., 2024)"},"properties":{"noteIndex":0},"schema":"https://github.com/citation-style-language/schema/raw/master/csl-citation.json"}</w:instrText>
      </w:r>
      <w:r>
        <w:fldChar w:fldCharType="separate"/>
      </w:r>
      <w:r w:rsidRPr="00796156">
        <w:rPr>
          <w:noProof/>
        </w:rPr>
        <w:t>(Por et al., 2024)</w:t>
      </w:r>
      <w:r>
        <w:fldChar w:fldCharType="end"/>
      </w:r>
      <w:r>
        <w:t xml:space="preserve">. </w:t>
      </w:r>
    </w:p>
    <w:p w14:paraId="5AB9E95C" w14:textId="170A04C8" w:rsidR="00796156" w:rsidRDefault="00E06ED4" w:rsidP="00617C5A">
      <w:pPr>
        <w:rPr>
          <w:b/>
          <w:bCs/>
        </w:rPr>
      </w:pPr>
      <w:r>
        <w:rPr>
          <w:b/>
          <w:bCs/>
        </w:rPr>
        <w:t>Principle 4: Make compromise detection easier</w:t>
      </w:r>
    </w:p>
    <w:p w14:paraId="4A47035B" w14:textId="0A72FB13" w:rsidR="00E06ED4" w:rsidRDefault="00E06ED4" w:rsidP="00617C5A">
      <w:r>
        <w:t xml:space="preserve">A shared central database (with its own replication) should be employed by a third </w:t>
      </w:r>
      <w:r w:rsidR="00081865">
        <w:t>provider or</w:t>
      </w:r>
      <w:r>
        <w:t xml:space="preserve"> implemented completely independently of the application databases if stored in one of the original providers. </w:t>
      </w:r>
    </w:p>
    <w:p w14:paraId="4A74E36C" w14:textId="09362BD4" w:rsidR="00E06ED4" w:rsidRDefault="00E06ED4" w:rsidP="00617C5A">
      <w:r>
        <w:t xml:space="preserve">A regular </w:t>
      </w:r>
      <w:proofErr w:type="spellStart"/>
      <w:r>
        <w:t>Chksum</w:t>
      </w:r>
      <w:proofErr w:type="spellEnd"/>
      <w:r>
        <w:t xml:space="preserve"> should be performed using hash keys and other data integrity tools for all data synchronisations. Any </w:t>
      </w:r>
      <w:proofErr w:type="spellStart"/>
      <w:r>
        <w:t>Chksum</w:t>
      </w:r>
      <w:proofErr w:type="spellEnd"/>
      <w:r>
        <w:t xml:space="preserve"> failures will quickly identify any compromise in data quality, validity or security. </w:t>
      </w:r>
    </w:p>
    <w:p w14:paraId="7F14B2F9" w14:textId="77777777" w:rsidR="004448C0" w:rsidRDefault="004448C0" w:rsidP="00617C5A">
      <w:pPr>
        <w:rPr>
          <w:b/>
          <w:bCs/>
        </w:rPr>
      </w:pPr>
    </w:p>
    <w:p w14:paraId="64917518" w14:textId="2A6851BE" w:rsidR="00E06ED4" w:rsidRDefault="00E06ED4" w:rsidP="00617C5A">
      <w:pPr>
        <w:rPr>
          <w:b/>
          <w:bCs/>
        </w:rPr>
      </w:pPr>
      <w:r>
        <w:rPr>
          <w:b/>
          <w:bCs/>
        </w:rPr>
        <w:lastRenderedPageBreak/>
        <w:t>Principle 5: Reduce the impact of compromise</w:t>
      </w:r>
    </w:p>
    <w:p w14:paraId="4F77A54F" w14:textId="5BF81661" w:rsidR="00E06ED4" w:rsidRDefault="00E06ED4" w:rsidP="00E06ED4">
      <w:r>
        <w:t xml:space="preserve">A high availability RPO and RTO of one minute each has been requested. The best way to ensure this is to implement two cloud providers, running simultaneously, with a load balancer directing traffic to both providers and synchronizing shared data between the providers. This will allow essentially zero downtime, as there is always a live system available accepting traffic. </w:t>
      </w:r>
    </w:p>
    <w:p w14:paraId="56CE2070" w14:textId="4466337F" w:rsidR="00081865" w:rsidRDefault="00081865" w:rsidP="00E06ED4">
      <w:r>
        <w:t xml:space="preserve">In addition, to the multi-cloud solution, each cloud provider can be configured to allow active-active high availability systems, operating from multiple geographic availably zones. Returning to Principle 2, due diligence should be performed to ensure the cloud provider does not store any data in a geographic location not permitted by GDPR. The main cloud providers are generally GDPR compliant </w:t>
      </w:r>
      <w:r>
        <w:fldChar w:fldCharType="begin" w:fldLock="1"/>
      </w:r>
      <w:r w:rsidR="00232AA0">
        <w:instrText>ADDIN CSL_CITATION {"citationItems":[{"id":"ITEM-1","itemData":{"URL":"https://azure.microsoft.com/en-us/blog/protecting-privacy-in-microsoft-azure-gdpr-azure-policy-updates/","accessed":{"date-parts":[["2024","10","12"]]},"author":[{"dropping-particle":"","family":"Microsoft Azure","given":"","non-dropping-particle":"","parse-names":false,"suffix":""}],"id":"ITEM-1","issued":{"date-parts":[["2018"]]},"title":"Protecting privacy in Microsoft Azure: GDPR, Azure Policy Updates","type":"webpage"},"uris":["http://www.mendeley.com/documents/?uuid=dc9644ee-4823-4a26-9ea5-8a24b5ddc6e8"]},{"id":"ITEM-2","itemData":{"URL":"https://aws.amazon.com/blogs/security/all-aws-services-gdpr-ready/","accessed":{"date-parts":[["2024","12","12"]]},"author":[{"dropping-particle":"","family":"Woolf","given":"Chad","non-dropping-particle":"","parse-names":false,"suffix":""}],"id":"ITEM-2","issued":{"date-parts":[["2018"]]},"title":"All AWS Services GDPR ready","type":"webpage"},"uris":["http://www.mendeley.com/documents/?uuid=95731fdb-b608-4bf6-9837-e4ea57f8b110"]}],"mendeley":{"formattedCitation":"(Microsoft Azure, 2018; Woolf, 2018)","plainTextFormattedCitation":"(Microsoft Azure, 2018; Woolf, 2018)","previouslyFormattedCitation":"(Microsoft Azure, 2018; Woolf, 2018)"},"properties":{"noteIndex":0},"schema":"https://github.com/citation-style-language/schema/raw/master/csl-citation.json"}</w:instrText>
      </w:r>
      <w:r>
        <w:fldChar w:fldCharType="separate"/>
      </w:r>
      <w:r w:rsidRPr="00081865">
        <w:rPr>
          <w:noProof/>
        </w:rPr>
        <w:t>(Microsoft Azure, 2018; Woolf, 2018)</w:t>
      </w:r>
      <w:r>
        <w:fldChar w:fldCharType="end"/>
      </w:r>
      <w:r>
        <w:t xml:space="preserve">. </w:t>
      </w:r>
    </w:p>
    <w:p w14:paraId="322C0994" w14:textId="50D25EDD" w:rsidR="00081865" w:rsidRPr="00796156" w:rsidRDefault="00081865" w:rsidP="00E06ED4">
      <w:r>
        <w:t xml:space="preserve">The proposed architecture is shown in </w:t>
      </w:r>
      <w:r>
        <w:fldChar w:fldCharType="begin"/>
      </w:r>
      <w:r>
        <w:instrText xml:space="preserve"> REF _Ref179666059 \h </w:instrText>
      </w:r>
      <w:r>
        <w:fldChar w:fldCharType="separate"/>
      </w:r>
      <w:r>
        <w:t xml:space="preserve">Figure </w:t>
      </w:r>
      <w:r>
        <w:rPr>
          <w:noProof/>
        </w:rPr>
        <w:t>4</w:t>
      </w:r>
      <w:r>
        <w:fldChar w:fldCharType="end"/>
      </w:r>
      <w:r>
        <w:t xml:space="preserve">. Here the two “front-end” cloud providers </w:t>
      </w:r>
      <w:r w:rsidR="00B6693C">
        <w:t>are</w:t>
      </w:r>
      <w:r>
        <w:t xml:space="preserve"> Microsoft Azure, and Amazon Web Services (AWS), with the shared database hosted by IBM. </w:t>
      </w:r>
    </w:p>
    <w:p w14:paraId="55B77877" w14:textId="77777777" w:rsidR="00E06ED4" w:rsidRPr="00E06ED4" w:rsidRDefault="00E06ED4" w:rsidP="00617C5A">
      <w:pPr>
        <w:rPr>
          <w:b/>
          <w:bCs/>
        </w:rPr>
      </w:pPr>
    </w:p>
    <w:p w14:paraId="76E16861" w14:textId="77777777" w:rsidR="00081865" w:rsidRDefault="00081865" w:rsidP="00081865">
      <w:pPr>
        <w:keepNext/>
      </w:pPr>
      <w:r w:rsidRPr="00CD4412">
        <w:rPr>
          <w:b/>
          <w:bCs/>
          <w:noProof/>
        </w:rPr>
        <w:drawing>
          <wp:inline distT="0" distB="0" distL="0" distR="0" wp14:anchorId="640BE43A" wp14:editId="373F6761">
            <wp:extent cx="5731510" cy="3453130"/>
            <wp:effectExtent l="0" t="0" r="2540" b="0"/>
            <wp:docPr id="1344101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01581" name="Picture 1" descr="A screenshot of a computer&#10;&#10;Description automatically generated"/>
                    <pic:cNvPicPr/>
                  </pic:nvPicPr>
                  <pic:blipFill>
                    <a:blip r:embed="rId9"/>
                    <a:stretch>
                      <a:fillRect/>
                    </a:stretch>
                  </pic:blipFill>
                  <pic:spPr>
                    <a:xfrm>
                      <a:off x="0" y="0"/>
                      <a:ext cx="5731510" cy="3453130"/>
                    </a:xfrm>
                    <a:prstGeom prst="rect">
                      <a:avLst/>
                    </a:prstGeom>
                  </pic:spPr>
                </pic:pic>
              </a:graphicData>
            </a:graphic>
          </wp:inline>
        </w:drawing>
      </w:r>
    </w:p>
    <w:p w14:paraId="406E56FC" w14:textId="5751F67E" w:rsidR="00081865" w:rsidRDefault="00081865" w:rsidP="00081865">
      <w:pPr>
        <w:pStyle w:val="Caption"/>
      </w:pPr>
      <w:bookmarkStart w:id="7" w:name="_Ref179665961"/>
      <w:r>
        <w:t xml:space="preserve">Figure </w:t>
      </w:r>
      <w:fldSimple w:instr=" SEQ Figure \* ARABIC ">
        <w:r>
          <w:rPr>
            <w:noProof/>
          </w:rPr>
          <w:t>3</w:t>
        </w:r>
      </w:fldSimple>
      <w:bookmarkEnd w:id="7"/>
      <w:r>
        <w:t>: Shared responsibility for cloud platforms</w:t>
      </w:r>
    </w:p>
    <w:p w14:paraId="0B16AABD" w14:textId="4CE1C7A3" w:rsidR="00617C5A" w:rsidRPr="00617C5A" w:rsidRDefault="00617C5A" w:rsidP="00617C5A"/>
    <w:p w14:paraId="338BC1F1" w14:textId="77777777" w:rsidR="00617C5A" w:rsidRDefault="00617C5A" w:rsidP="00617C5A"/>
    <w:p w14:paraId="627CD7E4" w14:textId="77777777" w:rsidR="00617C5A" w:rsidRDefault="00617C5A" w:rsidP="00617C5A"/>
    <w:p w14:paraId="603BF624" w14:textId="77777777" w:rsidR="00617C5A" w:rsidRPr="00617C5A" w:rsidRDefault="00617C5A" w:rsidP="00617C5A"/>
    <w:p w14:paraId="0E90A909" w14:textId="77777777" w:rsidR="00B25E79" w:rsidRDefault="00B25E79" w:rsidP="00D46733"/>
    <w:p w14:paraId="7B968727" w14:textId="77777777" w:rsidR="00B25E79" w:rsidRDefault="00B25E79" w:rsidP="00B25E79">
      <w:pPr>
        <w:keepNext/>
        <w:jc w:val="center"/>
      </w:pPr>
      <w:r>
        <w:rPr>
          <w:noProof/>
        </w:rPr>
        <w:drawing>
          <wp:inline distT="0" distB="0" distL="0" distR="0" wp14:anchorId="02C09D92" wp14:editId="3269A994">
            <wp:extent cx="4581525" cy="5334000"/>
            <wp:effectExtent l="0" t="0" r="9525" b="0"/>
            <wp:docPr id="598304940"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04940" name="Picture 4"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1525" cy="5334000"/>
                    </a:xfrm>
                    <a:prstGeom prst="rect">
                      <a:avLst/>
                    </a:prstGeom>
                  </pic:spPr>
                </pic:pic>
              </a:graphicData>
            </a:graphic>
          </wp:inline>
        </w:drawing>
      </w:r>
    </w:p>
    <w:p w14:paraId="0C67E997" w14:textId="3FDEED5D" w:rsidR="00B25E79" w:rsidRDefault="00B25E79" w:rsidP="00B25E79">
      <w:pPr>
        <w:pStyle w:val="Caption"/>
      </w:pPr>
      <w:bookmarkStart w:id="8" w:name="_Ref179666059"/>
      <w:bookmarkStart w:id="9" w:name="_Ref179720462"/>
      <w:r>
        <w:t xml:space="preserve">Figure </w:t>
      </w:r>
      <w:fldSimple w:instr=" SEQ Figure \* ARABIC ">
        <w:r w:rsidR="00081865">
          <w:rPr>
            <w:noProof/>
          </w:rPr>
          <w:t>4</w:t>
        </w:r>
      </w:fldSimple>
      <w:bookmarkEnd w:id="8"/>
      <w:r>
        <w:t>: Proposed High Availability, multi-cloud solution.</w:t>
      </w:r>
      <w:bookmarkEnd w:id="9"/>
    </w:p>
    <w:p w14:paraId="00954BE1" w14:textId="77777777" w:rsidR="00CD4412" w:rsidRDefault="00CD4412" w:rsidP="00CD4412"/>
    <w:p w14:paraId="7B3118CE" w14:textId="77777777" w:rsidR="00232AA0" w:rsidRDefault="00232AA0" w:rsidP="00CD4412"/>
    <w:p w14:paraId="5CD23296" w14:textId="70ECCB36" w:rsidR="00232AA0" w:rsidRDefault="00C67762" w:rsidP="00C67762">
      <w:pPr>
        <w:pStyle w:val="Heading2"/>
        <w:numPr>
          <w:ilvl w:val="1"/>
          <w:numId w:val="3"/>
        </w:numPr>
      </w:pPr>
      <w:r>
        <w:t>Final Conclusions</w:t>
      </w:r>
      <w:r w:rsidR="00CA3886">
        <w:t xml:space="preserve"> and recommendations</w:t>
      </w:r>
    </w:p>
    <w:p w14:paraId="04466540" w14:textId="492C20FE" w:rsidR="00CA3886" w:rsidRDefault="00CA3886" w:rsidP="00CA3886">
      <w:r>
        <w:t xml:space="preserve">Making any change to business practices results in risk. </w:t>
      </w:r>
      <w:r w:rsidR="00A91598">
        <w:t xml:space="preserve">The level of acceptable risk is the decision of the risk owner. </w:t>
      </w:r>
    </w:p>
    <w:p w14:paraId="719FD711" w14:textId="318E19C8" w:rsidR="00A91598" w:rsidRDefault="00A91598" w:rsidP="00CA3886">
      <w:r>
        <w:t xml:space="preserve">Adopting an international supplier to reduce purchase costs and increase profit, will ultimately delay delivery, and will need to be offset by the increased reorder point and quantity ordered. That said, adjusting ROP and Q to be of a similar level to existing practices, still yields a net profit of over double. </w:t>
      </w:r>
    </w:p>
    <w:p w14:paraId="74136B68" w14:textId="6A92A676" w:rsidR="00A91598" w:rsidRDefault="00A91598" w:rsidP="00CA3886">
      <w:r>
        <w:lastRenderedPageBreak/>
        <w:t xml:space="preserve">Additionally, </w:t>
      </w:r>
      <w:r w:rsidR="00B6693C">
        <w:t xml:space="preserve">a </w:t>
      </w:r>
      <w:r>
        <w:t xml:space="preserve">stock shortage does not result in lost sales for an e-commerce set-up, only a delay, meaning the risk to the business </w:t>
      </w:r>
      <w:r w:rsidR="00B6693C">
        <w:t>is</w:t>
      </w:r>
      <w:r>
        <w:t xml:space="preserve"> minimal. </w:t>
      </w:r>
    </w:p>
    <w:p w14:paraId="105498D7" w14:textId="7457587D" w:rsidR="00A91598" w:rsidRDefault="00A91598" w:rsidP="00CA3886">
      <w:r>
        <w:t xml:space="preserve">When setting up the e-commerce platform, and digitising the business, </w:t>
      </w:r>
      <w:r w:rsidR="00B6693C">
        <w:t>to</w:t>
      </w:r>
      <w:r>
        <w:t xml:space="preserve"> achieve an RPO and RTO of less than a minute, then a </w:t>
      </w:r>
      <w:r w:rsidR="00B6693C">
        <w:t>high-availability</w:t>
      </w:r>
      <w:r>
        <w:t xml:space="preserve"> solution is required, running on multiple live cloud platforms and a shared isolated database. </w:t>
      </w:r>
    </w:p>
    <w:p w14:paraId="2C48FA18" w14:textId="5912BFE4" w:rsidR="00A91598" w:rsidRPr="00CA3886" w:rsidRDefault="00A91598" w:rsidP="00CA3886">
      <w:r>
        <w:t>Following the design principles outlined by the National Cyber Security Centre</w:t>
      </w:r>
      <w:r w:rsidR="00B6693C">
        <w:t xml:space="preserve"> </w:t>
      </w:r>
      <w:r>
        <w:fldChar w:fldCharType="begin" w:fldLock="1"/>
      </w:r>
      <w:r w:rsidR="00B6693C">
        <w:instrText>ADDIN CSL_CITATION {"citationItems":[{"id":"ITEM-1","itemData":{"URL":"https://www.ncsc.gov.uk/collection/cyber-security-design-principles","accessed":{"date-parts":[["2024","10","12"]]},"author":[{"dropping-particle":"","family":"National Cyber Security Centre","given":"","non-dropping-particle":"","parse-names":false,"suffix":""}],"id":"ITEM-1","issued":{"date-parts":[["2019"]]},"title":"Secure design principles - Guides for the design of cyber secure systems","type":"webpage"},"uris":["http://www.mendeley.com/documents/?uuid=6beea22c-82c5-42db-80fb-b30882dcb0b9"]}],"mendeley":{"formattedCitation":"(National Cyber Security Centre, 2019)","plainTextFormattedCitation":"(National Cyber Security Centre, 2019)","previouslyFormattedCitation":"(National Cyber Security Centre, 2019)"},"properties":{"noteIndex":0},"schema":"https://github.com/citation-style-language/schema/raw/master/csl-citation.json"}</w:instrText>
      </w:r>
      <w:r>
        <w:fldChar w:fldCharType="separate"/>
      </w:r>
      <w:r w:rsidRPr="00A91598">
        <w:rPr>
          <w:noProof/>
        </w:rPr>
        <w:t>(National Cyber Security Centre, 2019)</w:t>
      </w:r>
      <w:r>
        <w:fldChar w:fldCharType="end"/>
      </w:r>
      <w:r>
        <w:t xml:space="preserve">, the security of the system can be maximised, ensuring risk to the organisation and customers is minimised. </w:t>
      </w:r>
    </w:p>
    <w:p w14:paraId="69695AC9" w14:textId="77777777" w:rsidR="00C67762" w:rsidRPr="00C67762" w:rsidRDefault="00C67762" w:rsidP="00C67762"/>
    <w:p w14:paraId="153A5EF5" w14:textId="77777777" w:rsidR="00232AA0" w:rsidRPr="00CD4412" w:rsidRDefault="00232AA0" w:rsidP="00CD4412"/>
    <w:p w14:paraId="78874A23" w14:textId="44C93A0D" w:rsidR="004D5D7D" w:rsidRDefault="004D5D7D" w:rsidP="00C67762"/>
    <w:p w14:paraId="734E67DD" w14:textId="77777777" w:rsidR="004D5D7D" w:rsidRDefault="004D5D7D" w:rsidP="00617C5A"/>
    <w:p w14:paraId="7FD16868" w14:textId="2BEFCC57" w:rsidR="008C0F7C" w:rsidRDefault="008C0F7C" w:rsidP="00B01C8A">
      <w:pPr>
        <w:pStyle w:val="ListParagraph"/>
        <w:numPr>
          <w:ilvl w:val="0"/>
          <w:numId w:val="4"/>
        </w:numPr>
      </w:pPr>
      <w:r>
        <w:br w:type="page"/>
      </w:r>
    </w:p>
    <w:p w14:paraId="3D3EFCD1" w14:textId="506E6FBB" w:rsidR="008C0F7C" w:rsidRDefault="008C0F7C" w:rsidP="008C0F7C">
      <w:pPr>
        <w:pStyle w:val="Heading1"/>
      </w:pPr>
      <w:r>
        <w:lastRenderedPageBreak/>
        <w:t>References</w:t>
      </w:r>
    </w:p>
    <w:p w14:paraId="16D8E9DC" w14:textId="7EF662DB" w:rsidR="00B6693C" w:rsidRPr="00B6693C" w:rsidRDefault="008C0F7C" w:rsidP="00B6693C">
      <w:pPr>
        <w:widowControl w:val="0"/>
        <w:autoSpaceDE w:val="0"/>
        <w:autoSpaceDN w:val="0"/>
        <w:adjustRightInd w:val="0"/>
        <w:spacing w:line="240" w:lineRule="auto"/>
        <w:ind w:left="480" w:hanging="480"/>
        <w:rPr>
          <w:rFonts w:ascii="Aptos" w:hAnsi="Aptos" w:cs="Times New Roman"/>
          <w:noProof/>
          <w:kern w:val="0"/>
        </w:rPr>
      </w:pPr>
      <w:r>
        <w:fldChar w:fldCharType="begin" w:fldLock="1"/>
      </w:r>
      <w:r>
        <w:instrText xml:space="preserve">ADDIN Mendeley Bibliography CSL_BIBLIOGRAPHY </w:instrText>
      </w:r>
      <w:r>
        <w:fldChar w:fldCharType="separate"/>
      </w:r>
      <w:r w:rsidR="00B6693C" w:rsidRPr="00B6693C">
        <w:rPr>
          <w:rFonts w:ascii="Aptos" w:hAnsi="Aptos" w:cs="Times New Roman"/>
          <w:noProof/>
          <w:kern w:val="0"/>
        </w:rPr>
        <w:t>Council of the European Parliament</w:t>
      </w:r>
      <w:r w:rsidR="00502D54">
        <w:rPr>
          <w:rFonts w:ascii="Aptos" w:hAnsi="Aptos" w:cs="Times New Roman"/>
          <w:noProof/>
          <w:kern w:val="0"/>
        </w:rPr>
        <w:t>.</w:t>
      </w:r>
      <w:r w:rsidR="00B6693C" w:rsidRPr="00B6693C">
        <w:rPr>
          <w:rFonts w:ascii="Aptos" w:hAnsi="Aptos" w:cs="Times New Roman"/>
          <w:noProof/>
          <w:kern w:val="0"/>
        </w:rPr>
        <w:t xml:space="preserve"> (2016) Regulation (EU) 2016/679 (General Data Protection Regulations). </w:t>
      </w:r>
      <w:r w:rsidR="00B6693C" w:rsidRPr="00B6693C">
        <w:rPr>
          <w:rFonts w:ascii="Aptos" w:hAnsi="Aptos" w:cs="Times New Roman"/>
          <w:i/>
          <w:iCs/>
          <w:noProof/>
          <w:kern w:val="0"/>
        </w:rPr>
        <w:t>Official Journal of the European Union</w:t>
      </w:r>
      <w:r w:rsidR="00B6693C" w:rsidRPr="00B6693C">
        <w:rPr>
          <w:rFonts w:ascii="Aptos" w:hAnsi="Aptos" w:cs="Times New Roman"/>
          <w:noProof/>
          <w:kern w:val="0"/>
        </w:rPr>
        <w:t>. https://gdpr-info.eu/</w:t>
      </w:r>
    </w:p>
    <w:p w14:paraId="1A90514D" w14:textId="1B22920C" w:rsidR="00B6693C" w:rsidRPr="00B6693C" w:rsidRDefault="00B6693C" w:rsidP="00B6693C">
      <w:pPr>
        <w:widowControl w:val="0"/>
        <w:autoSpaceDE w:val="0"/>
        <w:autoSpaceDN w:val="0"/>
        <w:adjustRightInd w:val="0"/>
        <w:spacing w:line="240" w:lineRule="auto"/>
        <w:ind w:left="480" w:hanging="480"/>
        <w:rPr>
          <w:rFonts w:ascii="Aptos" w:hAnsi="Aptos" w:cs="Times New Roman"/>
          <w:noProof/>
          <w:kern w:val="0"/>
        </w:rPr>
      </w:pPr>
      <w:r w:rsidRPr="00B6693C">
        <w:rPr>
          <w:rFonts w:ascii="Aptos" w:hAnsi="Aptos" w:cs="Times New Roman"/>
          <w:noProof/>
          <w:kern w:val="0"/>
        </w:rPr>
        <w:t xml:space="preserve">Eckstein, J., &amp; Riedmueller, S. T. (2002) YASAI: Yet Another Add-in for Teaching Elementary Monte Carlo Simulation in Excel. </w:t>
      </w:r>
      <w:r w:rsidRPr="00B6693C">
        <w:rPr>
          <w:rFonts w:ascii="Aptos" w:hAnsi="Aptos" w:cs="Times New Roman"/>
          <w:i/>
          <w:iCs/>
          <w:noProof/>
          <w:kern w:val="0"/>
        </w:rPr>
        <w:t>INFORMS Transactions on Education</w:t>
      </w:r>
      <w:r w:rsidRPr="00B6693C">
        <w:rPr>
          <w:rFonts w:ascii="Aptos" w:hAnsi="Aptos" w:cs="Times New Roman"/>
          <w:noProof/>
          <w:kern w:val="0"/>
        </w:rPr>
        <w:t xml:space="preserve">, </w:t>
      </w:r>
      <w:r w:rsidRPr="00502D54">
        <w:rPr>
          <w:rFonts w:ascii="Aptos" w:hAnsi="Aptos" w:cs="Times New Roman"/>
          <w:noProof/>
          <w:kern w:val="0"/>
        </w:rPr>
        <w:t>2</w:t>
      </w:r>
      <w:r w:rsidRPr="00B6693C">
        <w:rPr>
          <w:rFonts w:ascii="Aptos" w:hAnsi="Aptos" w:cs="Times New Roman"/>
          <w:noProof/>
          <w:kern w:val="0"/>
        </w:rPr>
        <w:t>(2)</w:t>
      </w:r>
      <w:r w:rsidR="00502D54">
        <w:rPr>
          <w:rFonts w:ascii="Aptos" w:hAnsi="Aptos" w:cs="Times New Roman"/>
          <w:noProof/>
          <w:kern w:val="0"/>
        </w:rPr>
        <w:t>:</w:t>
      </w:r>
      <w:r w:rsidRPr="00B6693C">
        <w:rPr>
          <w:rFonts w:ascii="Aptos" w:hAnsi="Aptos" w:cs="Times New Roman"/>
          <w:noProof/>
          <w:kern w:val="0"/>
        </w:rPr>
        <w:t xml:space="preserve"> 12–26. </w:t>
      </w:r>
      <w:r w:rsidR="00502D54">
        <w:rPr>
          <w:rFonts w:ascii="Aptos" w:hAnsi="Aptos" w:cs="Times New Roman"/>
          <w:noProof/>
          <w:kern w:val="0"/>
        </w:rPr>
        <w:t xml:space="preserve">DOI: </w:t>
      </w:r>
      <w:r w:rsidRPr="00B6693C">
        <w:rPr>
          <w:rFonts w:ascii="Aptos" w:hAnsi="Aptos" w:cs="Times New Roman"/>
          <w:noProof/>
          <w:kern w:val="0"/>
        </w:rPr>
        <w:t>https://doi.org/10.1287/ited.2.2.12</w:t>
      </w:r>
    </w:p>
    <w:p w14:paraId="2D8BA92D" w14:textId="1C322F93" w:rsidR="00B6693C" w:rsidRPr="00B6693C" w:rsidRDefault="00B6693C" w:rsidP="00B6693C">
      <w:pPr>
        <w:widowControl w:val="0"/>
        <w:autoSpaceDE w:val="0"/>
        <w:autoSpaceDN w:val="0"/>
        <w:adjustRightInd w:val="0"/>
        <w:spacing w:line="240" w:lineRule="auto"/>
        <w:ind w:left="480" w:hanging="480"/>
        <w:rPr>
          <w:rFonts w:ascii="Aptos" w:hAnsi="Aptos" w:cs="Times New Roman"/>
          <w:noProof/>
          <w:kern w:val="0"/>
        </w:rPr>
      </w:pPr>
      <w:r w:rsidRPr="00B6693C">
        <w:rPr>
          <w:rFonts w:ascii="Aptos" w:hAnsi="Aptos" w:cs="Times New Roman"/>
          <w:noProof/>
          <w:kern w:val="0"/>
        </w:rPr>
        <w:t xml:space="preserve">ERPLY. (2024) </w:t>
      </w:r>
      <w:r w:rsidRPr="00502D54">
        <w:rPr>
          <w:rFonts w:ascii="Aptos" w:hAnsi="Aptos" w:cs="Times New Roman"/>
          <w:noProof/>
          <w:kern w:val="0"/>
        </w:rPr>
        <w:t>Pros And Cons Of Starting A Pet Supplies Business.</w:t>
      </w:r>
      <w:r w:rsidRPr="00B6693C">
        <w:rPr>
          <w:rFonts w:ascii="Aptos" w:hAnsi="Aptos" w:cs="Times New Roman"/>
          <w:noProof/>
          <w:kern w:val="0"/>
        </w:rPr>
        <w:t xml:space="preserve"> </w:t>
      </w:r>
      <w:r w:rsidR="00502D54">
        <w:rPr>
          <w:rFonts w:ascii="Aptos" w:hAnsi="Aptos" w:cs="Times New Roman"/>
          <w:noProof/>
          <w:kern w:val="0"/>
        </w:rPr>
        <w:t xml:space="preserve">Available from: </w:t>
      </w:r>
      <w:r w:rsidRPr="00B6693C">
        <w:rPr>
          <w:rFonts w:ascii="Aptos" w:hAnsi="Aptos" w:cs="Times New Roman"/>
          <w:noProof/>
          <w:kern w:val="0"/>
        </w:rPr>
        <w:t>https://erply.com/pros-and-cons-of-starting-a-pet-supplies-business</w:t>
      </w:r>
      <w:r w:rsidR="00502D54">
        <w:rPr>
          <w:rFonts w:ascii="Aptos" w:hAnsi="Aptos" w:cs="Times New Roman"/>
          <w:noProof/>
          <w:kern w:val="0"/>
        </w:rPr>
        <w:t xml:space="preserve"> [Accessed 12 October 2024]</w:t>
      </w:r>
    </w:p>
    <w:p w14:paraId="61E5F1A5" w14:textId="6375D4E3" w:rsidR="00B6693C" w:rsidRPr="00B6693C" w:rsidRDefault="00B6693C" w:rsidP="00B6693C">
      <w:pPr>
        <w:widowControl w:val="0"/>
        <w:autoSpaceDE w:val="0"/>
        <w:autoSpaceDN w:val="0"/>
        <w:adjustRightInd w:val="0"/>
        <w:spacing w:line="240" w:lineRule="auto"/>
        <w:ind w:left="480" w:hanging="480"/>
        <w:rPr>
          <w:rFonts w:ascii="Aptos" w:hAnsi="Aptos" w:cs="Times New Roman"/>
          <w:noProof/>
          <w:kern w:val="0"/>
        </w:rPr>
      </w:pPr>
      <w:r w:rsidRPr="00B6693C">
        <w:rPr>
          <w:rFonts w:ascii="Aptos" w:hAnsi="Aptos" w:cs="Times New Roman"/>
          <w:noProof/>
          <w:kern w:val="0"/>
        </w:rPr>
        <w:t xml:space="preserve">Microsoft Azure. (2018) </w:t>
      </w:r>
      <w:r w:rsidRPr="00502D54">
        <w:rPr>
          <w:rFonts w:ascii="Aptos" w:hAnsi="Aptos" w:cs="Times New Roman"/>
          <w:noProof/>
          <w:kern w:val="0"/>
        </w:rPr>
        <w:t>Protecting privacy in Microsoft Azure: GDPR, Azure Policy Updates</w:t>
      </w:r>
      <w:r w:rsidRPr="00B6693C">
        <w:rPr>
          <w:rFonts w:ascii="Aptos" w:hAnsi="Aptos" w:cs="Times New Roman"/>
          <w:noProof/>
          <w:kern w:val="0"/>
        </w:rPr>
        <w:t>.</w:t>
      </w:r>
      <w:r w:rsidR="00502D54">
        <w:rPr>
          <w:rFonts w:ascii="Aptos" w:hAnsi="Aptos" w:cs="Times New Roman"/>
          <w:noProof/>
          <w:kern w:val="0"/>
        </w:rPr>
        <w:t xml:space="preserve"> Available from: </w:t>
      </w:r>
      <w:r w:rsidRPr="00B6693C">
        <w:rPr>
          <w:rFonts w:ascii="Aptos" w:hAnsi="Aptos" w:cs="Times New Roman"/>
          <w:noProof/>
          <w:kern w:val="0"/>
        </w:rPr>
        <w:t xml:space="preserve"> https://azure.microsoft.com/en-us/blog/protecting-privacy-in-microsoft-azure-gdpr-azure-policy-updates/</w:t>
      </w:r>
      <w:r w:rsidR="00502D54">
        <w:rPr>
          <w:rFonts w:ascii="Aptos" w:hAnsi="Aptos" w:cs="Times New Roman"/>
          <w:noProof/>
          <w:kern w:val="0"/>
        </w:rPr>
        <w:t xml:space="preserve"> [Accessed 12 October 2024]</w:t>
      </w:r>
    </w:p>
    <w:p w14:paraId="4D744006" w14:textId="23AAE5A8" w:rsidR="00B6693C" w:rsidRPr="00B6693C" w:rsidRDefault="00B6693C" w:rsidP="00B6693C">
      <w:pPr>
        <w:widowControl w:val="0"/>
        <w:autoSpaceDE w:val="0"/>
        <w:autoSpaceDN w:val="0"/>
        <w:adjustRightInd w:val="0"/>
        <w:spacing w:line="240" w:lineRule="auto"/>
        <w:ind w:left="480" w:hanging="480"/>
        <w:rPr>
          <w:rFonts w:ascii="Aptos" w:hAnsi="Aptos" w:cs="Times New Roman"/>
          <w:noProof/>
          <w:kern w:val="0"/>
        </w:rPr>
      </w:pPr>
      <w:r w:rsidRPr="00B6693C">
        <w:rPr>
          <w:rFonts w:ascii="Aptos" w:hAnsi="Aptos" w:cs="Times New Roman"/>
          <w:noProof/>
          <w:kern w:val="0"/>
        </w:rPr>
        <w:t xml:space="preserve">National Cyber Security Centre. (2019) </w:t>
      </w:r>
      <w:r w:rsidRPr="00502D54">
        <w:rPr>
          <w:rFonts w:ascii="Aptos" w:hAnsi="Aptos" w:cs="Times New Roman"/>
          <w:noProof/>
          <w:kern w:val="0"/>
        </w:rPr>
        <w:t>Secure design principles - Guides for the design of cyber secure systems.</w:t>
      </w:r>
      <w:r w:rsidRPr="00B6693C">
        <w:rPr>
          <w:rFonts w:ascii="Aptos" w:hAnsi="Aptos" w:cs="Times New Roman"/>
          <w:noProof/>
          <w:kern w:val="0"/>
        </w:rPr>
        <w:t xml:space="preserve"> </w:t>
      </w:r>
      <w:r w:rsidR="00502D54">
        <w:rPr>
          <w:rFonts w:ascii="Aptos" w:hAnsi="Aptos" w:cs="Times New Roman"/>
          <w:noProof/>
          <w:kern w:val="0"/>
        </w:rPr>
        <w:t xml:space="preserve">Available from: </w:t>
      </w:r>
      <w:r w:rsidRPr="00B6693C">
        <w:rPr>
          <w:rFonts w:ascii="Aptos" w:hAnsi="Aptos" w:cs="Times New Roman"/>
          <w:noProof/>
          <w:kern w:val="0"/>
        </w:rPr>
        <w:t>https://www.ncsc.gov.uk/collection/cyber-security-design-principles</w:t>
      </w:r>
      <w:r w:rsidR="00502D54">
        <w:rPr>
          <w:rFonts w:ascii="Aptos" w:hAnsi="Aptos" w:cs="Times New Roman"/>
          <w:noProof/>
          <w:kern w:val="0"/>
        </w:rPr>
        <w:t xml:space="preserve"> [Accessed 12 October 2024]</w:t>
      </w:r>
    </w:p>
    <w:p w14:paraId="7FC91465" w14:textId="0747694D" w:rsidR="00B6693C" w:rsidRPr="00B6693C" w:rsidRDefault="00B6693C" w:rsidP="00B6693C">
      <w:pPr>
        <w:widowControl w:val="0"/>
        <w:autoSpaceDE w:val="0"/>
        <w:autoSpaceDN w:val="0"/>
        <w:adjustRightInd w:val="0"/>
        <w:spacing w:line="240" w:lineRule="auto"/>
        <w:ind w:left="480" w:hanging="480"/>
        <w:rPr>
          <w:rFonts w:ascii="Aptos" w:hAnsi="Aptos" w:cs="Times New Roman"/>
          <w:noProof/>
          <w:kern w:val="0"/>
        </w:rPr>
      </w:pPr>
      <w:r w:rsidRPr="00B6693C">
        <w:rPr>
          <w:rFonts w:ascii="Aptos" w:hAnsi="Aptos" w:cs="Times New Roman"/>
          <w:noProof/>
          <w:kern w:val="0"/>
        </w:rPr>
        <w:t xml:space="preserve">National Cyber Security Centre. (2022) </w:t>
      </w:r>
      <w:r w:rsidRPr="00502D54">
        <w:rPr>
          <w:rFonts w:ascii="Aptos" w:hAnsi="Aptos" w:cs="Times New Roman"/>
          <w:noProof/>
          <w:kern w:val="0"/>
        </w:rPr>
        <w:t>Cloud security guidance.</w:t>
      </w:r>
      <w:r w:rsidRPr="00B6693C">
        <w:rPr>
          <w:rFonts w:ascii="Aptos" w:hAnsi="Aptos" w:cs="Times New Roman"/>
          <w:noProof/>
          <w:kern w:val="0"/>
        </w:rPr>
        <w:t xml:space="preserve"> </w:t>
      </w:r>
      <w:r w:rsidR="00502D54">
        <w:rPr>
          <w:rFonts w:ascii="Aptos" w:hAnsi="Aptos" w:cs="Times New Roman"/>
          <w:noProof/>
          <w:kern w:val="0"/>
        </w:rPr>
        <w:t xml:space="preserve">Available from: </w:t>
      </w:r>
      <w:r w:rsidRPr="00B6693C">
        <w:rPr>
          <w:rFonts w:ascii="Aptos" w:hAnsi="Aptos" w:cs="Times New Roman"/>
          <w:noProof/>
          <w:kern w:val="0"/>
        </w:rPr>
        <w:t>https://www.ncsc.gov.uk/collection/cloud/understanding-cloud-services/cloud-security-shared-responsibility-model</w:t>
      </w:r>
      <w:r w:rsidR="00502D54">
        <w:rPr>
          <w:rFonts w:ascii="Aptos" w:hAnsi="Aptos" w:cs="Times New Roman"/>
          <w:noProof/>
          <w:kern w:val="0"/>
        </w:rPr>
        <w:t xml:space="preserve"> [Accessed 12 October 2024]</w:t>
      </w:r>
    </w:p>
    <w:p w14:paraId="60206E4F" w14:textId="44A56E71" w:rsidR="00B6693C" w:rsidRPr="00B6693C" w:rsidRDefault="00B6693C" w:rsidP="00B6693C">
      <w:pPr>
        <w:widowControl w:val="0"/>
        <w:autoSpaceDE w:val="0"/>
        <w:autoSpaceDN w:val="0"/>
        <w:adjustRightInd w:val="0"/>
        <w:spacing w:line="240" w:lineRule="auto"/>
        <w:ind w:left="480" w:hanging="480"/>
        <w:rPr>
          <w:rFonts w:ascii="Aptos" w:hAnsi="Aptos" w:cs="Times New Roman"/>
          <w:noProof/>
          <w:kern w:val="0"/>
        </w:rPr>
      </w:pPr>
      <w:r w:rsidRPr="00B6693C">
        <w:rPr>
          <w:rFonts w:ascii="Aptos" w:hAnsi="Aptos" w:cs="Times New Roman"/>
          <w:noProof/>
          <w:kern w:val="0"/>
        </w:rPr>
        <w:t xml:space="preserve">Olson, D. L., &amp; Wu, D. (2020) </w:t>
      </w:r>
      <w:r w:rsidRPr="00B6693C">
        <w:rPr>
          <w:rFonts w:ascii="Aptos" w:hAnsi="Aptos" w:cs="Times New Roman"/>
          <w:i/>
          <w:iCs/>
          <w:noProof/>
          <w:kern w:val="0"/>
        </w:rPr>
        <w:t>Enterprise Risk Management Models</w:t>
      </w:r>
      <w:r w:rsidR="00502D54">
        <w:rPr>
          <w:rFonts w:ascii="Aptos" w:hAnsi="Aptos" w:cs="Times New Roman"/>
          <w:i/>
          <w:iCs/>
          <w:noProof/>
          <w:kern w:val="0"/>
        </w:rPr>
        <w:t>.</w:t>
      </w:r>
      <w:r w:rsidRPr="00B6693C">
        <w:rPr>
          <w:rFonts w:ascii="Aptos" w:hAnsi="Aptos" w:cs="Times New Roman"/>
          <w:noProof/>
          <w:kern w:val="0"/>
        </w:rPr>
        <w:t xml:space="preserve"> 3rd ed. </w:t>
      </w:r>
      <w:r w:rsidR="00502D54">
        <w:rPr>
          <w:rFonts w:ascii="Aptos" w:hAnsi="Aptos" w:cs="Times New Roman"/>
          <w:noProof/>
          <w:kern w:val="0"/>
        </w:rPr>
        <w:t xml:space="preserve">Berlin: </w:t>
      </w:r>
      <w:r w:rsidRPr="00B6693C">
        <w:rPr>
          <w:rFonts w:ascii="Aptos" w:hAnsi="Aptos" w:cs="Times New Roman"/>
          <w:noProof/>
          <w:kern w:val="0"/>
        </w:rPr>
        <w:t xml:space="preserve">Springer Nature. </w:t>
      </w:r>
      <w:r w:rsidR="00502D54">
        <w:rPr>
          <w:rFonts w:ascii="Aptos" w:hAnsi="Aptos" w:cs="Times New Roman"/>
          <w:noProof/>
          <w:kern w:val="0"/>
        </w:rPr>
        <w:t xml:space="preserve">DOI: </w:t>
      </w:r>
      <w:r w:rsidRPr="00B6693C">
        <w:rPr>
          <w:rFonts w:ascii="Aptos" w:hAnsi="Aptos" w:cs="Times New Roman"/>
          <w:noProof/>
          <w:kern w:val="0"/>
        </w:rPr>
        <w:t>https://doi.org/https://doi.org/10.1007/978-3-662-60608-7</w:t>
      </w:r>
    </w:p>
    <w:p w14:paraId="5734C435" w14:textId="359704E3" w:rsidR="00B6693C" w:rsidRPr="00B6693C" w:rsidRDefault="00B6693C" w:rsidP="00B6693C">
      <w:pPr>
        <w:widowControl w:val="0"/>
        <w:autoSpaceDE w:val="0"/>
        <w:autoSpaceDN w:val="0"/>
        <w:adjustRightInd w:val="0"/>
        <w:spacing w:line="240" w:lineRule="auto"/>
        <w:ind w:left="480" w:hanging="480"/>
        <w:rPr>
          <w:rFonts w:ascii="Aptos" w:hAnsi="Aptos" w:cs="Times New Roman"/>
          <w:noProof/>
          <w:kern w:val="0"/>
        </w:rPr>
      </w:pPr>
      <w:r w:rsidRPr="00B6693C">
        <w:rPr>
          <w:rFonts w:ascii="Aptos" w:hAnsi="Aptos" w:cs="Times New Roman"/>
          <w:noProof/>
          <w:kern w:val="0"/>
        </w:rPr>
        <w:t xml:space="preserve">Por, L. Y., Dai, Z., Leem, S. J., Chen, Y., Yang, J., Binbeshr, F., Phan, K. Y., &amp; Ku, C. S. (2024) A Systematic Literature Review on the Methods and Challenges in Detecting Zero-Day Attacks: Insights from the Recent CrowdStrike Incident. </w:t>
      </w:r>
      <w:r w:rsidRPr="00B6693C">
        <w:rPr>
          <w:rFonts w:ascii="Aptos" w:hAnsi="Aptos" w:cs="Times New Roman"/>
          <w:i/>
          <w:iCs/>
          <w:noProof/>
          <w:kern w:val="0"/>
        </w:rPr>
        <w:t>IEEE Access</w:t>
      </w:r>
      <w:r w:rsidRPr="00B6693C">
        <w:rPr>
          <w:rFonts w:ascii="Aptos" w:hAnsi="Aptos" w:cs="Times New Roman"/>
          <w:noProof/>
          <w:kern w:val="0"/>
        </w:rPr>
        <w:t xml:space="preserve">, </w:t>
      </w:r>
      <w:r w:rsidRPr="00502D54">
        <w:rPr>
          <w:rFonts w:ascii="Aptos" w:hAnsi="Aptos" w:cs="Times New Roman"/>
          <w:noProof/>
          <w:kern w:val="0"/>
        </w:rPr>
        <w:t>12</w:t>
      </w:r>
      <w:r w:rsidRPr="00B6693C">
        <w:rPr>
          <w:rFonts w:ascii="Aptos" w:hAnsi="Aptos" w:cs="Times New Roman"/>
          <w:noProof/>
          <w:kern w:val="0"/>
        </w:rPr>
        <w:t>(September)</w:t>
      </w:r>
      <w:r w:rsidR="00502D54">
        <w:rPr>
          <w:rFonts w:ascii="Aptos" w:hAnsi="Aptos" w:cs="Times New Roman"/>
          <w:noProof/>
          <w:kern w:val="0"/>
        </w:rPr>
        <w:t>:</w:t>
      </w:r>
      <w:r w:rsidRPr="00B6693C">
        <w:rPr>
          <w:rFonts w:ascii="Aptos" w:hAnsi="Aptos" w:cs="Times New Roman"/>
          <w:noProof/>
          <w:kern w:val="0"/>
        </w:rPr>
        <w:t xml:space="preserve"> 144150–144163.</w:t>
      </w:r>
      <w:r w:rsidR="00502D54">
        <w:rPr>
          <w:rFonts w:ascii="Aptos" w:hAnsi="Aptos" w:cs="Times New Roman"/>
          <w:noProof/>
          <w:kern w:val="0"/>
        </w:rPr>
        <w:t xml:space="preserve"> DOI:</w:t>
      </w:r>
      <w:r w:rsidRPr="00B6693C">
        <w:rPr>
          <w:rFonts w:ascii="Aptos" w:hAnsi="Aptos" w:cs="Times New Roman"/>
          <w:noProof/>
          <w:kern w:val="0"/>
        </w:rPr>
        <w:t xml:space="preserve"> https://doi.org/10.1109/ACCESS.2024.3455410</w:t>
      </w:r>
    </w:p>
    <w:p w14:paraId="1E581A98" w14:textId="06E58DD6" w:rsidR="00B6693C" w:rsidRPr="00B6693C" w:rsidRDefault="00B6693C" w:rsidP="00B6693C">
      <w:pPr>
        <w:widowControl w:val="0"/>
        <w:autoSpaceDE w:val="0"/>
        <w:autoSpaceDN w:val="0"/>
        <w:adjustRightInd w:val="0"/>
        <w:spacing w:line="240" w:lineRule="auto"/>
        <w:ind w:left="480" w:hanging="480"/>
        <w:rPr>
          <w:rFonts w:ascii="Aptos" w:hAnsi="Aptos" w:cs="Times New Roman"/>
          <w:noProof/>
          <w:kern w:val="0"/>
        </w:rPr>
      </w:pPr>
      <w:r w:rsidRPr="00B6693C">
        <w:rPr>
          <w:rFonts w:ascii="Aptos" w:hAnsi="Aptos" w:cs="Times New Roman"/>
          <w:noProof/>
          <w:kern w:val="0"/>
        </w:rPr>
        <w:t xml:space="preserve">Sekar, J. (2023) Multi-Cloud Strategies for Distributed AI Workflows and Application. </w:t>
      </w:r>
      <w:r w:rsidRPr="00B6693C">
        <w:rPr>
          <w:rFonts w:ascii="Aptos" w:hAnsi="Aptos" w:cs="Times New Roman"/>
          <w:i/>
          <w:iCs/>
          <w:noProof/>
          <w:kern w:val="0"/>
        </w:rPr>
        <w:t>Journal of Emerging Technologies and Innovative Research</w:t>
      </w:r>
      <w:r w:rsidRPr="00B6693C">
        <w:rPr>
          <w:rFonts w:ascii="Aptos" w:hAnsi="Aptos" w:cs="Times New Roman"/>
          <w:noProof/>
          <w:kern w:val="0"/>
        </w:rPr>
        <w:t xml:space="preserve">, </w:t>
      </w:r>
      <w:r w:rsidRPr="00502D54">
        <w:rPr>
          <w:rFonts w:ascii="Aptos" w:hAnsi="Aptos" w:cs="Times New Roman"/>
          <w:noProof/>
          <w:kern w:val="0"/>
        </w:rPr>
        <w:t>10</w:t>
      </w:r>
      <w:r w:rsidRPr="00B6693C">
        <w:rPr>
          <w:rFonts w:ascii="Aptos" w:hAnsi="Aptos" w:cs="Times New Roman"/>
          <w:noProof/>
          <w:kern w:val="0"/>
        </w:rPr>
        <w:t>(5)</w:t>
      </w:r>
      <w:r w:rsidR="00502D54">
        <w:rPr>
          <w:rFonts w:ascii="Aptos" w:hAnsi="Aptos" w:cs="Times New Roman"/>
          <w:noProof/>
          <w:kern w:val="0"/>
        </w:rPr>
        <w:t>:</w:t>
      </w:r>
      <w:r w:rsidRPr="00B6693C">
        <w:rPr>
          <w:rFonts w:ascii="Aptos" w:hAnsi="Aptos" w:cs="Times New Roman"/>
          <w:noProof/>
          <w:kern w:val="0"/>
        </w:rPr>
        <w:t xml:space="preserve"> 600–610.</w:t>
      </w:r>
    </w:p>
    <w:p w14:paraId="3500FDEE" w14:textId="049AE513" w:rsidR="00B6693C" w:rsidRPr="00B6693C" w:rsidRDefault="00B6693C" w:rsidP="00B6693C">
      <w:pPr>
        <w:widowControl w:val="0"/>
        <w:autoSpaceDE w:val="0"/>
        <w:autoSpaceDN w:val="0"/>
        <w:adjustRightInd w:val="0"/>
        <w:spacing w:line="240" w:lineRule="auto"/>
        <w:ind w:left="480" w:hanging="480"/>
        <w:rPr>
          <w:rFonts w:ascii="Aptos" w:hAnsi="Aptos" w:cs="Times New Roman"/>
          <w:noProof/>
          <w:kern w:val="0"/>
        </w:rPr>
      </w:pPr>
      <w:r w:rsidRPr="00B6693C">
        <w:rPr>
          <w:rFonts w:ascii="Aptos" w:hAnsi="Aptos" w:cs="Times New Roman"/>
          <w:noProof/>
          <w:kern w:val="0"/>
        </w:rPr>
        <w:t xml:space="preserve">Shahbandeh, M. (2024) </w:t>
      </w:r>
      <w:r w:rsidRPr="00B6693C">
        <w:rPr>
          <w:rFonts w:ascii="Aptos" w:hAnsi="Aptos" w:cs="Times New Roman"/>
          <w:i/>
          <w:iCs/>
          <w:noProof/>
          <w:kern w:val="0"/>
        </w:rPr>
        <w:t>Pet food market in the UK - statistics &amp; facts</w:t>
      </w:r>
      <w:r w:rsidRPr="00B6693C">
        <w:rPr>
          <w:rFonts w:ascii="Aptos" w:hAnsi="Aptos" w:cs="Times New Roman"/>
          <w:noProof/>
          <w:kern w:val="0"/>
        </w:rPr>
        <w:t>. Statistica.</w:t>
      </w:r>
      <w:r w:rsidR="00502D54">
        <w:rPr>
          <w:rFonts w:ascii="Aptos" w:hAnsi="Aptos" w:cs="Times New Roman"/>
          <w:noProof/>
          <w:kern w:val="0"/>
        </w:rPr>
        <w:t xml:space="preserve"> Available from: </w:t>
      </w:r>
      <w:r w:rsidRPr="00B6693C">
        <w:rPr>
          <w:rFonts w:ascii="Aptos" w:hAnsi="Aptos" w:cs="Times New Roman"/>
          <w:noProof/>
          <w:kern w:val="0"/>
        </w:rPr>
        <w:t>https://www.statista.com/topics/10264/pet-food-market-in-the-uk/#topicOverview</w:t>
      </w:r>
      <w:r w:rsidR="00502D54">
        <w:rPr>
          <w:rFonts w:ascii="Aptos" w:hAnsi="Aptos" w:cs="Times New Roman"/>
          <w:noProof/>
          <w:kern w:val="0"/>
        </w:rPr>
        <w:t xml:space="preserve"> [Accessed 1 September 2024]</w:t>
      </w:r>
    </w:p>
    <w:p w14:paraId="021A5C98" w14:textId="5163DBDC" w:rsidR="00B6693C" w:rsidRPr="00B6693C" w:rsidRDefault="00B6693C" w:rsidP="00B6693C">
      <w:pPr>
        <w:widowControl w:val="0"/>
        <w:autoSpaceDE w:val="0"/>
        <w:autoSpaceDN w:val="0"/>
        <w:adjustRightInd w:val="0"/>
        <w:spacing w:line="240" w:lineRule="auto"/>
        <w:ind w:left="480" w:hanging="480"/>
        <w:rPr>
          <w:rFonts w:ascii="Aptos" w:hAnsi="Aptos"/>
          <w:noProof/>
        </w:rPr>
      </w:pPr>
      <w:r w:rsidRPr="00B6693C">
        <w:rPr>
          <w:rFonts w:ascii="Aptos" w:hAnsi="Aptos" w:cs="Times New Roman"/>
          <w:noProof/>
          <w:kern w:val="0"/>
        </w:rPr>
        <w:t xml:space="preserve">Woolf, C. (2018) </w:t>
      </w:r>
      <w:r w:rsidRPr="00B6693C">
        <w:rPr>
          <w:rFonts w:ascii="Aptos" w:hAnsi="Aptos" w:cs="Times New Roman"/>
          <w:i/>
          <w:iCs/>
          <w:noProof/>
          <w:kern w:val="0"/>
        </w:rPr>
        <w:t>All AWS Services GDPR ready</w:t>
      </w:r>
      <w:r w:rsidRPr="00B6693C">
        <w:rPr>
          <w:rFonts w:ascii="Aptos" w:hAnsi="Aptos" w:cs="Times New Roman"/>
          <w:noProof/>
          <w:kern w:val="0"/>
        </w:rPr>
        <w:t xml:space="preserve">. </w:t>
      </w:r>
      <w:r w:rsidR="00502D54">
        <w:rPr>
          <w:rFonts w:ascii="Aptos" w:hAnsi="Aptos" w:cs="Times New Roman"/>
          <w:noProof/>
          <w:kern w:val="0"/>
        </w:rPr>
        <w:t xml:space="preserve">Available from: </w:t>
      </w:r>
      <w:r w:rsidRPr="00B6693C">
        <w:rPr>
          <w:rFonts w:ascii="Aptos" w:hAnsi="Aptos" w:cs="Times New Roman"/>
          <w:noProof/>
          <w:kern w:val="0"/>
        </w:rPr>
        <w:t>https://aws.amazon.com/blogs/security/all-aws-services-gdpr-ready/</w:t>
      </w:r>
      <w:r w:rsidR="00502D54">
        <w:rPr>
          <w:rFonts w:ascii="Aptos" w:hAnsi="Aptos" w:cs="Times New Roman"/>
          <w:noProof/>
          <w:kern w:val="0"/>
        </w:rPr>
        <w:t xml:space="preserve"> [Accessed 12 October 2024]</w:t>
      </w:r>
    </w:p>
    <w:p w14:paraId="082A9A19" w14:textId="2C948841" w:rsidR="008C0F7C" w:rsidRDefault="008C0F7C" w:rsidP="008C0F7C">
      <w:r>
        <w:fldChar w:fldCharType="end"/>
      </w:r>
    </w:p>
    <w:p w14:paraId="55CCC022" w14:textId="77777777" w:rsidR="00A91598" w:rsidRDefault="00A91598" w:rsidP="008C0F7C"/>
    <w:p w14:paraId="26A7145C" w14:textId="72C4C3D1" w:rsidR="00A91598" w:rsidRDefault="00A91598">
      <w:r>
        <w:br w:type="page"/>
      </w:r>
    </w:p>
    <w:p w14:paraId="5D3FE91F" w14:textId="1D983E5D" w:rsidR="00A91598" w:rsidRDefault="00A91598" w:rsidP="00A91598">
      <w:pPr>
        <w:pStyle w:val="Heading1"/>
        <w:numPr>
          <w:ilvl w:val="0"/>
          <w:numId w:val="4"/>
        </w:numPr>
      </w:pPr>
      <w:r>
        <w:lastRenderedPageBreak/>
        <w:t>Appendix – Monte Carlo simulation</w:t>
      </w:r>
    </w:p>
    <w:p w14:paraId="1F140B22" w14:textId="480E8122" w:rsidR="00826269" w:rsidRDefault="00826269" w:rsidP="00826269">
      <w:r>
        <w:t>The Spreadsheet with YASAI that was used to run the Monte Carlo simulation can be found here:</w:t>
      </w:r>
    </w:p>
    <w:p w14:paraId="4DEE2DDF" w14:textId="5711BB19" w:rsidR="00826269" w:rsidRDefault="00AE74FF" w:rsidP="00826269">
      <w:pPr>
        <w:rPr>
          <w:rStyle w:val="Hyperlink"/>
        </w:rPr>
      </w:pPr>
      <w:hyperlink r:id="rId11" w:history="1">
        <w:r w:rsidRPr="0056282C">
          <w:rPr>
            <w:rStyle w:val="Hyperlink"/>
          </w:rPr>
          <w:t>https://github.com/MCollins87/MSC_EnterpriseIT/SRM/Assessments/02_ExecSummary/Assets/PP_Modelling.xlsx</w:t>
        </w:r>
      </w:hyperlink>
    </w:p>
    <w:p w14:paraId="2DFC21C0" w14:textId="77777777" w:rsidR="00AE74FF" w:rsidRDefault="00AE74FF" w:rsidP="00826269"/>
    <w:p w14:paraId="2036F2B8" w14:textId="77777777" w:rsidR="00826269" w:rsidRDefault="00826269" w:rsidP="00826269"/>
    <w:p w14:paraId="666202D3" w14:textId="77777777" w:rsidR="00826269" w:rsidRPr="00826269" w:rsidRDefault="00826269" w:rsidP="00826269"/>
    <w:sectPr w:rsidR="00826269" w:rsidRPr="00826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24FA3"/>
    <w:multiLevelType w:val="multilevel"/>
    <w:tmpl w:val="52A05A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116088E"/>
    <w:multiLevelType w:val="hybridMultilevel"/>
    <w:tmpl w:val="547217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1A578B"/>
    <w:multiLevelType w:val="hybridMultilevel"/>
    <w:tmpl w:val="4C82A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03315"/>
    <w:multiLevelType w:val="hybridMultilevel"/>
    <w:tmpl w:val="E1C87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797114">
    <w:abstractNumId w:val="2"/>
  </w:num>
  <w:num w:numId="2" w16cid:durableId="2042975987">
    <w:abstractNumId w:val="3"/>
  </w:num>
  <w:num w:numId="3" w16cid:durableId="557324138">
    <w:abstractNumId w:val="0"/>
  </w:num>
  <w:num w:numId="4" w16cid:durableId="1467550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F0"/>
    <w:rsid w:val="00081865"/>
    <w:rsid w:val="00093B65"/>
    <w:rsid w:val="000A1A38"/>
    <w:rsid w:val="000F1A48"/>
    <w:rsid w:val="001D5634"/>
    <w:rsid w:val="00232AA0"/>
    <w:rsid w:val="002E195A"/>
    <w:rsid w:val="00382810"/>
    <w:rsid w:val="004130DD"/>
    <w:rsid w:val="00434BD2"/>
    <w:rsid w:val="004448C0"/>
    <w:rsid w:val="004D1AF8"/>
    <w:rsid w:val="004D5D7D"/>
    <w:rsid w:val="004F7C21"/>
    <w:rsid w:val="00502D54"/>
    <w:rsid w:val="00591EB4"/>
    <w:rsid w:val="005C2B8D"/>
    <w:rsid w:val="00611884"/>
    <w:rsid w:val="00617C5A"/>
    <w:rsid w:val="00645810"/>
    <w:rsid w:val="006E1D95"/>
    <w:rsid w:val="00746AB2"/>
    <w:rsid w:val="00796156"/>
    <w:rsid w:val="007E1070"/>
    <w:rsid w:val="008157C8"/>
    <w:rsid w:val="0082127F"/>
    <w:rsid w:val="00826269"/>
    <w:rsid w:val="008816CD"/>
    <w:rsid w:val="008B776E"/>
    <w:rsid w:val="008B7815"/>
    <w:rsid w:val="008C0F7C"/>
    <w:rsid w:val="008D52F0"/>
    <w:rsid w:val="00904A95"/>
    <w:rsid w:val="00980138"/>
    <w:rsid w:val="00A24357"/>
    <w:rsid w:val="00A33157"/>
    <w:rsid w:val="00A5317E"/>
    <w:rsid w:val="00A740C9"/>
    <w:rsid w:val="00A91598"/>
    <w:rsid w:val="00AD674E"/>
    <w:rsid w:val="00AE74FF"/>
    <w:rsid w:val="00B0065E"/>
    <w:rsid w:val="00B01C8A"/>
    <w:rsid w:val="00B25E79"/>
    <w:rsid w:val="00B6693C"/>
    <w:rsid w:val="00BD6F96"/>
    <w:rsid w:val="00C67762"/>
    <w:rsid w:val="00C80F9E"/>
    <w:rsid w:val="00C875C8"/>
    <w:rsid w:val="00CA3886"/>
    <w:rsid w:val="00CB6A7C"/>
    <w:rsid w:val="00CD4412"/>
    <w:rsid w:val="00CE3B43"/>
    <w:rsid w:val="00D00A16"/>
    <w:rsid w:val="00D162A5"/>
    <w:rsid w:val="00D46733"/>
    <w:rsid w:val="00D611AB"/>
    <w:rsid w:val="00D97E1C"/>
    <w:rsid w:val="00DC6BDD"/>
    <w:rsid w:val="00E06ED4"/>
    <w:rsid w:val="00E304AB"/>
    <w:rsid w:val="00F15D22"/>
    <w:rsid w:val="00F353BB"/>
    <w:rsid w:val="00F72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DE90A"/>
  <w15:chartTrackingRefBased/>
  <w15:docId w15:val="{7648402E-E681-4664-97C4-07D37E9D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5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5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5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5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2F0"/>
    <w:rPr>
      <w:rFonts w:eastAsiaTheme="majorEastAsia" w:cstheme="majorBidi"/>
      <w:color w:val="272727" w:themeColor="text1" w:themeTint="D8"/>
    </w:rPr>
  </w:style>
  <w:style w:type="paragraph" w:styleId="Title">
    <w:name w:val="Title"/>
    <w:basedOn w:val="Normal"/>
    <w:next w:val="Normal"/>
    <w:link w:val="TitleChar"/>
    <w:uiPriority w:val="10"/>
    <w:qFormat/>
    <w:rsid w:val="008D5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2F0"/>
    <w:pPr>
      <w:spacing w:before="160"/>
      <w:jc w:val="center"/>
    </w:pPr>
    <w:rPr>
      <w:i/>
      <w:iCs/>
      <w:color w:val="404040" w:themeColor="text1" w:themeTint="BF"/>
    </w:rPr>
  </w:style>
  <w:style w:type="character" w:customStyle="1" w:styleId="QuoteChar">
    <w:name w:val="Quote Char"/>
    <w:basedOn w:val="DefaultParagraphFont"/>
    <w:link w:val="Quote"/>
    <w:uiPriority w:val="29"/>
    <w:rsid w:val="008D52F0"/>
    <w:rPr>
      <w:i/>
      <w:iCs/>
      <w:color w:val="404040" w:themeColor="text1" w:themeTint="BF"/>
    </w:rPr>
  </w:style>
  <w:style w:type="paragraph" w:styleId="ListParagraph">
    <w:name w:val="List Paragraph"/>
    <w:basedOn w:val="Normal"/>
    <w:uiPriority w:val="34"/>
    <w:qFormat/>
    <w:rsid w:val="008D52F0"/>
    <w:pPr>
      <w:ind w:left="720"/>
      <w:contextualSpacing/>
    </w:pPr>
  </w:style>
  <w:style w:type="character" w:styleId="IntenseEmphasis">
    <w:name w:val="Intense Emphasis"/>
    <w:basedOn w:val="DefaultParagraphFont"/>
    <w:uiPriority w:val="21"/>
    <w:qFormat/>
    <w:rsid w:val="008D52F0"/>
    <w:rPr>
      <w:i/>
      <w:iCs/>
      <w:color w:val="0F4761" w:themeColor="accent1" w:themeShade="BF"/>
    </w:rPr>
  </w:style>
  <w:style w:type="paragraph" w:styleId="IntenseQuote">
    <w:name w:val="Intense Quote"/>
    <w:basedOn w:val="Normal"/>
    <w:next w:val="Normal"/>
    <w:link w:val="IntenseQuoteChar"/>
    <w:uiPriority w:val="30"/>
    <w:qFormat/>
    <w:rsid w:val="008D5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2F0"/>
    <w:rPr>
      <w:i/>
      <w:iCs/>
      <w:color w:val="0F4761" w:themeColor="accent1" w:themeShade="BF"/>
    </w:rPr>
  </w:style>
  <w:style w:type="character" w:styleId="IntenseReference">
    <w:name w:val="Intense Reference"/>
    <w:basedOn w:val="DefaultParagraphFont"/>
    <w:uiPriority w:val="32"/>
    <w:qFormat/>
    <w:rsid w:val="008D52F0"/>
    <w:rPr>
      <w:b/>
      <w:bCs/>
      <w:smallCaps/>
      <w:color w:val="0F4761" w:themeColor="accent1" w:themeShade="BF"/>
      <w:spacing w:val="5"/>
    </w:rPr>
  </w:style>
  <w:style w:type="character" w:styleId="Hyperlink">
    <w:name w:val="Hyperlink"/>
    <w:basedOn w:val="DefaultParagraphFont"/>
    <w:uiPriority w:val="99"/>
    <w:unhideWhenUsed/>
    <w:rsid w:val="008D52F0"/>
    <w:rPr>
      <w:color w:val="467886" w:themeColor="hyperlink"/>
      <w:u w:val="single"/>
    </w:rPr>
  </w:style>
  <w:style w:type="character" w:styleId="UnresolvedMention">
    <w:name w:val="Unresolved Mention"/>
    <w:basedOn w:val="DefaultParagraphFont"/>
    <w:uiPriority w:val="99"/>
    <w:semiHidden/>
    <w:unhideWhenUsed/>
    <w:rsid w:val="008D52F0"/>
    <w:rPr>
      <w:color w:val="605E5C"/>
      <w:shd w:val="clear" w:color="auto" w:fill="E1DFDD"/>
    </w:rPr>
  </w:style>
  <w:style w:type="table" w:styleId="GridTable5Dark-Accent4">
    <w:name w:val="Grid Table 5 Dark Accent 4"/>
    <w:basedOn w:val="TableNormal"/>
    <w:uiPriority w:val="50"/>
    <w:rsid w:val="00904A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Caption">
    <w:name w:val="caption"/>
    <w:basedOn w:val="Normal"/>
    <w:next w:val="Normal"/>
    <w:uiPriority w:val="35"/>
    <w:unhideWhenUsed/>
    <w:qFormat/>
    <w:rsid w:val="008C0F7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3848">
      <w:bodyDiv w:val="1"/>
      <w:marLeft w:val="0"/>
      <w:marRight w:val="0"/>
      <w:marTop w:val="0"/>
      <w:marBottom w:val="0"/>
      <w:divBdr>
        <w:top w:val="none" w:sz="0" w:space="0" w:color="auto"/>
        <w:left w:val="none" w:sz="0" w:space="0" w:color="auto"/>
        <w:bottom w:val="none" w:sz="0" w:space="0" w:color="auto"/>
        <w:right w:val="none" w:sz="0" w:space="0" w:color="auto"/>
      </w:divBdr>
    </w:div>
    <w:div w:id="413431805">
      <w:bodyDiv w:val="1"/>
      <w:marLeft w:val="0"/>
      <w:marRight w:val="0"/>
      <w:marTop w:val="0"/>
      <w:marBottom w:val="0"/>
      <w:divBdr>
        <w:top w:val="none" w:sz="0" w:space="0" w:color="auto"/>
        <w:left w:val="none" w:sz="0" w:space="0" w:color="auto"/>
        <w:bottom w:val="none" w:sz="0" w:space="0" w:color="auto"/>
        <w:right w:val="none" w:sz="0" w:space="0" w:color="auto"/>
      </w:divBdr>
    </w:div>
    <w:div w:id="469710719">
      <w:bodyDiv w:val="1"/>
      <w:marLeft w:val="0"/>
      <w:marRight w:val="0"/>
      <w:marTop w:val="0"/>
      <w:marBottom w:val="0"/>
      <w:divBdr>
        <w:top w:val="none" w:sz="0" w:space="0" w:color="auto"/>
        <w:left w:val="none" w:sz="0" w:space="0" w:color="auto"/>
        <w:bottom w:val="none" w:sz="0" w:space="0" w:color="auto"/>
        <w:right w:val="none" w:sz="0" w:space="0" w:color="auto"/>
      </w:divBdr>
    </w:div>
    <w:div w:id="514417694">
      <w:bodyDiv w:val="1"/>
      <w:marLeft w:val="0"/>
      <w:marRight w:val="0"/>
      <w:marTop w:val="0"/>
      <w:marBottom w:val="0"/>
      <w:divBdr>
        <w:top w:val="none" w:sz="0" w:space="0" w:color="auto"/>
        <w:left w:val="none" w:sz="0" w:space="0" w:color="auto"/>
        <w:bottom w:val="none" w:sz="0" w:space="0" w:color="auto"/>
        <w:right w:val="none" w:sz="0" w:space="0" w:color="auto"/>
      </w:divBdr>
    </w:div>
    <w:div w:id="1108506786">
      <w:bodyDiv w:val="1"/>
      <w:marLeft w:val="0"/>
      <w:marRight w:val="0"/>
      <w:marTop w:val="0"/>
      <w:marBottom w:val="0"/>
      <w:divBdr>
        <w:top w:val="none" w:sz="0" w:space="0" w:color="auto"/>
        <w:left w:val="none" w:sz="0" w:space="0" w:color="auto"/>
        <w:bottom w:val="none" w:sz="0" w:space="0" w:color="auto"/>
        <w:right w:val="none" w:sz="0" w:space="0" w:color="auto"/>
      </w:divBdr>
    </w:div>
    <w:div w:id="1199006462">
      <w:bodyDiv w:val="1"/>
      <w:marLeft w:val="0"/>
      <w:marRight w:val="0"/>
      <w:marTop w:val="0"/>
      <w:marBottom w:val="0"/>
      <w:divBdr>
        <w:top w:val="none" w:sz="0" w:space="0" w:color="auto"/>
        <w:left w:val="none" w:sz="0" w:space="0" w:color="auto"/>
        <w:bottom w:val="none" w:sz="0" w:space="0" w:color="auto"/>
        <w:right w:val="none" w:sz="0" w:space="0" w:color="auto"/>
      </w:divBdr>
    </w:div>
    <w:div w:id="1269849870">
      <w:bodyDiv w:val="1"/>
      <w:marLeft w:val="0"/>
      <w:marRight w:val="0"/>
      <w:marTop w:val="0"/>
      <w:marBottom w:val="0"/>
      <w:divBdr>
        <w:top w:val="none" w:sz="0" w:space="0" w:color="auto"/>
        <w:left w:val="none" w:sz="0" w:space="0" w:color="auto"/>
        <w:bottom w:val="none" w:sz="0" w:space="0" w:color="auto"/>
        <w:right w:val="none" w:sz="0" w:space="0" w:color="auto"/>
      </w:divBdr>
    </w:div>
    <w:div w:id="1359701320">
      <w:bodyDiv w:val="1"/>
      <w:marLeft w:val="0"/>
      <w:marRight w:val="0"/>
      <w:marTop w:val="0"/>
      <w:marBottom w:val="0"/>
      <w:divBdr>
        <w:top w:val="none" w:sz="0" w:space="0" w:color="auto"/>
        <w:left w:val="none" w:sz="0" w:space="0" w:color="auto"/>
        <w:bottom w:val="none" w:sz="0" w:space="0" w:color="auto"/>
        <w:right w:val="none" w:sz="0" w:space="0" w:color="auto"/>
      </w:divBdr>
    </w:div>
    <w:div w:id="1607545157">
      <w:bodyDiv w:val="1"/>
      <w:marLeft w:val="0"/>
      <w:marRight w:val="0"/>
      <w:marTop w:val="0"/>
      <w:marBottom w:val="0"/>
      <w:divBdr>
        <w:top w:val="none" w:sz="0" w:space="0" w:color="auto"/>
        <w:left w:val="none" w:sz="0" w:space="0" w:color="auto"/>
        <w:bottom w:val="none" w:sz="0" w:space="0" w:color="auto"/>
        <w:right w:val="none" w:sz="0" w:space="0" w:color="auto"/>
      </w:divBdr>
    </w:div>
    <w:div w:id="16855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24952@essex.ac.uk" TargetMode="External"/><Relationship Id="rId11" Type="http://schemas.openxmlformats.org/officeDocument/2006/relationships/hyperlink" Target="https://github.com/MCollins87/MSC_EnterpriseIT/SRM/Assessments/02_ExecSummary/Assets/PP_Modelling.xlsx"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F854-FBA3-4D46-AB32-8535F8DD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4074</Words>
  <Characters>23226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Mark - Haematology and Oncology IT Systems and Information Manager</dc:creator>
  <cp:keywords/>
  <dc:description/>
  <cp:lastModifiedBy>Collins Mark - Haematology and Oncology IT Systems and Information Manager</cp:lastModifiedBy>
  <cp:revision>2</cp:revision>
  <dcterms:created xsi:type="dcterms:W3CDTF">2024-10-15T11:22:00Z</dcterms:created>
  <dcterms:modified xsi:type="dcterms:W3CDTF">2024-10-15T11:22:00Z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http://www.zotero.org/styles/harvard-fachhochschule-salzburg</vt:lpwstr>
  </property>
  <property fmtid="{D5CDD505-2E9C-101B-9397-08002B2CF9AE}" pid="13" name="Mendeley Recent Style Name 5_1">
    <vt:lpwstr>Fachhochschule Salzburg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4760bd7e-638d-3ea1-9de5-ff17f4ed20f5</vt:lpwstr>
  </property>
  <property fmtid="{D5CDD505-2E9C-101B-9397-08002B2CF9AE}" pid="24" name="Mendeley Citation Style_1">
    <vt:lpwstr>http://www.zotero.org/styles/apa</vt:lpwstr>
  </property>
  <property fmtid="{D5CDD505-2E9C-101B-9397-08002B2CF9AE}" pid="25" name="GrammarlyDocumentId">
    <vt:lpwstr>aa2f231e484d7eb83bd3c41446a258525d356be4369e62f0c4e4574cff085f69</vt:lpwstr>
  </property>
</Properties>
</file>