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00440" w:rsidR="00151FE9" w:rsidRDefault="00100440" w14:paraId="2E14006B" w14:textId="28DFD781">
      <w:pPr>
        <w:spacing w:before="240" w:after="240"/>
        <w:rPr>
          <w:b/>
          <w:lang w:val="en-GB"/>
        </w:rPr>
      </w:pPr>
      <w:r>
        <w:rPr>
          <w:b/>
          <w:lang w:val="en-GB"/>
        </w:rPr>
        <w:t>Assessment of</w:t>
      </w:r>
      <w:r w:rsidRPr="00100440">
        <w:rPr>
          <w:b/>
          <w:lang w:val="en-GB"/>
        </w:rPr>
        <w:t xml:space="preserve"> Risks </w:t>
      </w:r>
      <w:r>
        <w:rPr>
          <w:b/>
          <w:lang w:val="en-GB"/>
        </w:rPr>
        <w:t>for</w:t>
      </w:r>
      <w:r w:rsidRPr="00100440">
        <w:rPr>
          <w:b/>
          <w:lang w:val="en-GB"/>
        </w:rPr>
        <w:t xml:space="preserve"> the Digitization of Pampered Pets</w:t>
      </w:r>
    </w:p>
    <w:p w:rsidRPr="00100440" w:rsidR="00151FE9" w:rsidRDefault="006D54D4" w14:paraId="5060CC3B" w14:textId="7D782375">
      <w:pPr>
        <w:spacing w:before="240" w:after="240"/>
        <w:rPr>
          <w:lang w:val="en-GB"/>
        </w:rPr>
      </w:pPr>
      <w:r w:rsidRPr="00100440">
        <w:rPr>
          <w:lang w:val="en-GB"/>
        </w:rPr>
        <w:t xml:space="preserve">The digitization of Pampered Pets exposes the company to a wide array of risks. </w:t>
      </w:r>
      <w:r w:rsidRPr="00100440" w:rsidR="00100440">
        <w:rPr>
          <w:lang w:val="en-GB"/>
        </w:rPr>
        <w:t>Using</w:t>
      </w:r>
      <w:r w:rsidRPr="00100440">
        <w:rPr>
          <w:lang w:val="en-GB"/>
        </w:rPr>
        <w:t xml:space="preserve"> threat </w:t>
      </w:r>
      <w:proofErr w:type="spellStart"/>
      <w:r w:rsidRPr="00100440">
        <w:rPr>
          <w:lang w:val="en-GB"/>
        </w:rPr>
        <w:t>modeling</w:t>
      </w:r>
      <w:proofErr w:type="spellEnd"/>
      <w:r w:rsidRPr="00100440">
        <w:rPr>
          <w:lang w:val="en-GB"/>
        </w:rPr>
        <w:t xml:space="preserve"> techniques such as STRIDE, OCTAVE, Attack Trees, and CVSS, the analysis identifies and prioritizes threats by considering cybersecurity, regulatory, operational, reputational, and strategic risks.</w:t>
      </w:r>
    </w:p>
    <w:p w:rsidR="00151FE9" w:rsidP="3444FAAA" w:rsidRDefault="006D54D4" w14:paraId="2C87D897" w14:textId="77777777">
      <w:pPr>
        <w:spacing w:before="240" w:after="240"/>
        <w:rPr>
          <w:b w:val="1"/>
          <w:bCs w:val="1"/>
          <w:lang w:val="fr-FR"/>
        </w:rPr>
      </w:pPr>
      <w:r w:rsidRPr="3444FAAA" w:rsidR="006D54D4">
        <w:rPr>
          <w:b w:val="1"/>
          <w:bCs w:val="1"/>
          <w:lang w:val="fr-FR"/>
        </w:rPr>
        <w:t xml:space="preserve">Types of Risks </w:t>
      </w:r>
      <w:r w:rsidRPr="3444FAAA" w:rsidR="006D54D4">
        <w:rPr>
          <w:b w:val="1"/>
          <w:bCs w:val="1"/>
          <w:lang w:val="fr-FR"/>
        </w:rPr>
        <w:t>Considered</w:t>
      </w:r>
    </w:p>
    <w:p w:rsidRPr="00100440" w:rsidR="00151FE9" w:rsidRDefault="006D54D4" w14:paraId="728CD492" w14:textId="77777777">
      <w:pPr>
        <w:numPr>
          <w:ilvl w:val="0"/>
          <w:numId w:val="3"/>
        </w:numPr>
        <w:spacing w:before="240"/>
        <w:rPr>
          <w:lang w:val="en-GB"/>
        </w:rPr>
      </w:pPr>
      <w:r w:rsidRPr="00100440">
        <w:rPr>
          <w:b/>
          <w:lang w:val="en-GB"/>
        </w:rPr>
        <w:t>Cybersecurity Risks</w:t>
      </w:r>
      <w:r w:rsidRPr="00100440">
        <w:rPr>
          <w:lang w:val="en-GB"/>
        </w:rPr>
        <w:t>: These threats compromise digital systems, including hacking, ransomware, and security breaches (Gupta, Agrawal, and Yamaguchi, 2020).</w:t>
      </w:r>
    </w:p>
    <w:p w:rsidRPr="00100440" w:rsidR="00151FE9" w:rsidRDefault="006D54D4" w14:paraId="1FC3DC54" w14:textId="77777777">
      <w:pPr>
        <w:numPr>
          <w:ilvl w:val="0"/>
          <w:numId w:val="3"/>
        </w:numPr>
        <w:rPr>
          <w:lang w:val="en-GB"/>
        </w:rPr>
      </w:pPr>
      <w:r w:rsidRPr="00100440">
        <w:rPr>
          <w:b/>
          <w:lang w:val="en-GB"/>
        </w:rPr>
        <w:t>Regulatory Risks</w:t>
      </w:r>
      <w:r w:rsidRPr="00100440">
        <w:rPr>
          <w:lang w:val="en-GB"/>
        </w:rPr>
        <w:t xml:space="preserve">: Non-compliance with regulations like GDPR, which could result in financial penalties and harm to reputation (Kuner, Bygrave, and </w:t>
      </w:r>
      <w:proofErr w:type="spellStart"/>
      <w:r w:rsidRPr="00100440">
        <w:rPr>
          <w:lang w:val="en-GB"/>
        </w:rPr>
        <w:t>Docksey</w:t>
      </w:r>
      <w:proofErr w:type="spellEnd"/>
      <w:r w:rsidRPr="00100440">
        <w:rPr>
          <w:lang w:val="en-GB"/>
        </w:rPr>
        <w:t>, 2020).</w:t>
      </w:r>
    </w:p>
    <w:p w:rsidRPr="00100440" w:rsidR="00151FE9" w:rsidRDefault="006D54D4" w14:paraId="37E83C96" w14:textId="77777777">
      <w:pPr>
        <w:numPr>
          <w:ilvl w:val="0"/>
          <w:numId w:val="3"/>
        </w:numPr>
        <w:rPr>
          <w:lang w:val="en-GB"/>
        </w:rPr>
      </w:pPr>
      <w:r w:rsidRPr="00100440">
        <w:rPr>
          <w:b/>
          <w:lang w:val="en-GB"/>
        </w:rPr>
        <w:t>Operational Risks</w:t>
      </w:r>
      <w:r w:rsidRPr="00100440">
        <w:rPr>
          <w:lang w:val="en-GB"/>
        </w:rPr>
        <w:t>: These threats impact the continuity of operations, such as service disruptions and supply chain issues (</w:t>
      </w:r>
      <w:proofErr w:type="spellStart"/>
      <w:r w:rsidRPr="00100440">
        <w:rPr>
          <w:lang w:val="en-GB"/>
        </w:rPr>
        <w:t>Shostack</w:t>
      </w:r>
      <w:proofErr w:type="spellEnd"/>
      <w:r w:rsidRPr="00100440">
        <w:rPr>
          <w:lang w:val="en-GB"/>
        </w:rPr>
        <w:t>, 2014).</w:t>
      </w:r>
    </w:p>
    <w:p w:rsidRPr="00100440" w:rsidR="00151FE9" w:rsidRDefault="006D54D4" w14:paraId="63691790" w14:textId="77777777">
      <w:pPr>
        <w:numPr>
          <w:ilvl w:val="0"/>
          <w:numId w:val="3"/>
        </w:numPr>
        <w:rPr>
          <w:lang w:val="en-GB"/>
        </w:rPr>
      </w:pPr>
      <w:r w:rsidRPr="00100440">
        <w:rPr>
          <w:b/>
          <w:lang w:val="en-GB"/>
        </w:rPr>
        <w:t>Reputational Risks</w:t>
      </w:r>
      <w:r w:rsidRPr="00100440">
        <w:rPr>
          <w:lang w:val="en-GB"/>
        </w:rPr>
        <w:t>: Impact on customer perception, primarily due to data breaches or service interruptions (Drennan and Goudge, 2019).</w:t>
      </w:r>
    </w:p>
    <w:p w:rsidRPr="00100440" w:rsidR="00151FE9" w:rsidRDefault="006D54D4" w14:paraId="51B9DDAE" w14:textId="77777777">
      <w:pPr>
        <w:numPr>
          <w:ilvl w:val="0"/>
          <w:numId w:val="3"/>
        </w:numPr>
        <w:spacing w:after="240"/>
        <w:rPr>
          <w:lang w:val="en-GB"/>
        </w:rPr>
      </w:pPr>
      <w:r w:rsidRPr="00100440">
        <w:rPr>
          <w:b/>
          <w:lang w:val="en-GB"/>
        </w:rPr>
        <w:t>Strategic Risks</w:t>
      </w:r>
      <w:r w:rsidRPr="00100440">
        <w:rPr>
          <w:lang w:val="en-GB"/>
        </w:rPr>
        <w:t>: Threats that affect the company's ability to digitally evolve and meet customer demands (Anderson, 2020).</w:t>
      </w:r>
    </w:p>
    <w:p w:rsidRPr="00100440" w:rsidR="00151FE9" w:rsidRDefault="006D54D4" w14:paraId="627A4B67" w14:textId="77777777">
      <w:pPr>
        <w:spacing w:before="240" w:after="240"/>
        <w:rPr>
          <w:lang w:val="en-GB"/>
        </w:rPr>
      </w:pPr>
      <w:r w:rsidRPr="00100440">
        <w:rPr>
          <w:b/>
          <w:lang w:val="en-GB"/>
        </w:rPr>
        <w:t>Mapping and Prioritization of Potential Threats</w:t>
      </w:r>
    </w:p>
    <w:p w:rsidR="00151FE9" w:rsidRDefault="006D54D4" w14:paraId="08AB9D8A" w14:textId="77777777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wemfj1aa2pii" w:colFirst="0" w:colLast="0" w:id="0"/>
      <w:bookmarkEnd w:id="0"/>
      <w:r>
        <w:rPr>
          <w:b/>
          <w:noProof/>
          <w:color w:val="000000"/>
          <w:sz w:val="26"/>
          <w:szCs w:val="26"/>
        </w:rPr>
        <w:drawing>
          <wp:inline distT="114300" distB="114300" distL="114300" distR="114300" wp14:anchorId="474A27EA" wp14:editId="02EA2895">
            <wp:extent cx="5731200" cy="382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FE9" w:rsidP="3444FAAA" w:rsidRDefault="006D54D4" w14:paraId="3AC778EC" w14:textId="77777777">
      <w:pPr>
        <w:spacing w:before="240" w:after="240"/>
        <w:rPr>
          <w:b w:val="1"/>
          <w:bCs w:val="1"/>
          <w:lang w:val="fr-FR"/>
        </w:rPr>
      </w:pPr>
      <w:r w:rsidRPr="3444FAAA" w:rsidR="006D54D4">
        <w:rPr>
          <w:b w:val="1"/>
          <w:bCs w:val="1"/>
          <w:lang w:val="fr-FR"/>
        </w:rPr>
        <w:t>Explanation</w:t>
      </w:r>
      <w:r w:rsidRPr="3444FAAA" w:rsidR="006D54D4">
        <w:rPr>
          <w:b w:val="1"/>
          <w:bCs w:val="1"/>
          <w:lang w:val="fr-FR"/>
        </w:rPr>
        <w:t xml:space="preserve"> of </w:t>
      </w:r>
      <w:r w:rsidRPr="3444FAAA" w:rsidR="006D54D4">
        <w:rPr>
          <w:b w:val="1"/>
          <w:bCs w:val="1"/>
          <w:lang w:val="fr-FR"/>
        </w:rPr>
        <w:t>Prioritization</w:t>
      </w:r>
    </w:p>
    <w:p w:rsidRPr="00100440" w:rsidR="00151FE9" w:rsidRDefault="006D54D4" w14:paraId="1176BBA5" w14:textId="77777777">
      <w:pPr>
        <w:numPr>
          <w:ilvl w:val="0"/>
          <w:numId w:val="2"/>
        </w:numPr>
        <w:spacing w:before="240"/>
        <w:rPr>
          <w:lang w:val="en-GB"/>
        </w:rPr>
      </w:pPr>
      <w:r w:rsidRPr="00100440">
        <w:rPr>
          <w:b/>
          <w:lang w:val="en-GB"/>
        </w:rPr>
        <w:t>Very High</w:t>
      </w:r>
      <w:r w:rsidRPr="00100440">
        <w:rPr>
          <w:lang w:val="en-GB"/>
        </w:rPr>
        <w:t xml:space="preserve">: Critical threats to customer data and compliance (e.g., GDPR), with a strong impact on reputation and significant financial penalties (Kuner, Bygrave, and </w:t>
      </w:r>
      <w:proofErr w:type="spellStart"/>
      <w:r w:rsidRPr="00100440">
        <w:rPr>
          <w:lang w:val="en-GB"/>
        </w:rPr>
        <w:t>Docksey</w:t>
      </w:r>
      <w:proofErr w:type="spellEnd"/>
      <w:r w:rsidRPr="00100440">
        <w:rPr>
          <w:lang w:val="en-GB"/>
        </w:rPr>
        <w:t>, 2020).</w:t>
      </w:r>
    </w:p>
    <w:p w:rsidRPr="00100440" w:rsidR="00151FE9" w:rsidRDefault="006D54D4" w14:paraId="13096E7A" w14:textId="77777777">
      <w:pPr>
        <w:numPr>
          <w:ilvl w:val="0"/>
          <w:numId w:val="2"/>
        </w:numPr>
        <w:rPr>
          <w:lang w:val="en-GB"/>
        </w:rPr>
      </w:pPr>
      <w:r w:rsidRPr="00100440">
        <w:rPr>
          <w:b/>
          <w:lang w:val="en-GB"/>
        </w:rPr>
        <w:t>High</w:t>
      </w:r>
      <w:r w:rsidRPr="00100440">
        <w:rPr>
          <w:lang w:val="en-GB"/>
        </w:rPr>
        <w:t>: Threats disrupting operational continuity (e.g., ransomware, DoS), leading to service interruptions and financial losses (Gupta, Agrawal, and Yamaguchi, 2020).</w:t>
      </w:r>
    </w:p>
    <w:p w:rsidRPr="00100440" w:rsidR="00151FE9" w:rsidRDefault="006D54D4" w14:paraId="6BE0075F" w14:textId="77777777">
      <w:pPr>
        <w:numPr>
          <w:ilvl w:val="0"/>
          <w:numId w:val="2"/>
        </w:numPr>
        <w:rPr>
          <w:lang w:val="en-GB"/>
        </w:rPr>
      </w:pPr>
      <w:r w:rsidRPr="00100440">
        <w:rPr>
          <w:b/>
          <w:lang w:val="en-GB"/>
        </w:rPr>
        <w:t>Medium</w:t>
      </w:r>
      <w:r w:rsidRPr="00100440">
        <w:rPr>
          <w:lang w:val="en-GB"/>
        </w:rPr>
        <w:t>: Internal threats to systems (APIs, payments), moderate but requiring targeted security measures (</w:t>
      </w:r>
      <w:proofErr w:type="spellStart"/>
      <w:r w:rsidRPr="00100440">
        <w:rPr>
          <w:lang w:val="en-GB"/>
        </w:rPr>
        <w:t>Shostack</w:t>
      </w:r>
      <w:proofErr w:type="spellEnd"/>
      <w:r w:rsidRPr="00100440">
        <w:rPr>
          <w:lang w:val="en-GB"/>
        </w:rPr>
        <w:t>, 2014).</w:t>
      </w:r>
    </w:p>
    <w:p w:rsidRPr="00100440" w:rsidR="00151FE9" w:rsidRDefault="006D54D4" w14:paraId="0C87CB8A" w14:textId="77777777">
      <w:pPr>
        <w:numPr>
          <w:ilvl w:val="0"/>
          <w:numId w:val="2"/>
        </w:numPr>
        <w:spacing w:after="240"/>
        <w:rPr>
          <w:lang w:val="en-GB"/>
        </w:rPr>
      </w:pPr>
      <w:r w:rsidRPr="00100440">
        <w:rPr>
          <w:b/>
          <w:lang w:val="en-GB"/>
        </w:rPr>
        <w:t>Low</w:t>
      </w:r>
      <w:r w:rsidRPr="00100440">
        <w:rPr>
          <w:lang w:val="en-GB"/>
        </w:rPr>
        <w:t>: Less likely threats (phishing, BYOD), manageable with solid security policies, limited impact (Anderson, 2020).</w:t>
      </w:r>
    </w:p>
    <w:p w:rsidR="00151FE9" w:rsidP="3444FAAA" w:rsidRDefault="006D54D4" w14:paraId="509822B5" w14:textId="77777777">
      <w:pPr>
        <w:spacing w:before="240" w:after="240"/>
        <w:rPr>
          <w:b w:val="1"/>
          <w:bCs w:val="1"/>
          <w:lang w:val="fr-FR"/>
        </w:rPr>
      </w:pPr>
      <w:r w:rsidRPr="3444FAAA" w:rsidR="006D54D4">
        <w:rPr>
          <w:b w:val="1"/>
          <w:bCs w:val="1"/>
          <w:lang w:val="fr-FR"/>
        </w:rPr>
        <w:t>References</w:t>
      </w:r>
    </w:p>
    <w:p w:rsidR="00151FE9" w:rsidRDefault="006D54D4" w14:paraId="77784EB8" w14:textId="77777777">
      <w:pPr>
        <w:numPr>
          <w:ilvl w:val="0"/>
          <w:numId w:val="1"/>
        </w:numPr>
        <w:spacing w:before="240"/>
      </w:pPr>
      <w:r w:rsidRPr="00100440">
        <w:rPr>
          <w:lang w:val="en-GB"/>
        </w:rPr>
        <w:t xml:space="preserve">Anderson, R.J. (2020) </w:t>
      </w:r>
      <w:r w:rsidRPr="00100440">
        <w:rPr>
          <w:i/>
          <w:lang w:val="en-GB"/>
        </w:rPr>
        <w:t>Security Engineering: A Guide to Building Dependable Distributed Systems</w:t>
      </w:r>
      <w:r w:rsidRPr="00100440">
        <w:rPr>
          <w:lang w:val="en-GB"/>
        </w:rPr>
        <w:t xml:space="preserve">, 3rd edition. </w:t>
      </w:r>
      <w:r>
        <w:t xml:space="preserve">Hoboken: </w:t>
      </w:r>
      <w:proofErr w:type="spellStart"/>
      <w:r>
        <w:t>Wiley</w:t>
      </w:r>
      <w:proofErr w:type="spellEnd"/>
      <w:r>
        <w:t>.</w:t>
      </w:r>
    </w:p>
    <w:p w:rsidRPr="00100440" w:rsidR="00151FE9" w:rsidRDefault="006D54D4" w14:paraId="5D70E84C" w14:textId="77777777">
      <w:pPr>
        <w:numPr>
          <w:ilvl w:val="0"/>
          <w:numId w:val="1"/>
        </w:numPr>
        <w:rPr>
          <w:lang w:val="en-GB"/>
        </w:rPr>
      </w:pPr>
      <w:r w:rsidRPr="00100440">
        <w:rPr>
          <w:lang w:val="en-GB"/>
        </w:rPr>
        <w:t xml:space="preserve">Custers, B. et al. (2019) ‘Data Protection and Privacy: The Age of Intelligent Machines’, </w:t>
      </w:r>
      <w:r w:rsidRPr="00100440">
        <w:rPr>
          <w:i/>
          <w:lang w:val="en-GB"/>
        </w:rPr>
        <w:t>Computer Law &amp; Security Review</w:t>
      </w:r>
      <w:r w:rsidRPr="00100440">
        <w:rPr>
          <w:lang w:val="en-GB"/>
        </w:rPr>
        <w:t>, 35(3), pp. 312-323.</w:t>
      </w:r>
    </w:p>
    <w:p w:rsidR="00151FE9" w:rsidRDefault="006D54D4" w14:paraId="4F8C8466" w14:textId="77777777">
      <w:pPr>
        <w:numPr>
          <w:ilvl w:val="0"/>
          <w:numId w:val="1"/>
        </w:numPr>
      </w:pPr>
      <w:r w:rsidRPr="00100440">
        <w:rPr>
          <w:lang w:val="en-GB"/>
        </w:rPr>
        <w:t xml:space="preserve">Drennan, J. and Goudge, R. (2019) </w:t>
      </w:r>
      <w:r w:rsidRPr="00100440">
        <w:rPr>
          <w:i/>
          <w:lang w:val="en-GB"/>
        </w:rPr>
        <w:t>Reputation Management in the Age of Digital Influence: Lessons from the Financial Sector</w:t>
      </w:r>
      <w:r w:rsidRPr="00100440">
        <w:rPr>
          <w:lang w:val="en-GB"/>
        </w:rPr>
        <w:t xml:space="preserve">. </w:t>
      </w:r>
      <w:r>
        <w:t xml:space="preserve">New York: </w:t>
      </w:r>
      <w:proofErr w:type="spellStart"/>
      <w:r>
        <w:t>Palgrave</w:t>
      </w:r>
      <w:proofErr w:type="spellEnd"/>
      <w:r>
        <w:t xml:space="preserve"> Macmillan.</w:t>
      </w:r>
    </w:p>
    <w:p w:rsidR="00151FE9" w:rsidRDefault="006D54D4" w14:paraId="5CC02042" w14:textId="77777777">
      <w:pPr>
        <w:numPr>
          <w:ilvl w:val="0"/>
          <w:numId w:val="1"/>
        </w:numPr>
      </w:pPr>
      <w:r w:rsidRPr="00100440">
        <w:rPr>
          <w:lang w:val="en-GB"/>
        </w:rPr>
        <w:t xml:space="preserve">Gupta, P., Agrawal, D. and Yamaguchi, S. (2020) </w:t>
      </w:r>
      <w:r w:rsidRPr="00100440">
        <w:rPr>
          <w:i/>
          <w:lang w:val="en-GB"/>
        </w:rPr>
        <w:t>Cloud Security: Attacks, Techniques, Tools, and Security Strategies</w:t>
      </w:r>
      <w:r w:rsidRPr="00100440">
        <w:rPr>
          <w:lang w:val="en-GB"/>
        </w:rPr>
        <w:t xml:space="preserve">. </w:t>
      </w:r>
      <w:r>
        <w:t>New York: Springer.</w:t>
      </w:r>
    </w:p>
    <w:p w:rsidR="00151FE9" w:rsidRDefault="006D54D4" w14:paraId="51A270B2" w14:textId="77777777">
      <w:pPr>
        <w:numPr>
          <w:ilvl w:val="0"/>
          <w:numId w:val="1"/>
        </w:numPr>
      </w:pPr>
      <w:r w:rsidRPr="00100440">
        <w:rPr>
          <w:lang w:val="en-GB"/>
        </w:rPr>
        <w:t xml:space="preserve">Kuner, C., Bygrave, L.A. and </w:t>
      </w:r>
      <w:proofErr w:type="spellStart"/>
      <w:r w:rsidRPr="00100440">
        <w:rPr>
          <w:lang w:val="en-GB"/>
        </w:rPr>
        <w:t>Docksey</w:t>
      </w:r>
      <w:proofErr w:type="spellEnd"/>
      <w:r w:rsidRPr="00100440">
        <w:rPr>
          <w:lang w:val="en-GB"/>
        </w:rPr>
        <w:t xml:space="preserve">, C. (2020) </w:t>
      </w:r>
      <w:r w:rsidRPr="00100440">
        <w:rPr>
          <w:i/>
          <w:lang w:val="en-GB"/>
        </w:rPr>
        <w:t>The EU General Data Protection Regulation (GDPR): A Commentary</w:t>
      </w:r>
      <w:r w:rsidRPr="00100440">
        <w:rPr>
          <w:lang w:val="en-GB"/>
        </w:rPr>
        <w:t xml:space="preserve">, 2nd edition. </w:t>
      </w:r>
      <w:r>
        <w:t xml:space="preserve">Oxford: Oxford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t>.</w:t>
      </w:r>
    </w:p>
    <w:p w:rsidR="00151FE9" w:rsidRDefault="006D54D4" w14:paraId="5FCA4C02" w14:textId="77777777">
      <w:pPr>
        <w:numPr>
          <w:ilvl w:val="0"/>
          <w:numId w:val="1"/>
        </w:numPr>
      </w:pPr>
      <w:r w:rsidRPr="00100440">
        <w:rPr>
          <w:lang w:val="en-GB"/>
        </w:rPr>
        <w:t xml:space="preserve">Schneier, B. (2015) </w:t>
      </w:r>
      <w:r w:rsidRPr="00100440">
        <w:rPr>
          <w:i/>
          <w:lang w:val="en-GB"/>
        </w:rPr>
        <w:t>Data and Goliath: The Hidden Battles to Collect Your Data and Control Your World</w:t>
      </w:r>
      <w:r w:rsidRPr="00100440">
        <w:rPr>
          <w:lang w:val="en-GB"/>
        </w:rPr>
        <w:t xml:space="preserve">. </w:t>
      </w:r>
      <w:r>
        <w:t xml:space="preserve">New York: W.W. Norton &amp; </w:t>
      </w:r>
      <w:proofErr w:type="spellStart"/>
      <w:r>
        <w:t>Company</w:t>
      </w:r>
      <w:proofErr w:type="spellEnd"/>
      <w:r>
        <w:t>.</w:t>
      </w:r>
    </w:p>
    <w:p w:rsidR="00151FE9" w:rsidRDefault="006D54D4" w14:paraId="6ED2BF6B" w14:textId="77777777">
      <w:pPr>
        <w:numPr>
          <w:ilvl w:val="0"/>
          <w:numId w:val="1"/>
        </w:numPr>
        <w:spacing w:after="240"/>
      </w:pPr>
      <w:proofErr w:type="spellStart"/>
      <w:r w:rsidRPr="00100440">
        <w:rPr>
          <w:lang w:val="en-GB"/>
        </w:rPr>
        <w:t>Shostack</w:t>
      </w:r>
      <w:proofErr w:type="spellEnd"/>
      <w:r w:rsidRPr="00100440">
        <w:rPr>
          <w:lang w:val="en-GB"/>
        </w:rPr>
        <w:t xml:space="preserve">, A. (2014) </w:t>
      </w:r>
      <w:r w:rsidRPr="00100440">
        <w:rPr>
          <w:i/>
          <w:lang w:val="en-GB"/>
        </w:rPr>
        <w:t xml:space="preserve">Threat </w:t>
      </w:r>
      <w:proofErr w:type="spellStart"/>
      <w:r w:rsidRPr="00100440">
        <w:rPr>
          <w:i/>
          <w:lang w:val="en-GB"/>
        </w:rPr>
        <w:t>Modeling</w:t>
      </w:r>
      <w:proofErr w:type="spellEnd"/>
      <w:r w:rsidRPr="00100440">
        <w:rPr>
          <w:i/>
          <w:lang w:val="en-GB"/>
        </w:rPr>
        <w:t>: Designing for Security</w:t>
      </w:r>
      <w:r w:rsidRPr="00100440">
        <w:rPr>
          <w:lang w:val="en-GB"/>
        </w:rPr>
        <w:t xml:space="preserve">. </w:t>
      </w:r>
      <w:r>
        <w:t xml:space="preserve">Hoboken: </w:t>
      </w:r>
      <w:proofErr w:type="spellStart"/>
      <w:r>
        <w:t>Wiley</w:t>
      </w:r>
      <w:proofErr w:type="spellEnd"/>
      <w:r>
        <w:t>.</w:t>
      </w:r>
    </w:p>
    <w:p w:rsidR="00151FE9" w:rsidRDefault="00151FE9" w14:paraId="26064BC8" w14:textId="77777777">
      <w:pPr>
        <w:spacing w:before="240" w:after="240"/>
      </w:pPr>
    </w:p>
    <w:p w:rsidR="00151FE9" w:rsidRDefault="00151FE9" w14:paraId="5A95FE50" w14:textId="77777777"/>
    <w:sectPr w:rsidR="00151FE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B6E2C"/>
    <w:multiLevelType w:val="multilevel"/>
    <w:tmpl w:val="95F4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762CAF"/>
    <w:multiLevelType w:val="multilevel"/>
    <w:tmpl w:val="08982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D32A98"/>
    <w:multiLevelType w:val="multilevel"/>
    <w:tmpl w:val="6FA8D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4879851">
    <w:abstractNumId w:val="0"/>
  </w:num>
  <w:num w:numId="2" w16cid:durableId="189614779">
    <w:abstractNumId w:val="1"/>
  </w:num>
  <w:num w:numId="3" w16cid:durableId="30888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FE9"/>
    <w:rsid w:val="00100440"/>
    <w:rsid w:val="00151FE9"/>
    <w:rsid w:val="006D54D4"/>
    <w:rsid w:val="00E02EF8"/>
    <w:rsid w:val="00E04F0C"/>
    <w:rsid w:val="3444F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9A89"/>
  <w15:docId w15:val="{7BFE0FB1-97FC-4155-B3BB-DA69A2C0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Collins, Mark</lastModifiedBy>
  <revision>3</revision>
  <dcterms:created xsi:type="dcterms:W3CDTF">2024-08-25T10:39:00.0000000Z</dcterms:created>
  <dcterms:modified xsi:type="dcterms:W3CDTF">2024-08-25T10:40:21.7136181Z</dcterms:modified>
</coreProperties>
</file>