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and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Bangladesh rolling-origin cross-validation: per-fold macro-F1 across five chronological folds.  (from rolling_cv_h6_bangladesh.json)</w:t>
      </w:r>
    </w:p>
    <w:p>
      <w:pPr>
        <w:spacing w:after="60"/>
      </w:pPr>
      <w:r>
        <w:rPr>
          <w:b w:val="0"/>
          <w:i w:val="0"/>
          <w:sz w:val="20"/>
        </w:rPr>
        <w:t>Figure 18. Folds won against persistence on each dataset, under the same protocol.  (from rolling_cv_h6.json, rolling_cv_h6_bangladesh.json)</w:t>
      </w:r>
    </w:p>
    <w:p>
      <w:pPr>
        <w:spacing w:after="60"/>
      </w:pPr>
      <w:r>
        <w:rPr>
          <w:b w:val="0"/>
          <w:i w:val="0"/>
          <w:sz w:val="20"/>
        </w:rPr>
        <w:t>Figure 19. The reanalysis against the reference monitor over their overlapping period: advisory-class hours and the PM2.5 distribution.  (from dhaka_ground_truth.json)</w:t>
      </w:r>
    </w:p>
    <w:p>
      <w:pPr>
        <w:spacing w:after="60"/>
      </w:pPr>
      <w:r>
        <w:rPr>
          <w:b w:val="0"/>
          <w:i w:val="0"/>
          <w:sz w:val="20"/>
        </w:rPr>
        <w:t>Figure 20. Hazardous-class and aggregate performance against the persistence floor across seven rolling-origin folds, with every fold shown.  (from dhaka_pm25_model_h6.json)</w:t>
      </w:r>
    </w:p>
    <w:p>
      <w:pPr>
        <w:spacing w:after="60"/>
      </w:pPr>
      <w:r>
        <w:rPr>
          <w:b w:val="0"/>
          <w:i w:val="0"/>
          <w:sz w:val="20"/>
        </w:rPr>
        <w:t>Figure 21. Stations near Dhaka by provider and by reported pollutant, and the number surviving each coverage filter.  (from openaq_survey.json)</w:t>
      </w:r>
    </w:p>
    <w:p>
      <w:pPr>
        <w:spacing w:after="60"/>
      </w:pPr>
      <w:r>
        <w:rPr>
          <w:b w:val="0"/>
          <w:i w:val="0"/>
          <w:sz w:val="20"/>
        </w:rPr>
        <w:t xml:space="preserve">Figure 22.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23. The full project pipeline: the Beijing methodology track, the Bangladesh deployment track, and what each produced.  (from </w:t>
      </w:r>
      <w:r>
        <w:rPr>
          <w:b/>
          <w:i w:val="0"/>
          <w:sz w:val="20"/>
        </w:rPr>
        <w:t>schematic — no metrics source, by design</w:t>
      </w:r>
      <w:r>
        <w:rPr>
          <w:b w:val="0"/>
          <w:i w:val="0"/>
          <w:sz w:val="20"/>
        </w:rPr>
        <w:t>)</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34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spacing w:after="40"/>
      </w:pPr>
    </w:p>
    <w:p>
      <w:pPr>
        <w:jc w:val="center"/>
      </w:pPr>
      <w:r>
        <w:drawing>
          <wp:inline xmlns:a="http://schemas.openxmlformats.org/drawingml/2006/main" xmlns:pic="http://schemas.openxmlformats.org/drawingml/2006/picture">
            <wp:extent cx="5669280" cy="2435677"/>
            <wp:docPr id="17" name="Picture 17"/>
            <wp:cNvGraphicFramePr>
              <a:graphicFrameLocks noChangeAspect="1"/>
            </wp:cNvGraphicFramePr>
            <a:graphic>
              <a:graphicData uri="http://schemas.openxmlformats.org/drawingml/2006/picture">
                <pic:pic>
                  <pic:nvPicPr>
                    <pic:cNvPr id="0" name="14_rolling_cv_bangladesh.png"/>
                    <pic:cNvPicPr/>
                  </pic:nvPicPr>
                  <pic:blipFill>
                    <a:blip r:embed="rId25"/>
                    <a:stretch>
                      <a:fillRect/>
                    </a:stretch>
                  </pic:blipFill>
                  <pic:spPr>
                    <a:xfrm>
                      <a:off x="0" y="0"/>
                      <a:ext cx="5669280" cy="2435677"/>
                    </a:xfrm>
                    <a:prstGeom prst="rect"/>
                  </pic:spPr>
                </pic:pic>
              </a:graphicData>
            </a:graphic>
          </wp:inline>
        </w:drawing>
      </w:r>
    </w:p>
    <w:p>
      <w:pPr>
        <w:spacing w:after="200"/>
        <w:jc w:val="center"/>
      </w:pPr>
      <w:r>
        <w:rPr>
          <w:b/>
          <w:i w:val="0"/>
          <w:sz w:val="19"/>
        </w:rPr>
        <w:t>Figure 17.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8" name="Picture 18"/>
            <wp:cNvGraphicFramePr>
              <a:graphicFrameLocks noChangeAspect="1"/>
            </wp:cNvGraphicFramePr>
            <a:graphic>
              <a:graphicData uri="http://schemas.openxmlformats.org/drawingml/2006/picture">
                <pic:pic>
                  <pic:nvPicPr>
                    <pic:cNvPr id="0" name="15_folds_won_summary.png"/>
                    <pic:cNvPicPr/>
                  </pic:nvPicPr>
                  <pic:blipFill>
                    <a:blip r:embed="rId26"/>
                    <a:stretch>
                      <a:fillRect/>
                    </a:stretch>
                  </pic:blipFill>
                  <pic:spPr>
                    <a:xfrm>
                      <a:off x="0" y="0"/>
                      <a:ext cx="5669280" cy="2760716"/>
                    </a:xfrm>
                    <a:prstGeom prst="rect"/>
                  </pic:spPr>
                </pic:pic>
              </a:graphicData>
            </a:graphic>
          </wp:inline>
        </w:drawing>
      </w:r>
    </w:p>
    <w:p>
      <w:pPr>
        <w:spacing w:after="200"/>
        <w:jc w:val="center"/>
      </w:pPr>
      <w:r>
        <w:rPr>
          <w:b/>
          <w:i w:val="0"/>
          <w:sz w:val="19"/>
        </w:rPr>
        <w:t>Figure 18.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19" name="Picture 19"/>
            <wp:cNvGraphicFramePr>
              <a:graphicFrameLocks noChangeAspect="1"/>
            </wp:cNvGraphicFramePr>
            <a:graphic>
              <a:graphicData uri="http://schemas.openxmlformats.org/drawingml/2006/picture">
                <pic:pic>
                  <pic:nvPicPr>
                    <pic:cNvPr id="0" name="18_mendeley_vs_embassy.png"/>
                    <pic:cNvPicPr/>
                  </pic:nvPicPr>
                  <pic:blipFill>
                    <a:blip r:embed="rId27"/>
                    <a:stretch>
                      <a:fillRect/>
                    </a:stretch>
                  </pic:blipFill>
                  <pic:spPr>
                    <a:xfrm>
                      <a:off x="0" y="0"/>
                      <a:ext cx="5669280" cy="2770115"/>
                    </a:xfrm>
                    <a:prstGeom prst="rect"/>
                  </pic:spPr>
                </pic:pic>
              </a:graphicData>
            </a:graphic>
          </wp:inline>
        </w:drawing>
      </w:r>
    </w:p>
    <w:p>
      <w:pPr>
        <w:spacing w:after="200"/>
        <w:jc w:val="center"/>
      </w:pPr>
      <w:r>
        <w:rPr>
          <w:b/>
          <w:i w:val="0"/>
          <w:sz w:val="19"/>
        </w:rPr>
        <w:t>Figure 19.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0" name="Picture 20"/>
            <wp:cNvGraphicFramePr>
              <a:graphicFrameLocks noChangeAspect="1"/>
            </wp:cNvGraphicFramePr>
            <a:graphic>
              <a:graphicData uri="http://schemas.openxmlformats.org/drawingml/2006/picture">
                <pic:pic>
                  <pic:nvPicPr>
                    <pic:cNvPr id="0" name="19_phase11b_hazardous.png"/>
                    <pic:cNvPicPr/>
                  </pic:nvPicPr>
                  <pic:blipFill>
                    <a:blip r:embed="rId28"/>
                    <a:stretch>
                      <a:fillRect/>
                    </a:stretch>
                  </pic:blipFill>
                  <pic:spPr>
                    <a:xfrm>
                      <a:off x="0" y="0"/>
                      <a:ext cx="5669280" cy="2922486"/>
                    </a:xfrm>
                    <a:prstGeom prst="rect"/>
                  </pic:spPr>
                </pic:pic>
              </a:graphicData>
            </a:graphic>
          </wp:inline>
        </w:drawing>
      </w:r>
    </w:p>
    <w:p>
      <w:pPr>
        <w:spacing w:after="200"/>
        <w:jc w:val="center"/>
      </w:pPr>
      <w:r>
        <w:rPr>
          <w:b/>
          <w:i w:val="0"/>
          <w:sz w:val="19"/>
        </w:rPr>
        <w:t>Figure 20.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1" name="Picture 21"/>
            <wp:cNvGraphicFramePr>
              <a:graphicFrameLocks noChangeAspect="1"/>
            </wp:cNvGraphicFramePr>
            <a:graphic>
              <a:graphicData uri="http://schemas.openxmlformats.org/drawingml/2006/picture">
                <pic:pic>
                  <pic:nvPicPr>
                    <pic:cNvPr id="0" name="20_openaq_survey.png"/>
                    <pic:cNvPicPr/>
                  </pic:nvPicPr>
                  <pic:blipFill>
                    <a:blip r:embed="rId29"/>
                    <a:stretch>
                      <a:fillRect/>
                    </a:stretch>
                  </pic:blipFill>
                  <pic:spPr>
                    <a:xfrm>
                      <a:off x="0" y="0"/>
                      <a:ext cx="5669280" cy="2201819"/>
                    </a:xfrm>
                    <a:prstGeom prst="rect"/>
                  </pic:spPr>
                </pic:pic>
              </a:graphicData>
            </a:graphic>
          </wp:inline>
        </w:drawing>
      </w:r>
    </w:p>
    <w:p>
      <w:pPr>
        <w:spacing w:after="200"/>
        <w:jc w:val="center"/>
      </w:pPr>
      <w:r>
        <w:rPr>
          <w:b/>
          <w:i w:val="0"/>
          <w:sz w:val="19"/>
        </w:rPr>
        <w:t>Figure 21.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because the instruments are not there. A zero here is the correct answer, not a missing measurement, and it is reported rather than worked around.</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2" name="Picture 22"/>
            <wp:cNvGraphicFramePr>
              <a:graphicFrameLocks noChangeAspect="1"/>
            </wp:cNvGraphicFramePr>
            <a:graphic>
              <a:graphicData uri="http://schemas.openxmlformats.org/drawingml/2006/picture">
                <pic:pic>
                  <pic:nvPicPr>
                    <pic:cNvPr id="0" name="22_deployed_architecture.png"/>
                    <pic:cNvPicPr/>
                  </pic:nvPicPr>
                  <pic:blipFill>
                    <a:blip r:embed="rId30"/>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22.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3" name="Picture 23"/>
            <wp:cNvGraphicFramePr>
              <a:graphicFrameLocks noChangeAspect="1"/>
            </wp:cNvGraphicFramePr>
            <a:graphic>
              <a:graphicData uri="http://schemas.openxmlformats.org/drawingml/2006/picture">
                <pic:pic>
                  <pic:nvPicPr>
                    <pic:cNvPr id="0" name="21_pipeline_overview.png"/>
                    <pic:cNvPicPr/>
                  </pic:nvPicPr>
                  <pic:blipFill>
                    <a:blip r:embed="rId31"/>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23.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pStyle w:val="Heading2"/>
      </w:pPr>
      <w:r>
        <w:t>6.4 Methodological caveats</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A published dataset was audited and found substantially fabricated over its advertised span. And the evaluation protocol that established all of this is released as software.</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r>
        <w:rPr>
          <w:b w:val="0"/>
          <w:i/>
          <w:sz w:val="20"/>
        </w:rPr>
        <w:t>Total: 61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34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9,267</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1,296</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1,626</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