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435D7A"/>
          <w:sz w:val="24"/>
        </w:rPr>
        <w:t>SYNTHETIC EXAMPLE</w:t>
      </w:r>
    </w:p>
    <w:p>
      <w:pPr>
        <w:pStyle w:val="Title"/>
        <w:jc w:val="center"/>
      </w:pPr>
      <w:r>
        <w:t>GreenHarvest Innovations Ltd.</w:t>
      </w:r>
    </w:p>
    <w:p>
      <w:pPr>
        <w:jc w:val="center"/>
      </w:pPr>
      <w:r>
        <w:rPr>
          <w:color w:val="4B5563"/>
          <w:sz w:val="30"/>
        </w:rPr>
        <w:t>Funding Discovery Test Profile &amp; Controlled Scenarios</w:t>
      </w:r>
    </w:p>
    <w:p>
      <w:pPr>
        <w:jc w:val="center"/>
      </w:pPr>
      <w:r>
        <w:rPr>
          <w:i/>
          <w:sz w:val="20"/>
        </w:rPr>
        <w:t>Version 2.0  |  Test fixture for prompt development</w:t>
      </w:r>
    </w:p>
    <w:p/>
    <w:tbl>
      <w:tblPr>
        <w:tblW w:type="auto" w:w="0"/>
        <w:jc w:val="center"/>
        <w:tblLook w:firstColumn="1" w:firstRow="1" w:lastColumn="0" w:lastRow="0" w:noHBand="0" w:noVBand="1" w:val="04A0"/>
      </w:tblPr>
      <w:tblGrid>
        <w:gridCol w:w="9936"/>
      </w:tblGrid>
      <w:tr>
        <w:tc>
          <w:tcPr>
            <w:tcW w:type="dxa" w:w="9936"/>
            <w:shd w:fill="FFF2CC"/>
            <w:vAlign w:val="center"/>
          </w:tcPr>
          <w:p>
            <w:pPr>
              <w:spacing w:after="0"/>
            </w:pPr>
            <w:r/>
            <w:r>
              <w:rPr>
                <w:rFonts w:ascii="Aptos" w:hAnsi="Aptos"/>
                <w:b/>
                <w:sz w:val="17"/>
              </w:rPr>
              <w:t>IMPORTANT: GreenHarvest Innovations Ltd. and every opportunity in scenarios A–J are fictional test fixtures. They are not real companies, funders, grants, accelerators, or live opportunities. Never present these fixtures as real funding options or use them as evidence of real-world availability.</w:t>
            </w:r>
          </w:p>
        </w:tc>
      </w:tr>
    </w:tbl>
    <w:p>
      <w:r>
        <w:br w:type="page"/>
      </w:r>
    </w:p>
    <w:p>
      <w:pPr>
        <w:pStyle w:val="Heading1"/>
      </w:pPr>
      <w:r>
        <w:t>1. Purpose and intended use</w:t>
      </w:r>
    </w:p>
    <w:p>
      <w:r>
        <w:t>This document defines a controlled synthetic example for testing an AI funding-discovery assistant designed to help African entrepreneurs identify, screen, compare, and prioritize potential funding opportunities. It specifies one fictional startup profile and ten fictional opportunity records designed to test common reasoning challenges: fit, partial funding, debt compatibility, unknown eligibility, closed calls, conflicting sources, unsupported claims, mixed cash and in-kind support, matching requirements, and duplicate records.</w:t>
      </w:r>
    </w:p>
    <w:p>
      <w:r>
        <w:t>Use the same profile and scenario records when comparing prompt versions or model configurations. The expected behaviors below are test expectations, not results from a completed model run.</w:t>
      </w:r>
    </w:p>
    <w:p>
      <w:pPr>
        <w:pStyle w:val="Heading1"/>
      </w:pPr>
      <w:r>
        <w:t>2. Fictional startup profile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6F2"/>
          </w:tcPr>
          <w:p>
            <w:pPr>
              <w:spacing w:after="0"/>
            </w:pPr>
            <w:r/>
            <w:r>
              <w:rPr>
                <w:rFonts w:ascii="Aptos" w:hAnsi="Aptos"/>
                <w:b/>
                <w:sz w:val="17"/>
              </w:rPr>
              <w:t>Field</w:t>
            </w:r>
          </w:p>
        </w:tc>
        <w:tc>
          <w:tcPr>
            <w:tcW w:type="dxa" w:w="4968"/>
            <w:vAlign w:val="center"/>
            <w:shd w:fill="D9E6F2"/>
          </w:tcPr>
          <w:p>
            <w:pPr>
              <w:spacing w:after="0"/>
            </w:pPr>
            <w:r/>
            <w:r>
              <w:rPr>
                <w:rFonts w:ascii="Aptos" w:hAnsi="Aptos"/>
                <w:b/>
                <w:sz w:val="17"/>
              </w:rPr>
              <w:t>Profile value / status</w:t>
            </w:r>
          </w:p>
        </w:tc>
      </w:tr>
      <w:tr>
        <w:tc>
          <w:tcPr>
            <w:tcW w:type="dxa" w:w="4968"/>
            <w:vAlign w:val="center"/>
          </w:tcPr>
          <w:p>
            <w:pPr>
              <w:spacing w:after="0"/>
            </w:pPr>
            <w:r/>
            <w:r>
              <w:rPr>
                <w:rFonts w:ascii="Aptos" w:hAnsi="Aptos"/>
                <w:b/>
                <w:sz w:val="17"/>
              </w:rPr>
              <w:t>Startup name</w:t>
            </w:r>
          </w:p>
        </w:tc>
        <w:tc>
          <w:tcPr>
            <w:tcW w:type="dxa" w:w="4968"/>
            <w:vAlign w:val="center"/>
          </w:tcPr>
          <w:p>
            <w:pPr>
              <w:spacing w:after="0"/>
            </w:pPr>
            <w:r/>
            <w:r>
              <w:rPr>
                <w:rFonts w:ascii="Aptos" w:hAnsi="Aptos"/>
                <w:b w:val="0"/>
                <w:sz w:val="17"/>
              </w:rPr>
              <w:t>GreenHarvest Innovations Ltd. (fictional)</w:t>
            </w:r>
          </w:p>
        </w:tc>
      </w:tr>
      <w:tr>
        <w:tc>
          <w:tcPr>
            <w:tcW w:type="dxa" w:w="4968"/>
            <w:vAlign w:val="center"/>
          </w:tcPr>
          <w:p>
            <w:pPr>
              <w:spacing w:after="0"/>
            </w:pPr>
            <w:r/>
            <w:r>
              <w:rPr>
                <w:rFonts w:ascii="Aptos" w:hAnsi="Aptos"/>
                <w:b/>
                <w:sz w:val="17"/>
              </w:rPr>
              <w:t>Country / registration</w:t>
            </w:r>
          </w:p>
        </w:tc>
        <w:tc>
          <w:tcPr>
            <w:tcW w:type="dxa" w:w="4968"/>
            <w:vAlign w:val="center"/>
          </w:tcPr>
          <w:p>
            <w:pPr>
              <w:spacing w:after="0"/>
            </w:pPr>
            <w:r/>
            <w:r>
              <w:rPr>
                <w:rFonts w:ascii="Aptos" w:hAnsi="Aptos"/>
                <w:b w:val="0"/>
                <w:sz w:val="17"/>
              </w:rPr>
              <w:t>Kenya is the intended country of registration. Actual legal registration and current legal status are unknown and must not be inferred from the company name.</w:t>
            </w:r>
          </w:p>
        </w:tc>
      </w:tr>
      <w:tr>
        <w:tc>
          <w:tcPr>
            <w:tcW w:type="dxa" w:w="4968"/>
            <w:vAlign w:val="center"/>
          </w:tcPr>
          <w:p>
            <w:pPr>
              <w:spacing w:after="0"/>
            </w:pPr>
            <w:r/>
            <w:r>
              <w:rPr>
                <w:rFonts w:ascii="Aptos" w:hAnsi="Aptos"/>
                <w:b/>
                <w:sz w:val="17"/>
              </w:rPr>
              <w:t>Operating geography</w:t>
            </w:r>
          </w:p>
        </w:tc>
        <w:tc>
          <w:tcPr>
            <w:tcW w:type="dxa" w:w="4968"/>
            <w:vAlign w:val="center"/>
          </w:tcPr>
          <w:p>
            <w:pPr>
              <w:spacing w:after="0"/>
            </w:pPr>
            <w:r/>
            <w:r>
              <w:rPr>
                <w:rFonts w:ascii="Aptos" w:hAnsi="Aptos"/>
                <w:b w:val="0"/>
                <w:sz w:val="17"/>
              </w:rPr>
              <w:t>Kenya and potentially wider East Africa / pan-African markets.</w:t>
            </w:r>
          </w:p>
        </w:tc>
      </w:tr>
      <w:tr>
        <w:tc>
          <w:tcPr>
            <w:tcW w:type="dxa" w:w="4968"/>
            <w:vAlign w:val="center"/>
          </w:tcPr>
          <w:p>
            <w:pPr>
              <w:spacing w:after="0"/>
            </w:pPr>
            <w:r/>
            <w:r>
              <w:rPr>
                <w:rFonts w:ascii="Aptos" w:hAnsi="Aptos"/>
                <w:b/>
                <w:sz w:val="17"/>
              </w:rPr>
              <w:t>Sector</w:t>
            </w:r>
          </w:p>
        </w:tc>
        <w:tc>
          <w:tcPr>
            <w:tcW w:type="dxa" w:w="4968"/>
            <w:vAlign w:val="center"/>
          </w:tcPr>
          <w:p>
            <w:pPr>
              <w:spacing w:after="0"/>
            </w:pPr>
            <w:r/>
            <w:r>
              <w:rPr>
                <w:rFonts w:ascii="Aptos" w:hAnsi="Aptos"/>
                <w:b w:val="0"/>
                <w:sz w:val="17"/>
              </w:rPr>
              <w:t>Agritech and climate technology.</w:t>
            </w:r>
          </w:p>
        </w:tc>
      </w:tr>
      <w:tr>
        <w:tc>
          <w:tcPr>
            <w:tcW w:type="dxa" w:w="4968"/>
            <w:vAlign w:val="center"/>
          </w:tcPr>
          <w:p>
            <w:pPr>
              <w:spacing w:after="0"/>
            </w:pPr>
            <w:r/>
            <w:r>
              <w:rPr>
                <w:rFonts w:ascii="Aptos" w:hAnsi="Aptos"/>
                <w:b/>
                <w:sz w:val="17"/>
              </w:rPr>
              <w:t>Business model</w:t>
            </w:r>
          </w:p>
        </w:tc>
        <w:tc>
          <w:tcPr>
            <w:tcW w:type="dxa" w:w="4968"/>
            <w:vAlign w:val="center"/>
          </w:tcPr>
          <w:p>
            <w:pPr>
              <w:spacing w:after="0"/>
            </w:pPr>
            <w:r/>
            <w:r>
              <w:rPr>
                <w:rFonts w:ascii="Aptos" w:hAnsi="Aptos"/>
                <w:b w:val="0"/>
                <w:sz w:val="17"/>
              </w:rPr>
              <w:t>B2B agricultural technology.</w:t>
            </w:r>
          </w:p>
        </w:tc>
      </w:tr>
      <w:tr>
        <w:tc>
          <w:tcPr>
            <w:tcW w:type="dxa" w:w="4968"/>
            <w:vAlign w:val="center"/>
          </w:tcPr>
          <w:p>
            <w:pPr>
              <w:spacing w:after="0"/>
            </w:pPr>
            <w:r/>
            <w:r>
              <w:rPr>
                <w:rFonts w:ascii="Aptos" w:hAnsi="Aptos"/>
                <w:b/>
                <w:sz w:val="17"/>
              </w:rPr>
              <w:t>Target customers</w:t>
            </w:r>
          </w:p>
        </w:tc>
        <w:tc>
          <w:tcPr>
            <w:tcW w:type="dxa" w:w="4968"/>
            <w:vAlign w:val="center"/>
          </w:tcPr>
          <w:p>
            <w:pPr>
              <w:spacing w:after="0"/>
            </w:pPr>
            <w:r/>
            <w:r>
              <w:rPr>
                <w:rFonts w:ascii="Aptos" w:hAnsi="Aptos"/>
                <w:b w:val="0"/>
                <w:sz w:val="17"/>
              </w:rPr>
              <w:t>Smallholder farmers, farmer cooperatives, and agribusinesses.</w:t>
            </w:r>
          </w:p>
        </w:tc>
      </w:tr>
      <w:tr>
        <w:tc>
          <w:tcPr>
            <w:tcW w:type="dxa" w:w="4968"/>
            <w:vAlign w:val="center"/>
          </w:tcPr>
          <w:p>
            <w:pPr>
              <w:spacing w:after="0"/>
            </w:pPr>
            <w:r/>
            <w:r>
              <w:rPr>
                <w:rFonts w:ascii="Aptos" w:hAnsi="Aptos"/>
                <w:b/>
                <w:sz w:val="17"/>
              </w:rPr>
              <w:t>Product / service</w:t>
            </w:r>
          </w:p>
        </w:tc>
        <w:tc>
          <w:tcPr>
            <w:tcW w:type="dxa" w:w="4968"/>
            <w:vAlign w:val="center"/>
          </w:tcPr>
          <w:p>
            <w:pPr>
              <w:spacing w:after="0"/>
            </w:pPr>
            <w:r/>
            <w:r>
              <w:rPr>
                <w:rFonts w:ascii="Aptos" w:hAnsi="Aptos"/>
                <w:b w:val="0"/>
                <w:sz w:val="17"/>
              </w:rPr>
              <w:t>Crop monitoring, farm advisory, and agricultural market insights.</w:t>
            </w:r>
          </w:p>
        </w:tc>
      </w:tr>
      <w:tr>
        <w:tc>
          <w:tcPr>
            <w:tcW w:type="dxa" w:w="4968"/>
            <w:vAlign w:val="center"/>
          </w:tcPr>
          <w:p>
            <w:pPr>
              <w:spacing w:after="0"/>
            </w:pPr>
            <w:r/>
            <w:r>
              <w:rPr>
                <w:rFonts w:ascii="Aptos" w:hAnsi="Aptos"/>
                <w:b/>
                <w:sz w:val="17"/>
              </w:rPr>
              <w:t>Stage</w:t>
            </w:r>
          </w:p>
        </w:tc>
        <w:tc>
          <w:tcPr>
            <w:tcW w:type="dxa" w:w="4968"/>
            <w:vAlign w:val="center"/>
          </w:tcPr>
          <w:p>
            <w:pPr>
              <w:spacing w:after="0"/>
            </w:pPr>
            <w:r/>
            <w:r>
              <w:rPr>
                <w:rFonts w:ascii="Aptos" w:hAnsi="Aptos"/>
                <w:b w:val="0"/>
                <w:sz w:val="17"/>
              </w:rPr>
              <w:t>Seed / early stage.</w:t>
            </w:r>
          </w:p>
        </w:tc>
      </w:tr>
      <w:tr>
        <w:tc>
          <w:tcPr>
            <w:tcW w:type="dxa" w:w="4968"/>
            <w:vAlign w:val="center"/>
          </w:tcPr>
          <w:p>
            <w:pPr>
              <w:spacing w:after="0"/>
            </w:pPr>
            <w:r/>
            <w:r>
              <w:rPr>
                <w:rFonts w:ascii="Aptos" w:hAnsi="Aptos"/>
                <w:b/>
                <w:sz w:val="17"/>
              </w:rPr>
              <w:t>Traction</w:t>
            </w:r>
          </w:p>
        </w:tc>
        <w:tc>
          <w:tcPr>
            <w:tcW w:type="dxa" w:w="4968"/>
            <w:vAlign w:val="center"/>
          </w:tcPr>
          <w:p>
            <w:pPr>
              <w:spacing w:after="0"/>
            </w:pPr>
            <w:r/>
            <w:r>
              <w:rPr>
                <w:rFonts w:ascii="Aptos" w:hAnsi="Aptos"/>
                <w:b w:val="0"/>
                <w:sz w:val="17"/>
              </w:rPr>
              <w:t>Early commercial pilots. Pilot outcomes, paying-customer counts, retention, and independently verified impact data have not been provided.</w:t>
            </w:r>
          </w:p>
        </w:tc>
      </w:tr>
      <w:tr>
        <w:tc>
          <w:tcPr>
            <w:tcW w:type="dxa" w:w="4968"/>
            <w:vAlign w:val="center"/>
          </w:tcPr>
          <w:p>
            <w:pPr>
              <w:spacing w:after="0"/>
            </w:pPr>
            <w:r/>
            <w:r>
              <w:rPr>
                <w:rFonts w:ascii="Aptos" w:hAnsi="Aptos"/>
                <w:b/>
                <w:sz w:val="17"/>
              </w:rPr>
              <w:t>Funding target</w:t>
            </w:r>
          </w:p>
        </w:tc>
        <w:tc>
          <w:tcPr>
            <w:tcW w:type="dxa" w:w="4968"/>
            <w:vAlign w:val="center"/>
          </w:tcPr>
          <w:p>
            <w:pPr>
              <w:spacing w:after="0"/>
            </w:pPr>
            <w:r/>
            <w:r>
              <w:rPr>
                <w:rFonts w:ascii="Aptos" w:hAnsi="Aptos"/>
                <w:b w:val="0"/>
                <w:sz w:val="17"/>
              </w:rPr>
              <w:t>US$150,000 total external funding target across compatible sources. This is not necessarily a minimum amount required from any single funder.</w:t>
            </w:r>
          </w:p>
        </w:tc>
      </w:tr>
      <w:tr>
        <w:tc>
          <w:tcPr>
            <w:tcW w:type="dxa" w:w="4968"/>
            <w:vAlign w:val="center"/>
          </w:tcPr>
          <w:p>
            <w:pPr>
              <w:spacing w:after="0"/>
            </w:pPr>
            <w:r/>
            <w:r>
              <w:rPr>
                <w:rFonts w:ascii="Aptos" w:hAnsi="Aptos"/>
                <w:b/>
                <w:sz w:val="17"/>
              </w:rPr>
              <w:t>Preferred financing</w:t>
            </w:r>
          </w:p>
        </w:tc>
        <w:tc>
          <w:tcPr>
            <w:tcW w:type="dxa" w:w="4968"/>
            <w:vAlign w:val="center"/>
          </w:tcPr>
          <w:p>
            <w:pPr>
              <w:spacing w:after="0"/>
            </w:pPr>
            <w:r/>
            <w:r>
              <w:rPr>
                <w:rFonts w:ascii="Aptos" w:hAnsi="Aptos"/>
                <w:b w:val="0"/>
                <w:sz w:val="17"/>
              </w:rPr>
              <w:t>Grants and equity are preferred. Debt may be considered only if terms are suitable; do not treat debt as equivalent to a grant or assume repayment capacity.</w:t>
            </w:r>
          </w:p>
        </w:tc>
      </w:tr>
      <w:tr>
        <w:tc>
          <w:tcPr>
            <w:tcW w:type="dxa" w:w="4968"/>
            <w:vAlign w:val="center"/>
          </w:tcPr>
          <w:p>
            <w:pPr>
              <w:spacing w:after="0"/>
            </w:pPr>
            <w:r/>
            <w:r>
              <w:rPr>
                <w:rFonts w:ascii="Aptos" w:hAnsi="Aptos"/>
                <w:b/>
                <w:sz w:val="17"/>
              </w:rPr>
              <w:t>Intended use of funds</w:t>
            </w:r>
          </w:p>
        </w:tc>
        <w:tc>
          <w:tcPr>
            <w:tcW w:type="dxa" w:w="4968"/>
            <w:vAlign w:val="center"/>
          </w:tcPr>
          <w:p>
            <w:pPr>
              <w:spacing w:after="0"/>
            </w:pPr>
            <w:r/>
            <w:r>
              <w:rPr>
                <w:rFonts w:ascii="Aptos" w:hAnsi="Aptos"/>
                <w:b w:val="0"/>
                <w:sz w:val="17"/>
              </w:rPr>
              <w:t>Product development, field pilots, customer acquisition, and expansion.</w:t>
            </w:r>
          </w:p>
        </w:tc>
      </w:tr>
      <w:tr>
        <w:tc>
          <w:tcPr>
            <w:tcW w:type="dxa" w:w="4968"/>
            <w:vAlign w:val="center"/>
          </w:tcPr>
          <w:p>
            <w:pPr>
              <w:spacing w:after="0"/>
            </w:pPr>
            <w:r/>
            <w:r>
              <w:rPr>
                <w:rFonts w:ascii="Aptos" w:hAnsi="Aptos"/>
                <w:b/>
                <w:sz w:val="17"/>
              </w:rPr>
              <w:t>Timeline</w:t>
            </w:r>
          </w:p>
        </w:tc>
        <w:tc>
          <w:tcPr>
            <w:tcW w:type="dxa" w:w="4968"/>
            <w:vAlign w:val="center"/>
          </w:tcPr>
          <w:p>
            <w:pPr>
              <w:spacing w:after="0"/>
            </w:pPr>
            <w:r/>
            <w:r>
              <w:rPr>
                <w:rFonts w:ascii="Aptos" w:hAnsi="Aptos"/>
                <w:b w:val="0"/>
                <w:sz w:val="17"/>
              </w:rPr>
              <w:t>Funding needed within approximately 6–12 months.</w:t>
            </w:r>
          </w:p>
        </w:tc>
      </w:tr>
      <w:tr>
        <w:tc>
          <w:tcPr>
            <w:tcW w:type="dxa" w:w="4968"/>
            <w:vAlign w:val="center"/>
          </w:tcPr>
          <w:p>
            <w:pPr>
              <w:spacing w:after="0"/>
            </w:pPr>
            <w:r/>
            <w:r>
              <w:rPr>
                <w:rFonts w:ascii="Aptos" w:hAnsi="Aptos"/>
                <w:b/>
                <w:sz w:val="17"/>
              </w:rPr>
              <w:t>Geographic preference</w:t>
            </w:r>
          </w:p>
        </w:tc>
        <w:tc>
          <w:tcPr>
            <w:tcW w:type="dxa" w:w="4968"/>
            <w:vAlign w:val="center"/>
          </w:tcPr>
          <w:p>
            <w:pPr>
              <w:spacing w:after="0"/>
            </w:pPr>
            <w:r/>
            <w:r>
              <w:rPr>
                <w:rFonts w:ascii="Aptos" w:hAnsi="Aptos"/>
                <w:b w:val="0"/>
                <w:sz w:val="17"/>
              </w:rPr>
              <w:t>Kenya-focused or pan-African programs that explicitly include Kenya.</w:t>
            </w:r>
          </w:p>
        </w:tc>
      </w:tr>
      <w:tr>
        <w:tc>
          <w:tcPr>
            <w:tcW w:type="dxa" w:w="4968"/>
            <w:vAlign w:val="center"/>
          </w:tcPr>
          <w:p>
            <w:pPr>
              <w:spacing w:after="0"/>
            </w:pPr>
            <w:r/>
            <w:r>
              <w:rPr>
                <w:rFonts w:ascii="Aptos" w:hAnsi="Aptos"/>
                <w:b/>
                <w:sz w:val="17"/>
              </w:rPr>
              <w:t>Maximum dilution</w:t>
            </w:r>
          </w:p>
        </w:tc>
        <w:tc>
          <w:tcPr>
            <w:tcW w:type="dxa" w:w="4968"/>
            <w:vAlign w:val="center"/>
          </w:tcPr>
          <w:p>
            <w:pPr>
              <w:spacing w:after="0"/>
            </w:pPr>
            <w:r/>
            <w:r>
              <w:rPr>
                <w:rFonts w:ascii="Aptos" w:hAnsi="Aptos"/>
                <w:b w:val="0"/>
                <w:sz w:val="17"/>
              </w:rPr>
              <w:t>Unknown.</w:t>
            </w:r>
          </w:p>
        </w:tc>
      </w:tr>
      <w:tr>
        <w:tc>
          <w:tcPr>
            <w:tcW w:type="dxa" w:w="4968"/>
            <w:vAlign w:val="center"/>
          </w:tcPr>
          <w:p>
            <w:pPr>
              <w:spacing w:after="0"/>
            </w:pPr>
            <w:r/>
            <w:r>
              <w:rPr>
                <w:rFonts w:ascii="Aptos" w:hAnsi="Aptos"/>
                <w:b/>
                <w:sz w:val="17"/>
              </w:rPr>
              <w:t>Co-funding / matching capacity</w:t>
            </w:r>
          </w:p>
        </w:tc>
        <w:tc>
          <w:tcPr>
            <w:tcW w:type="dxa" w:w="4968"/>
            <w:vAlign w:val="center"/>
          </w:tcPr>
          <w:p>
            <w:pPr>
              <w:spacing w:after="0"/>
            </w:pPr>
            <w:r/>
            <w:r>
              <w:rPr>
                <w:rFonts w:ascii="Aptos" w:hAnsi="Aptos"/>
                <w:b w:val="0"/>
                <w:sz w:val="17"/>
              </w:rPr>
              <w:t>Unknown.</w:t>
            </w:r>
          </w:p>
        </w:tc>
      </w:tr>
      <w:tr>
        <w:tc>
          <w:tcPr>
            <w:tcW w:type="dxa" w:w="4968"/>
            <w:vAlign w:val="center"/>
          </w:tcPr>
          <w:p>
            <w:pPr>
              <w:spacing w:after="0"/>
            </w:pPr>
            <w:r/>
            <w:r>
              <w:rPr>
                <w:rFonts w:ascii="Aptos" w:hAnsi="Aptos"/>
                <w:b/>
                <w:sz w:val="17"/>
              </w:rPr>
              <w:t>Revenue and financials</w:t>
            </w:r>
          </w:p>
        </w:tc>
        <w:tc>
          <w:tcPr>
            <w:tcW w:type="dxa" w:w="4968"/>
            <w:vAlign w:val="center"/>
          </w:tcPr>
          <w:p>
            <w:pPr>
              <w:spacing w:after="0"/>
            </w:pPr>
            <w:r/>
            <w:r>
              <w:rPr>
                <w:rFonts w:ascii="Aptos" w:hAnsi="Aptos"/>
                <w:b w:val="0"/>
                <w:sz w:val="17"/>
              </w:rPr>
              <w:t>Revenue, financial statements, burn rate, runway, and cash-flow information are unknown.</w:t>
            </w:r>
          </w:p>
        </w:tc>
      </w:tr>
      <w:tr>
        <w:tc>
          <w:tcPr>
            <w:tcW w:type="dxa" w:w="4968"/>
            <w:vAlign w:val="center"/>
          </w:tcPr>
          <w:p>
            <w:pPr>
              <w:spacing w:after="0"/>
            </w:pPr>
            <w:r/>
            <w:r>
              <w:rPr>
                <w:rFonts w:ascii="Aptos" w:hAnsi="Aptos"/>
                <w:b/>
                <w:sz w:val="17"/>
              </w:rPr>
              <w:t>Team</w:t>
            </w:r>
          </w:p>
        </w:tc>
        <w:tc>
          <w:tcPr>
            <w:tcW w:type="dxa" w:w="4968"/>
            <w:vAlign w:val="center"/>
          </w:tcPr>
          <w:p>
            <w:pPr>
              <w:spacing w:after="0"/>
            </w:pPr>
            <w:r/>
            <w:r>
              <w:rPr>
                <w:rFonts w:ascii="Aptos" w:hAnsi="Aptos"/>
                <w:b w:val="0"/>
                <w:sz w:val="17"/>
              </w:rPr>
              <w:t>Team size, founder profiles, ownership, and founder eligibility characteristics are unknown.</w:t>
            </w:r>
          </w:p>
        </w:tc>
      </w:tr>
      <w:tr>
        <w:tc>
          <w:tcPr>
            <w:tcW w:type="dxa" w:w="4968"/>
            <w:vAlign w:val="center"/>
          </w:tcPr>
          <w:p>
            <w:pPr>
              <w:spacing w:after="0"/>
            </w:pPr>
            <w:r/>
            <w:r>
              <w:rPr>
                <w:rFonts w:ascii="Aptos" w:hAnsi="Aptos"/>
                <w:b/>
                <w:sz w:val="17"/>
              </w:rPr>
              <w:t>Company history</w:t>
            </w:r>
          </w:p>
        </w:tc>
        <w:tc>
          <w:tcPr>
            <w:tcW w:type="dxa" w:w="4968"/>
            <w:vAlign w:val="center"/>
          </w:tcPr>
          <w:p>
            <w:pPr>
              <w:spacing w:after="0"/>
            </w:pPr>
            <w:r/>
            <w:r>
              <w:rPr>
                <w:rFonts w:ascii="Aptos" w:hAnsi="Aptos"/>
                <w:b w:val="0"/>
                <w:sz w:val="17"/>
              </w:rPr>
              <w:t>Founding year, previous grants, investments, accelerators, and other funding history are unknown.</w:t>
            </w:r>
          </w:p>
        </w:tc>
      </w:tr>
      <w:tr>
        <w:tc>
          <w:tcPr>
            <w:tcW w:type="dxa" w:w="4968"/>
            <w:vAlign w:val="center"/>
          </w:tcPr>
          <w:p>
            <w:pPr>
              <w:spacing w:after="0"/>
            </w:pPr>
            <w:r/>
            <w:r>
              <w:rPr>
                <w:rFonts w:ascii="Aptos" w:hAnsi="Aptos"/>
                <w:b/>
                <w:sz w:val="17"/>
              </w:rPr>
              <w:t>Readiness</w:t>
            </w:r>
          </w:p>
        </w:tc>
        <w:tc>
          <w:tcPr>
            <w:tcW w:type="dxa" w:w="4968"/>
            <w:vAlign w:val="center"/>
          </w:tcPr>
          <w:p>
            <w:pPr>
              <w:spacing w:after="0"/>
            </w:pPr>
            <w:r/>
            <w:r>
              <w:rPr>
                <w:rFonts w:ascii="Aptos" w:hAnsi="Aptos"/>
                <w:b w:val="0"/>
                <w:sz w:val="17"/>
              </w:rPr>
              <w:t>Application readiness and availability of supporting documents are unknown.</w:t>
            </w:r>
          </w:p>
        </w:tc>
      </w:tr>
      <w:tr>
        <w:tc>
          <w:tcPr>
            <w:tcW w:type="dxa" w:w="4968"/>
            <w:vAlign w:val="center"/>
          </w:tcPr>
          <w:p>
            <w:pPr>
              <w:spacing w:after="0"/>
            </w:pPr>
            <w:r/>
            <w:r>
              <w:rPr>
                <w:rFonts w:ascii="Aptos" w:hAnsi="Aptos"/>
                <w:b/>
                <w:sz w:val="17"/>
              </w:rPr>
              <w:t>IP and impact</w:t>
            </w:r>
          </w:p>
        </w:tc>
        <w:tc>
          <w:tcPr>
            <w:tcW w:type="dxa" w:w="4968"/>
            <w:vAlign w:val="center"/>
          </w:tcPr>
          <w:p>
            <w:pPr>
              <w:spacing w:after="0"/>
            </w:pPr>
            <w:r/>
            <w:r>
              <w:rPr>
                <w:rFonts w:ascii="Aptos" w:hAnsi="Aptos"/>
                <w:b w:val="0"/>
                <w:sz w:val="17"/>
              </w:rPr>
              <w:t>Intellectual-property position and quantified climate, agricultural, or social-impact outcomes are unknown.</w:t>
            </w:r>
          </w:p>
        </w:tc>
      </w:tr>
    </w:tbl>
    <w:p>
      <w:pPr>
        <w:pStyle w:val="Heading1"/>
      </w:pPr>
      <w:r>
        <w:t>3. Interpretation and handling rules</w:t>
      </w:r>
    </w:p>
    <w:p>
      <w:pPr>
        <w:pStyle w:val="ListBullet"/>
        <w:spacing w:after="40"/>
      </w:pPr>
      <w:r>
        <w:t>Treat every profile detail as synthetic test input, not verified real-world information.</w:t>
      </w:r>
    </w:p>
    <w:p>
      <w:pPr>
        <w:pStyle w:val="ListBullet"/>
        <w:spacing w:after="40"/>
      </w:pPr>
      <w:r>
        <w:t>Do not infer that the startup is legally registered merely because its name contains “Ltd.” Registration must be explicitly verified for any real-world recommendation.</w:t>
      </w:r>
    </w:p>
    <w:p>
      <w:pPr>
        <w:pStyle w:val="ListBullet"/>
        <w:spacing w:after="40"/>
      </w:pPr>
      <w:r>
        <w:t>Keep unknown values unknown. Do not invent revenue, founder demographics, team size, co-funding capacity, traction metrics, impact outcomes, or application documents.</w:t>
      </w:r>
    </w:p>
    <w:p>
      <w:pPr>
        <w:pStyle w:val="ListBullet"/>
        <w:spacing w:after="40"/>
      </w:pPr>
      <w:r>
        <w:t>Interpret US$150,000 as the total external funding target across compatible sources. A smaller award may still be useful; explain the nominal gap and avoid implying that the maximum advertised award is guaranteed.</w:t>
      </w:r>
    </w:p>
    <w:p>
      <w:pPr>
        <w:pStyle w:val="ListBullet"/>
        <w:spacing w:after="40"/>
      </w:pPr>
      <w:r>
        <w:t>Rank grants and equity ahead of debt when fit is otherwise comparable. Debt can be included as a secondary option only with explicit repayment, collateral, pricing, and eligibility caveats where those terms are unknown.</w:t>
      </w:r>
    </w:p>
    <w:p>
      <w:pPr>
        <w:pStyle w:val="ListBullet"/>
        <w:spacing w:after="40"/>
      </w:pPr>
      <w:r>
        <w:t>Distinguish a funding opportunity’s stated maximum from the amount a particular applicant may receive. State whether an amount is a maximum, typical range, total package, or cash component when the record provides that detail.</w:t>
      </w:r>
    </w:p>
    <w:p>
      <w:pPr>
        <w:pStyle w:val="ListBullet"/>
        <w:spacing w:after="40"/>
      </w:pPr>
      <w:r>
        <w:t>Separate eligibility status, relevance/fit, and evidence confidence. A high apparent fit does not prove eligibility or imply a high probability of winning.</w:t>
      </w:r>
    </w:p>
    <w:p>
      <w:pPr>
        <w:pStyle w:val="ListBullet"/>
        <w:spacing w:after="40"/>
      </w:pPr>
      <w:r>
        <w:t>For real-world research runs, only call an opportunity open when current, sufficiently authoritative evidence supports that status. If status, deadline, geography, or eligibility cannot be verified, label it unknown and state what needs checking.</w:t>
      </w:r>
    </w:p>
    <w:p>
      <w:pPr>
        <w:pStyle w:val="ListBullet"/>
        <w:spacing w:after="40"/>
      </w:pPr>
      <w:r>
        <w:t>Do not treat any scenario record in this document as a real funder or real opportunity. Scenario data is for controlled testing only.</w:t>
      </w:r>
    </w:p>
    <w:p>
      <w:pPr>
        <w:pStyle w:val="ListBullet"/>
        <w:spacing w:after="40"/>
      </w:pPr>
      <w:r>
        <w:t>Do not count duplicate records for the same underlying opportunity more than once in a shortlist or funding total.</w:t>
      </w:r>
    </w:p>
    <w:p>
      <w:pPr>
        <w:pStyle w:val="Heading1"/>
      </w:pPr>
      <w:r>
        <w:t>4. Required output fields for each candidate opportunity</w:t>
      </w:r>
    </w:p>
    <w:p>
      <w:r>
        <w:t>For every opportunity assessed in a test run, the AI output should include the following fields when applicable. If a field is unknown, say so rather than fabricating a value.</w:t>
      </w:r>
    </w:p>
    <w:tbl>
      <w:tblPr>
        <w:tblStyle w:val="TableGrid"/>
        <w:tblW w:type="auto" w:w="0"/>
        <w:tblLook w:firstColumn="1" w:firstRow="1" w:lastColumn="0" w:lastRow="0" w:noHBand="0" w:noVBand="1" w:val="04A0"/>
      </w:tblPr>
      <w:tblGrid>
        <w:gridCol w:w="4968"/>
        <w:gridCol w:w="4968"/>
      </w:tblGrid>
      <w:tr>
        <w:tc>
          <w:tcPr>
            <w:tcW w:type="dxa" w:w="4968"/>
            <w:vAlign w:val="center"/>
            <w:shd w:fill="D9E6F2"/>
          </w:tcPr>
          <w:p>
            <w:pPr>
              <w:spacing w:after="0"/>
            </w:pPr>
            <w:r/>
            <w:r>
              <w:rPr>
                <w:rFonts w:ascii="Aptos" w:hAnsi="Aptos"/>
                <w:b/>
                <w:sz w:val="17"/>
              </w:rPr>
              <w:t>Field</w:t>
            </w:r>
          </w:p>
        </w:tc>
        <w:tc>
          <w:tcPr>
            <w:tcW w:type="dxa" w:w="4968"/>
            <w:vAlign w:val="center"/>
            <w:shd w:fill="D9E6F2"/>
          </w:tcPr>
          <w:p>
            <w:pPr>
              <w:spacing w:after="0"/>
            </w:pPr>
            <w:r/>
            <w:r>
              <w:rPr>
                <w:rFonts w:ascii="Aptos" w:hAnsi="Aptos"/>
                <w:b/>
                <w:sz w:val="17"/>
              </w:rPr>
              <w:t>Required treatment</w:t>
            </w:r>
          </w:p>
        </w:tc>
      </w:tr>
      <w:tr>
        <w:tc>
          <w:tcPr>
            <w:tcW w:type="dxa" w:w="4968"/>
            <w:vAlign w:val="center"/>
          </w:tcPr>
          <w:p>
            <w:pPr>
              <w:spacing w:after="0"/>
            </w:pPr>
            <w:r/>
            <w:r>
              <w:rPr>
                <w:rFonts w:ascii="Aptos" w:hAnsi="Aptos"/>
                <w:b/>
                <w:sz w:val="17"/>
              </w:rPr>
              <w:t>Opportunity identity</w:t>
            </w:r>
          </w:p>
        </w:tc>
        <w:tc>
          <w:tcPr>
            <w:tcW w:type="dxa" w:w="4968"/>
            <w:vAlign w:val="center"/>
          </w:tcPr>
          <w:p>
            <w:pPr>
              <w:spacing w:after="0"/>
            </w:pPr>
            <w:r/>
            <w:r>
              <w:rPr>
                <w:rFonts w:ascii="Aptos" w:hAnsi="Aptos"/>
                <w:b w:val="0"/>
                <w:sz w:val="17"/>
              </w:rPr>
              <w:t>Name, funder, and a clear marker indicating whether the record is a fictional test fixture or a real-world opportunity.</w:t>
            </w:r>
          </w:p>
        </w:tc>
      </w:tr>
      <w:tr>
        <w:tc>
          <w:tcPr>
            <w:tcW w:type="dxa" w:w="4968"/>
            <w:vAlign w:val="center"/>
          </w:tcPr>
          <w:p>
            <w:pPr>
              <w:spacing w:after="0"/>
            </w:pPr>
            <w:r/>
            <w:r>
              <w:rPr>
                <w:rFonts w:ascii="Aptos" w:hAnsi="Aptos"/>
                <w:b/>
                <w:sz w:val="17"/>
              </w:rPr>
              <w:t>Opportunity category</w:t>
            </w:r>
          </w:p>
        </w:tc>
        <w:tc>
          <w:tcPr>
            <w:tcW w:type="dxa" w:w="4968"/>
            <w:vAlign w:val="center"/>
          </w:tcPr>
          <w:p>
            <w:pPr>
              <w:spacing w:after="0"/>
            </w:pPr>
            <w:r/>
            <w:r>
              <w:rPr>
                <w:rFonts w:ascii="Aptos" w:hAnsi="Aptos"/>
                <w:b w:val="0"/>
                <w:sz w:val="17"/>
              </w:rPr>
              <w:t>Grant, equity, debt, accelerator, competition, matching grant, mixed package, or other financing type.</w:t>
            </w:r>
          </w:p>
        </w:tc>
      </w:tr>
      <w:tr>
        <w:tc>
          <w:tcPr>
            <w:tcW w:type="dxa" w:w="4968"/>
            <w:vAlign w:val="center"/>
          </w:tcPr>
          <w:p>
            <w:pPr>
              <w:spacing w:after="0"/>
            </w:pPr>
            <w:r/>
            <w:r>
              <w:rPr>
                <w:rFonts w:ascii="Aptos" w:hAnsi="Aptos"/>
                <w:b/>
                <w:sz w:val="17"/>
              </w:rPr>
              <w:t>Geographic scope</w:t>
            </w:r>
          </w:p>
        </w:tc>
        <w:tc>
          <w:tcPr>
            <w:tcW w:type="dxa" w:w="4968"/>
            <w:vAlign w:val="center"/>
          </w:tcPr>
          <w:p>
            <w:pPr>
              <w:spacing w:after="0"/>
            </w:pPr>
            <w:r/>
            <w:r>
              <w:rPr>
                <w:rFonts w:ascii="Aptos" w:hAnsi="Aptos"/>
                <w:b w:val="0"/>
                <w:sz w:val="17"/>
              </w:rPr>
              <w:t>Eligible countries/regions and whether Kenya is explicitly included, excluded, or unknown.</w:t>
            </w:r>
          </w:p>
        </w:tc>
      </w:tr>
      <w:tr>
        <w:tc>
          <w:tcPr>
            <w:tcW w:type="dxa" w:w="4968"/>
            <w:vAlign w:val="center"/>
          </w:tcPr>
          <w:p>
            <w:pPr>
              <w:spacing w:after="0"/>
            </w:pPr>
            <w:r/>
            <w:r>
              <w:rPr>
                <w:rFonts w:ascii="Aptos" w:hAnsi="Aptos"/>
                <w:b/>
                <w:sz w:val="17"/>
              </w:rPr>
              <w:t>Stage and sector fit</w:t>
            </w:r>
          </w:p>
        </w:tc>
        <w:tc>
          <w:tcPr>
            <w:tcW w:type="dxa" w:w="4968"/>
            <w:vAlign w:val="center"/>
          </w:tcPr>
          <w:p>
            <w:pPr>
              <w:spacing w:after="0"/>
            </w:pPr>
            <w:r/>
            <w:r>
              <w:rPr>
                <w:rFonts w:ascii="Aptos" w:hAnsi="Aptos"/>
                <w:b w:val="0"/>
                <w:sz w:val="17"/>
              </w:rPr>
              <w:t>Stated stage and sector eligibility, with evidence or explicit uncertainty.</w:t>
            </w:r>
          </w:p>
        </w:tc>
      </w:tr>
      <w:tr>
        <w:tc>
          <w:tcPr>
            <w:tcW w:type="dxa" w:w="4968"/>
            <w:vAlign w:val="center"/>
          </w:tcPr>
          <w:p>
            <w:pPr>
              <w:spacing w:after="0"/>
            </w:pPr>
            <w:r/>
            <w:r>
              <w:rPr>
                <w:rFonts w:ascii="Aptos" w:hAnsi="Aptos"/>
                <w:b/>
                <w:sz w:val="17"/>
              </w:rPr>
              <w:t>Funding amount and structure</w:t>
            </w:r>
          </w:p>
        </w:tc>
        <w:tc>
          <w:tcPr>
            <w:tcW w:type="dxa" w:w="4968"/>
            <w:vAlign w:val="center"/>
          </w:tcPr>
          <w:p>
            <w:pPr>
              <w:spacing w:after="0"/>
            </w:pPr>
            <w:r/>
            <w:r>
              <w:rPr>
                <w:rFonts w:ascii="Aptos" w:hAnsi="Aptos"/>
                <w:b w:val="0"/>
                <w:sz w:val="17"/>
              </w:rPr>
              <w:t>Minimum/maximum or stated range; currency; direct cash versus in-kind support; whether amount is guaranteed or conditional.</w:t>
            </w:r>
          </w:p>
        </w:tc>
      </w:tr>
      <w:tr>
        <w:tc>
          <w:tcPr>
            <w:tcW w:type="dxa" w:w="4968"/>
            <w:vAlign w:val="center"/>
          </w:tcPr>
          <w:p>
            <w:pPr>
              <w:spacing w:after="0"/>
            </w:pPr>
            <w:r/>
            <w:r>
              <w:rPr>
                <w:rFonts w:ascii="Aptos" w:hAnsi="Aptos"/>
                <w:b/>
                <w:sz w:val="17"/>
              </w:rPr>
              <w:t>Use-of-funds fit</w:t>
            </w:r>
          </w:p>
        </w:tc>
        <w:tc>
          <w:tcPr>
            <w:tcW w:type="dxa" w:w="4968"/>
            <w:vAlign w:val="center"/>
          </w:tcPr>
          <w:p>
            <w:pPr>
              <w:spacing w:after="0"/>
            </w:pPr>
            <w:r/>
            <w:r>
              <w:rPr>
                <w:rFonts w:ascii="Aptos" w:hAnsi="Aptos"/>
                <w:b w:val="0"/>
                <w:sz w:val="17"/>
              </w:rPr>
              <w:t>Which of the startup’s proposed uses are allowed, restricted, or unknown.</w:t>
            </w:r>
          </w:p>
        </w:tc>
      </w:tr>
      <w:tr>
        <w:tc>
          <w:tcPr>
            <w:tcW w:type="dxa" w:w="4968"/>
            <w:vAlign w:val="center"/>
          </w:tcPr>
          <w:p>
            <w:pPr>
              <w:spacing w:after="0"/>
            </w:pPr>
            <w:r/>
            <w:r>
              <w:rPr>
                <w:rFonts w:ascii="Aptos" w:hAnsi="Aptos"/>
                <w:b/>
                <w:sz w:val="17"/>
              </w:rPr>
              <w:t>Eligibility status</w:t>
            </w:r>
          </w:p>
        </w:tc>
        <w:tc>
          <w:tcPr>
            <w:tcW w:type="dxa" w:w="4968"/>
            <w:vAlign w:val="center"/>
          </w:tcPr>
          <w:p>
            <w:pPr>
              <w:spacing w:after="0"/>
            </w:pPr>
            <w:r/>
            <w:r>
              <w:rPr>
                <w:rFonts w:ascii="Aptos" w:hAnsi="Aptos"/>
                <w:b w:val="0"/>
                <w:sz w:val="17"/>
              </w:rPr>
              <w:t>Confirmed eligible, likely eligible but unverified, potentially eligible pending clarification, ineligible, or unknown; explain the decisive requirements.</w:t>
            </w:r>
          </w:p>
        </w:tc>
      </w:tr>
      <w:tr>
        <w:tc>
          <w:tcPr>
            <w:tcW w:type="dxa" w:w="4968"/>
            <w:vAlign w:val="center"/>
          </w:tcPr>
          <w:p>
            <w:pPr>
              <w:spacing w:after="0"/>
            </w:pPr>
            <w:r/>
            <w:r>
              <w:rPr>
                <w:rFonts w:ascii="Aptos" w:hAnsi="Aptos"/>
                <w:b/>
                <w:sz w:val="17"/>
              </w:rPr>
              <w:t>Application status</w:t>
            </w:r>
          </w:p>
        </w:tc>
        <w:tc>
          <w:tcPr>
            <w:tcW w:type="dxa" w:w="4968"/>
            <w:vAlign w:val="center"/>
          </w:tcPr>
          <w:p>
            <w:pPr>
              <w:spacing w:after="0"/>
            </w:pPr>
            <w:r/>
            <w:r>
              <w:rPr>
                <w:rFonts w:ascii="Aptos" w:hAnsi="Aptos"/>
                <w:b w:val="0"/>
                <w:sz w:val="17"/>
              </w:rPr>
              <w:t>Open, closed, upcoming, rolling, invitation-only, paused, or unknown, with deadline/status evidence when available.</w:t>
            </w:r>
          </w:p>
        </w:tc>
      </w:tr>
      <w:tr>
        <w:tc>
          <w:tcPr>
            <w:tcW w:type="dxa" w:w="4968"/>
            <w:vAlign w:val="center"/>
          </w:tcPr>
          <w:p>
            <w:pPr>
              <w:spacing w:after="0"/>
            </w:pPr>
            <w:r/>
            <w:r>
              <w:rPr>
                <w:rFonts w:ascii="Aptos" w:hAnsi="Aptos"/>
                <w:b/>
                <w:sz w:val="17"/>
              </w:rPr>
              <w:t>Fit assessment</w:t>
            </w:r>
          </w:p>
        </w:tc>
        <w:tc>
          <w:tcPr>
            <w:tcW w:type="dxa" w:w="4968"/>
            <w:vAlign w:val="center"/>
          </w:tcPr>
          <w:p>
            <w:pPr>
              <w:spacing w:after="0"/>
            </w:pPr>
            <w:r/>
            <w:r>
              <w:rPr>
                <w:rFonts w:ascii="Aptos" w:hAnsi="Aptos"/>
                <w:b w:val="0"/>
                <w:sz w:val="17"/>
              </w:rPr>
              <w:t>A reasoned assessment of relevance to this profile. Do not conflate fit with probability of award.</w:t>
            </w:r>
          </w:p>
        </w:tc>
      </w:tr>
      <w:tr>
        <w:tc>
          <w:tcPr>
            <w:tcW w:type="dxa" w:w="4968"/>
            <w:vAlign w:val="center"/>
          </w:tcPr>
          <w:p>
            <w:pPr>
              <w:spacing w:after="0"/>
            </w:pPr>
            <w:r/>
            <w:r>
              <w:rPr>
                <w:rFonts w:ascii="Aptos" w:hAnsi="Aptos"/>
                <w:b/>
                <w:sz w:val="17"/>
              </w:rPr>
              <w:t>Evidence confidence</w:t>
            </w:r>
          </w:p>
        </w:tc>
        <w:tc>
          <w:tcPr>
            <w:tcW w:type="dxa" w:w="4968"/>
            <w:vAlign w:val="center"/>
          </w:tcPr>
          <w:p>
            <w:pPr>
              <w:spacing w:after="0"/>
            </w:pPr>
            <w:r/>
            <w:r>
              <w:rPr>
                <w:rFonts w:ascii="Aptos" w:hAnsi="Aptos"/>
                <w:b w:val="0"/>
                <w:sz w:val="17"/>
              </w:rPr>
              <w:t>How well the material claims are supported, separately from fit.</w:t>
            </w:r>
          </w:p>
        </w:tc>
      </w:tr>
      <w:tr>
        <w:tc>
          <w:tcPr>
            <w:tcW w:type="dxa" w:w="4968"/>
            <w:vAlign w:val="center"/>
          </w:tcPr>
          <w:p>
            <w:pPr>
              <w:spacing w:after="0"/>
            </w:pPr>
            <w:r/>
            <w:r>
              <w:rPr>
                <w:rFonts w:ascii="Aptos" w:hAnsi="Aptos"/>
                <w:b/>
                <w:sz w:val="17"/>
              </w:rPr>
              <w:t>Risks and unknowns</w:t>
            </w:r>
          </w:p>
        </w:tc>
        <w:tc>
          <w:tcPr>
            <w:tcW w:type="dxa" w:w="4968"/>
            <w:vAlign w:val="center"/>
          </w:tcPr>
          <w:p>
            <w:pPr>
              <w:spacing w:after="0"/>
            </w:pPr>
            <w:r/>
            <w:r>
              <w:rPr>
                <w:rFonts w:ascii="Aptos" w:hAnsi="Aptos"/>
                <w:b w:val="0"/>
                <w:sz w:val="17"/>
              </w:rPr>
              <w:t>Missing requirements, matching funds, dilution, repayment, documentation, geographic uncertainty, or other material caveats.</w:t>
            </w:r>
          </w:p>
        </w:tc>
      </w:tr>
      <w:tr>
        <w:tc>
          <w:tcPr>
            <w:tcW w:type="dxa" w:w="4968"/>
            <w:vAlign w:val="center"/>
          </w:tcPr>
          <w:p>
            <w:pPr>
              <w:spacing w:after="0"/>
            </w:pPr>
            <w:r/>
            <w:r>
              <w:rPr>
                <w:rFonts w:ascii="Aptos" w:hAnsi="Aptos"/>
                <w:b/>
                <w:sz w:val="17"/>
              </w:rPr>
              <w:t>Next action</w:t>
            </w:r>
          </w:p>
        </w:tc>
        <w:tc>
          <w:tcPr>
            <w:tcW w:type="dxa" w:w="4968"/>
            <w:vAlign w:val="center"/>
          </w:tcPr>
          <w:p>
            <w:pPr>
              <w:spacing w:after="0"/>
            </w:pPr>
            <w:r/>
            <w:r>
              <w:rPr>
                <w:rFonts w:ascii="Aptos" w:hAnsi="Aptos"/>
                <w:b w:val="0"/>
                <w:sz w:val="17"/>
              </w:rPr>
              <w:t>A specific verification or application-preparation step, prioritized by importance.</w:t>
            </w:r>
          </w:p>
        </w:tc>
      </w:tr>
      <w:tr>
        <w:tc>
          <w:tcPr>
            <w:tcW w:type="dxa" w:w="4968"/>
            <w:vAlign w:val="center"/>
          </w:tcPr>
          <w:p>
            <w:pPr>
              <w:spacing w:after="0"/>
            </w:pPr>
            <w:r/>
            <w:r>
              <w:rPr>
                <w:rFonts w:ascii="Aptos" w:hAnsi="Aptos"/>
                <w:b/>
                <w:sz w:val="17"/>
              </w:rPr>
              <w:t>Source record</w:t>
            </w:r>
          </w:p>
        </w:tc>
        <w:tc>
          <w:tcPr>
            <w:tcW w:type="dxa" w:w="4968"/>
            <w:vAlign w:val="center"/>
          </w:tcPr>
          <w:p>
            <w:pPr>
              <w:spacing w:after="0"/>
            </w:pPr>
            <w:r/>
            <w:r>
              <w:rPr>
                <w:rFonts w:ascii="Aptos" w:hAnsi="Aptos"/>
                <w:b w:val="0"/>
                <w:sz w:val="17"/>
              </w:rPr>
              <w:t>For real-world research only: source title, publisher, URL, access/check date, and which claims it supports. Do not fabricate sources or URLs.</w:t>
            </w:r>
          </w:p>
        </w:tc>
      </w:tr>
    </w:tbl>
    <w:p>
      <w:pPr>
        <w:pStyle w:val="Heading1"/>
      </w:pPr>
      <w:r>
        <w:t>5. Controlled test scenarios A–J</w:t>
      </w:r>
    </w:p>
    <w:p>
      <w:r>
        <w:t>All records below are deliberately fictional. They exist only to test the AI’s handling of specified conditions. Names, amounts, rules, deadlines, and statuses must never be reused as real-world claims.</w:t>
      </w:r>
    </w:p>
    <w:p>
      <w:pPr>
        <w:pStyle w:val="Heading2"/>
      </w:pPr>
      <w:r>
        <w:t>A. Strong apparent fit, but registration is unverified</w:t>
      </w:r>
    </w:p>
    <w:p>
      <w:r>
        <w:rPr>
          <w:b/>
        </w:rPr>
        <w:t xml:space="preserve">Fictional fixture: </w:t>
      </w:r>
      <w:r>
        <w:t>AgriFuture Innovation Grant (fictional). Kenya; seed/early stage; agritech; grant up to US$150,000; product development and field pilots allowed; applicant must be legally registered; status marked open in the test fixture. GreenHarvest’s actual registration is unknown.</w:t>
      </w:r>
    </w:p>
    <w:p>
      <w:r>
        <w:rPr>
          <w:b/>
        </w:rPr>
        <w:t>Expected behavior</w:t>
      </w:r>
    </w:p>
    <w:p>
      <w:pPr>
        <w:pStyle w:val="ListBullet2"/>
        <w:spacing w:after="40"/>
      </w:pPr>
      <w:r>
        <w:t>Recognize strong apparent sector, stage, geography, use-of-funds, and amount alignment.</w:t>
      </w:r>
    </w:p>
    <w:p>
      <w:pPr>
        <w:pStyle w:val="ListBullet2"/>
        <w:spacing w:after="40"/>
      </w:pPr>
      <w:r>
        <w:t>Do not mark the startup confirmed eligible because the required registration has not been verified.</w:t>
      </w:r>
    </w:p>
    <w:p>
      <w:pPr>
        <w:pStyle w:val="ListBullet2"/>
        <w:spacing w:after="40"/>
      </w:pPr>
      <w:r>
        <w:t>Explain that “up to US$150,000” is a maximum, not a guaranteed award.</w:t>
      </w:r>
    </w:p>
    <w:p>
      <w:pPr>
        <w:pStyle w:val="ListBullet2"/>
        <w:spacing w:after="40"/>
      </w:pPr>
      <w:r>
        <w:t>Next action: verify legal registration and review all remaining eligibility and application requirements.</w:t>
      </w:r>
    </w:p>
    <w:p>
      <w:pPr>
        <w:pStyle w:val="Heading2"/>
      </w:pPr>
      <w:r>
        <w:t>B. Grant is smaller than the total target</w:t>
      </w:r>
    </w:p>
    <w:p>
      <w:r>
        <w:rPr>
          <w:b/>
        </w:rPr>
        <w:t xml:space="preserve">Fictional fixture: </w:t>
      </w:r>
      <w:r>
        <w:t>FarmTech Growth Grant (fictional). Kenya; agritech; grant up to US$100,000; registration required; status marked open in the test fixture.</w:t>
      </w:r>
    </w:p>
    <w:p>
      <w:r>
        <w:rPr>
          <w:b/>
        </w:rPr>
        <w:t>Expected behavior</w:t>
      </w:r>
    </w:p>
    <w:p>
      <w:pPr>
        <w:pStyle w:val="ListBullet2"/>
        <w:spacing w:after="40"/>
      </w:pPr>
      <w:r>
        <w:t>Recognize potential relevance if the other stated requirements fit, while keeping registration status unresolved.</w:t>
      </w:r>
    </w:p>
    <w:p>
      <w:pPr>
        <w:pStyle w:val="ListBullet2"/>
        <w:spacing w:after="40"/>
      </w:pPr>
      <w:r>
        <w:t>Calculate the nominal difference between the US$150,000 target and US$100,000 maximum as US$50,000.</w:t>
      </w:r>
    </w:p>
    <w:p>
      <w:pPr>
        <w:pStyle w:val="ListBullet2"/>
        <w:spacing w:after="40"/>
      </w:pPr>
      <w:r>
        <w:t>Explain that the actual award may be lower than the maximum and that the gap may require other compatible sources or a revised budget.</w:t>
      </w:r>
    </w:p>
    <w:p>
      <w:pPr>
        <w:pStyle w:val="ListBullet2"/>
        <w:spacing w:after="40"/>
      </w:pPr>
      <w:r>
        <w:t>Do not reject the opportunity solely because its maximum is below the total target.</w:t>
      </w:r>
    </w:p>
    <w:p>
      <w:pPr>
        <w:pStyle w:val="Heading2"/>
      </w:pPr>
      <w:r>
        <w:t>C. Debt option with unknown commercial terms</w:t>
      </w:r>
    </w:p>
    <w:p>
      <w:r>
        <w:rPr>
          <w:b/>
        </w:rPr>
        <w:t xml:space="preserve">Fictional fixture: </w:t>
      </w:r>
      <w:r>
        <w:t>Commercial Agriculture Loan (fictional). Loan up to US$200,000; financial records required; interest rate, fees, collateral, repayment schedule, and other terms are unknown. GreenHarvest’s revenue and repayment capacity are unknown.</w:t>
      </w:r>
    </w:p>
    <w:p>
      <w:r>
        <w:rPr>
          <w:b/>
        </w:rPr>
        <w:t>Expected behavior</w:t>
      </w:r>
    </w:p>
    <w:p>
      <w:pPr>
        <w:pStyle w:val="ListBullet2"/>
        <w:spacing w:after="40"/>
      </w:pPr>
      <w:r>
        <w:t>Classify it as debt, not a grant or equity investment.</w:t>
      </w:r>
    </w:p>
    <w:p>
      <w:pPr>
        <w:pStyle w:val="ListBullet2"/>
        <w:spacing w:after="40"/>
      </w:pPr>
      <w:r>
        <w:t>Treat it as a secondary/conditional option because debt is not the preferred financing type.</w:t>
      </w:r>
    </w:p>
    <w:p>
      <w:pPr>
        <w:pStyle w:val="ListBullet2"/>
        <w:spacing w:after="40"/>
      </w:pPr>
      <w:r>
        <w:t>Do not assume the startup can repay or qualifies based on the amount alone.</w:t>
      </w:r>
    </w:p>
    <w:p>
      <w:pPr>
        <w:pStyle w:val="ListBullet2"/>
        <w:spacing w:after="40"/>
      </w:pPr>
      <w:r>
        <w:t>Flag the unknown price and risk terms; recommend reviewing the full term sheet and repayment capacity before proceeding.</w:t>
      </w:r>
    </w:p>
    <w:p>
      <w:pPr>
        <w:pStyle w:val="Heading2"/>
      </w:pPr>
      <w:r>
        <w:t>D. Geography or eligibility is unknown</w:t>
      </w:r>
    </w:p>
    <w:p>
      <w:r>
        <w:rPr>
          <w:b/>
        </w:rPr>
        <w:t xml:space="preserve">Fictional fixture: </w:t>
      </w:r>
      <w:r>
        <w:t>Pan-African Agritech Accelerator (fictional). Described as serving African startups and agritech businesses; stage appears aligned; funding terms, eligible-country list, and current application status are unknown.</w:t>
      </w:r>
    </w:p>
    <w:p>
      <w:r>
        <w:rPr>
          <w:b/>
        </w:rPr>
        <w:t>Expected behavior</w:t>
      </w:r>
    </w:p>
    <w:p>
      <w:pPr>
        <w:pStyle w:val="ListBullet2"/>
        <w:spacing w:after="40"/>
      </w:pPr>
      <w:r>
        <w:t>Do not assume that a broad “African” label proves Kenya is eligible.</w:t>
      </w:r>
    </w:p>
    <w:p>
      <w:pPr>
        <w:pStyle w:val="ListBullet2"/>
        <w:spacing w:after="40"/>
      </w:pPr>
      <w:r>
        <w:t>Mark country eligibility, funding structure, and application status as unknown until verified.</w:t>
      </w:r>
    </w:p>
    <w:p>
      <w:pPr>
        <w:pStyle w:val="ListBullet2"/>
        <w:spacing w:after="40"/>
      </w:pPr>
      <w:r>
        <w:t>State the exact missing information and propose checking the official eligibility guidance or contacting the program.</w:t>
      </w:r>
    </w:p>
    <w:p>
      <w:pPr>
        <w:pStyle w:val="Heading2"/>
      </w:pPr>
      <w:r>
        <w:t>E. Closed opportunity</w:t>
      </w:r>
    </w:p>
    <w:p>
      <w:r>
        <w:rPr>
          <w:b/>
        </w:rPr>
        <w:t xml:space="preserve">Fictional fixture: </w:t>
      </w:r>
      <w:r>
        <w:t>Harvest Innovation Challenge (fictional). US$75,000 grant; the test record says the application deadline has passed and the opportunity is closed.</w:t>
      </w:r>
    </w:p>
    <w:p>
      <w:r>
        <w:rPr>
          <w:b/>
        </w:rPr>
        <w:t>Expected behavior</w:t>
      </w:r>
    </w:p>
    <w:p>
      <w:pPr>
        <w:pStyle w:val="ListBullet2"/>
        <w:spacing w:after="40"/>
      </w:pPr>
      <w:r>
        <w:t>Label the opportunity closed in this controlled test.</w:t>
      </w:r>
    </w:p>
    <w:p>
      <w:pPr>
        <w:pStyle w:val="ListBullet2"/>
        <w:spacing w:after="40"/>
      </w:pPr>
      <w:r>
        <w:t>Do not recommend applying immediately or present it as currently open.</w:t>
      </w:r>
    </w:p>
    <w:p>
      <w:pPr>
        <w:pStyle w:val="ListBullet2"/>
        <w:spacing w:after="40"/>
      </w:pPr>
      <w:r>
        <w:t>Do not assume the program recurs; if useful, suggest checking whether a future round is officially announced.</w:t>
      </w:r>
    </w:p>
    <w:p>
      <w:pPr>
        <w:pStyle w:val="Heading2"/>
      </w:pPr>
      <w:r>
        <w:t>F. Conflicting funding amounts across sources</w:t>
      </w:r>
    </w:p>
    <w:p>
      <w:r>
        <w:rPr>
          <w:b/>
        </w:rPr>
        <w:t xml:space="preserve">Fictional fixture: </w:t>
      </w:r>
      <w:r>
        <w:t>Climate-Smart Farming Fund (fictional). The current official guideline states a maximum of US$80,000; an older secondary article states US$120,000. The test record marks the call open, Kenya as included, and legal registration as required; GreenHarvest’s registration remains unknown.</w:t>
      </w:r>
    </w:p>
    <w:p>
      <w:r>
        <w:rPr>
          <w:b/>
        </w:rPr>
        <w:t>Expected behavior</w:t>
      </w:r>
    </w:p>
    <w:p>
      <w:pPr>
        <w:pStyle w:val="ListBullet2"/>
        <w:spacing w:after="40"/>
      </w:pPr>
      <w:r>
        <w:t>Prefer the current official guideline over the older secondary article for the current stated maximum, and explicitly describe the discrepancy.</w:t>
      </w:r>
    </w:p>
    <w:p>
      <w:pPr>
        <w:pStyle w:val="ListBullet2"/>
        <w:spacing w:after="40"/>
      </w:pPr>
      <w:r>
        <w:t>Use US$80,000 as the current evidence-backed maximum in the test scenario, not US$120,000.</w:t>
      </w:r>
    </w:p>
    <w:p>
      <w:pPr>
        <w:pStyle w:val="ListBullet2"/>
        <w:spacing w:after="40"/>
      </w:pPr>
      <w:r>
        <w:t>Calculate the nominal difference from the US$150,000 target as US$70,000.</w:t>
      </w:r>
    </w:p>
    <w:p>
      <w:pPr>
        <w:pStyle w:val="ListBullet2"/>
        <w:spacing w:after="40"/>
      </w:pPr>
      <w:r>
        <w:t>Do not mark the startup confirmed eligible while its registration is unverified.</w:t>
      </w:r>
    </w:p>
    <w:p>
      <w:pPr>
        <w:pStyle w:val="Heading2"/>
      </w:pPr>
      <w:r>
        <w:t>G. Unsupported opportunity with no source</w:t>
      </w:r>
    </w:p>
    <w:p>
      <w:r>
        <w:rPr>
          <w:b/>
        </w:rPr>
        <w:t xml:space="preserve">Fictional fixture: </w:t>
      </w:r>
      <w:r>
        <w:t>Green Africa Mega Grant (fictional). A name and basic description appear in a test input, but no source, official page, URL, eligibility rules, deadline, or evidence is supplied.</w:t>
      </w:r>
    </w:p>
    <w:p>
      <w:r>
        <w:rPr>
          <w:b/>
        </w:rPr>
        <w:t>Expected behavior</w:t>
      </w:r>
    </w:p>
    <w:p>
      <w:pPr>
        <w:pStyle w:val="ListBullet2"/>
        <w:spacing w:after="40"/>
      </w:pPr>
      <w:r>
        <w:t>Do not present it as a verified real-world opportunity.</w:t>
      </w:r>
    </w:p>
    <w:p>
      <w:pPr>
        <w:pStyle w:val="ListBullet2"/>
        <w:spacing w:after="40"/>
      </w:pPr>
      <w:r>
        <w:t>In a controlled test, identify it as an unsupported fictional fixture and state that evidence is absent.</w:t>
      </w:r>
    </w:p>
    <w:p>
      <w:pPr>
        <w:pStyle w:val="ListBullet2"/>
        <w:spacing w:after="40"/>
      </w:pPr>
      <w:r>
        <w:t>Do not fabricate a funder, contact, official website, deadline, or application link.</w:t>
      </w:r>
    </w:p>
    <w:p>
      <w:pPr>
        <w:pStyle w:val="ListBullet2"/>
        <w:spacing w:after="40"/>
      </w:pPr>
      <w:r>
        <w:t>In live discovery, exclude unsupported records from verified recommendations unless independent reliable evidence is found.</w:t>
      </w:r>
    </w:p>
    <w:p>
      <w:pPr>
        <w:pStyle w:val="Heading2"/>
      </w:pPr>
      <w:r>
        <w:t>H. Mixed package: cash plus in-kind support</w:t>
      </w:r>
    </w:p>
    <w:p>
      <w:r>
        <w:rPr>
          <w:b/>
        </w:rPr>
        <w:t xml:space="preserve">Fictional fixture: </w:t>
      </w:r>
      <w:r>
        <w:t>Digital Agriculture Accelerator (fictional). Advertised total package is US$100,000, consisting of US$20,000 cash plus US$80,000 in non-cash support. Registration requirement is unknown.</w:t>
      </w:r>
    </w:p>
    <w:p>
      <w:r>
        <w:rPr>
          <w:b/>
        </w:rPr>
        <w:t>Expected behavior</w:t>
      </w:r>
    </w:p>
    <w:p>
      <w:pPr>
        <w:pStyle w:val="ListBullet2"/>
        <w:spacing w:after="40"/>
      </w:pPr>
      <w:r>
        <w:t>Clearly separate the US$20,000 direct cash component from US$80,000 in-kind support.</w:t>
      </w:r>
    </w:p>
    <w:p>
      <w:pPr>
        <w:pStyle w:val="ListBullet2"/>
        <w:spacing w:after="40"/>
      </w:pPr>
      <w:r>
        <w:t>Do not report the total package as US$100,000 cash funding.</w:t>
      </w:r>
    </w:p>
    <w:p>
      <w:pPr>
        <w:pStyle w:val="ListBullet2"/>
        <w:spacing w:after="40"/>
      </w:pPr>
      <w:r>
        <w:t>Against the US$150,000 cash target, state a nominal cash gap of US$130,000 before considering whether the in-kind support offsets any planned costs.</w:t>
      </w:r>
    </w:p>
    <w:p>
      <w:pPr>
        <w:pStyle w:val="ListBullet2"/>
        <w:spacing w:after="40"/>
      </w:pPr>
      <w:r>
        <w:t>Flag registration and other eligibility requirements as unknown.</w:t>
      </w:r>
    </w:p>
    <w:p>
      <w:pPr>
        <w:pStyle w:val="Heading2"/>
      </w:pPr>
      <w:r>
        <w:t>I. Matching grant with unknown co-funding ability</w:t>
      </w:r>
    </w:p>
    <w:p>
      <w:r>
        <w:rPr>
          <w:b/>
        </w:rPr>
        <w:t xml:space="preserve">Fictional fixture: </w:t>
      </w:r>
      <w:r>
        <w:t>Sustainable Agriculture Matching Grant (fictional). Grant up to US$100,000; a mandatory matching contribution is required, but the matching ratio, eligible contribution types, timing, and GreenHarvest’s capacity are unknown.</w:t>
      </w:r>
    </w:p>
    <w:p>
      <w:r>
        <w:rPr>
          <w:b/>
        </w:rPr>
        <w:t>Expected behavior</w:t>
      </w:r>
    </w:p>
    <w:p>
      <w:pPr>
        <w:pStyle w:val="ListBullet2"/>
        <w:spacing w:after="40"/>
      </w:pPr>
      <w:r>
        <w:t>Flag the matching requirement as a potentially decisive condition.</w:t>
      </w:r>
    </w:p>
    <w:p>
      <w:pPr>
        <w:pStyle w:val="ListBullet2"/>
        <w:spacing w:after="40"/>
      </w:pPr>
      <w:r>
        <w:t>Do not assume the startup can provide matching funds or in-kind contributions.</w:t>
      </w:r>
    </w:p>
    <w:p>
      <w:pPr>
        <w:pStyle w:val="ListBullet2"/>
        <w:spacing w:after="40"/>
      </w:pPr>
      <w:r>
        <w:t>Do not mark the opportunity confirmed eligible until the matching rules and the startup’s capacity are clarified.</w:t>
      </w:r>
    </w:p>
    <w:p>
      <w:pPr>
        <w:pStyle w:val="ListBullet2"/>
        <w:spacing w:after="40"/>
      </w:pPr>
      <w:r>
        <w:t>Recommend verifying the ratio, allowable contribution types, proof requirements, and when the match must be available.</w:t>
      </w:r>
    </w:p>
    <w:p>
      <w:pPr>
        <w:pStyle w:val="Heading2"/>
      </w:pPr>
      <w:r>
        <w:t>J. Duplicate records for one underlying opportunity</w:t>
      </w:r>
    </w:p>
    <w:p>
      <w:r>
        <w:rPr>
          <w:b/>
        </w:rPr>
        <w:t xml:space="preserve">Fictional fixture: </w:t>
      </w:r>
      <w:r>
        <w:t>Two records in the test dataset describe the same grant using slightly different titles or summaries. The underlying funder, program, and application round are the same.</w:t>
      </w:r>
    </w:p>
    <w:p>
      <w:r>
        <w:rPr>
          <w:b/>
        </w:rPr>
        <w:t>Expected behavior</w:t>
      </w:r>
    </w:p>
    <w:p>
      <w:pPr>
        <w:pStyle w:val="ListBullet2"/>
        <w:spacing w:after="40"/>
      </w:pPr>
      <w:r>
        <w:t>Recognize and consolidate the records as one underlying opportunity.</w:t>
      </w:r>
    </w:p>
    <w:p>
      <w:pPr>
        <w:pStyle w:val="ListBullet2"/>
        <w:spacing w:after="40"/>
      </w:pPr>
      <w:r>
        <w:t>Retain the best-supported and most current evidence, while recording the duplicate relationship if useful.</w:t>
      </w:r>
    </w:p>
    <w:p>
      <w:pPr>
        <w:pStyle w:val="ListBullet2"/>
        <w:spacing w:after="40"/>
      </w:pPr>
      <w:r>
        <w:t>Do not count the opportunity twice in the shortlist, opportunity count, or funding totals.</w:t>
      </w:r>
    </w:p>
    <w:p>
      <w:pPr>
        <w:pStyle w:val="ListBullet2"/>
        <w:spacing w:after="40"/>
      </w:pPr>
      <w:r>
        <w:t>Do not treat superficial title differences as proof that the records are separate programs.</w:t>
      </w:r>
    </w:p>
    <w:p>
      <w:pPr>
        <w:pStyle w:val="Heading1"/>
      </w:pPr>
      <w:r>
        <w:t>6. Suggested controlled test procedure</w:t>
      </w:r>
    </w:p>
    <w:p>
      <w:pPr>
        <w:pStyle w:val="ListNumber"/>
        <w:spacing w:after="40"/>
      </w:pPr>
      <w:r>
        <w:t>Freeze this profile and the A–J scenario definitions before comparing prompt versions.</w:t>
      </w:r>
    </w:p>
    <w:p>
      <w:pPr>
        <w:pStyle w:val="ListNumber"/>
        <w:spacing w:after="40"/>
      </w:pPr>
      <w:r>
        <w:t>Use the same input profile and the same scenario records for each controlled run.</w:t>
      </w:r>
    </w:p>
    <w:p>
      <w:pPr>
        <w:pStyle w:val="ListNumber"/>
        <w:spacing w:after="40"/>
      </w:pPr>
      <w:r>
        <w:t>Keep synthetic fixture testing separate from live web discovery. Do not mix fictional records into a real-world shortlist.</w:t>
      </w:r>
    </w:p>
    <w:p>
      <w:pPr>
        <w:pStyle w:val="ListNumber"/>
        <w:spacing w:after="40"/>
      </w:pPr>
      <w:r>
        <w:t>Define expected behavior before examining model outputs. The expectations in Section 5 are the reference for these scenarios.</w:t>
      </w:r>
    </w:p>
    <w:p>
      <w:pPr>
        <w:pStyle w:val="ListNumber"/>
        <w:spacing w:after="40"/>
      </w:pPr>
      <w:r>
        <w:t>Save the full prompt, model/configuration details, date, complete model output, and any source material used.</w:t>
      </w:r>
    </w:p>
    <w:p>
      <w:pPr>
        <w:pStyle w:val="ListNumber"/>
        <w:spacing w:after="40"/>
      </w:pPr>
      <w:r>
        <w:t>Record deviations, including unsupported claims, incorrect status, eligibility overstatement, financial misunderstandings, and duplicate recommendations.</w:t>
      </w:r>
    </w:p>
    <w:p>
      <w:pPr>
        <w:pStyle w:val="ListNumber"/>
        <w:spacing w:after="40"/>
      </w:pPr>
      <w:r>
        <w:t>Do not report a scenario as passed or failed until an actual model output has been reviewed. This document contains expected behavior only; it reports no completed test results.</w:t>
      </w:r>
    </w:p>
    <w:p>
      <w:pPr>
        <w:pStyle w:val="Heading1"/>
      </w:pPr>
      <w:r>
        <w:t>7. Scope limits</w:t>
      </w:r>
    </w:p>
    <w:p>
      <w:r>
        <w:t>This is a synthetic test fixture, not a directory of funding opportunities, a legal eligibility determination, or evidence that a funding-discovery system has been built or deployed. The scenarios are intentionally simplified and do not represent complete application guidelines. In real-world use, material eligibility and status claims require current evidence from authoritative sources.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GreenHarvest Innovations Ltd. — Synthetic Test Fixture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