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40"/>
        </w:rPr>
        <w:t>Domain-Specialized Small Language Model for Cybersecurity</w:t>
      </w:r>
    </w:p>
    <w:p>
      <w:pPr>
        <w:jc w:val="center"/>
      </w:pPr>
      <w:r>
        <w:rPr>
          <w:i/>
          <w:color w:val="2E3440"/>
          <w:sz w:val="26"/>
        </w:rPr>
        <w:t>Technical Design &amp; Training Methodology</w:t>
      </w:r>
    </w:p>
    <w:p>
      <w:pPr>
        <w:jc w:val="center"/>
      </w:pPr>
      <w:r>
        <w:rPr>
          <w:i/>
        </w:rPr>
        <w:t>Parameter-efficient fine-tuning (QLoRA) of a compact base model for supervised red-team / blue-team assistance, on-premise and privacy-preserving.</w:t>
      </w:r>
    </w:p>
    <w:p/>
    <w:p>
      <w:pPr>
        <w:pStyle w:val="Heading1"/>
      </w:pPr>
      <w:r>
        <w:rPr>
          <w:color w:val="8B0000"/>
        </w:rPr>
        <w:t>1. Abstract</w:t>
      </w:r>
    </w:p>
    <w:p>
      <w:r>
        <w:rPr>
          <w:b w:val="0"/>
          <w:i w:val="0"/>
        </w:rPr>
        <w:t>This document specifies the engineering methodology for building a compact, domain-specialized language model (the "Security Copilot Model") tailored to a college cybersecurity laboratory. The model assists with reconnaissance planning, exploitation reasoning, SOC alert triage, MITRE ATT&amp;CK technique mapping, and report grading. The design goal is a parameter-efficient, quantization-friendly model in the 0.5B-3B range that runs entirely on-premise, is reproducible for academic accreditation, and never transmits data outside the institution. Training uses 4-bit quantized low-rank adaptation (QLoRA) over a permissively-licensed base model, producing small adapter weights that are merged and quantized for CPU-class inference.</w:t>
      </w:r>
    </w:p>
    <w:p>
      <w:pPr>
        <w:pStyle w:val="Heading1"/>
      </w:pPr>
      <w:r>
        <w:rPr>
          <w:color w:val="8B0000"/>
        </w:rPr>
        <w:t>2. Objectives and Design Constraints</w:t>
      </w:r>
    </w:p>
    <w:p>
      <w:pPr>
        <w:pStyle w:val="Heading2"/>
      </w:pPr>
      <w:r>
        <w:rPr>
          <w:color w:val="2E3440"/>
        </w:rPr>
        <w:t>2.1 Functional Objectives</w:t>
      </w:r>
    </w:p>
    <w:p>
      <w:pPr>
        <w:pStyle w:val="ListBullet"/>
      </w:pPr>
      <w:r>
        <w:t>Produce structured, contract-conformant outputs (strict JSON) for the pentest and SOC copilots.</w:t>
      </w:r>
    </w:p>
    <w:p>
      <w:pPr>
        <w:pStyle w:val="ListBullet"/>
      </w:pPr>
      <w:r>
        <w:t>Cite the most relevant MITRE ATT&amp;CK technique identifier for each recommended action or alert.</w:t>
      </w:r>
    </w:p>
    <w:p>
      <w:pPr>
        <w:pStyle w:val="ListBullet"/>
      </w:pPr>
      <w:r>
        <w:t>Maintain a supervised, human-in-the-loop posture: propose actions, never execute them.</w:t>
      </w:r>
    </w:p>
    <w:p>
      <w:pPr>
        <w:pStyle w:val="ListBullet"/>
      </w:pPr>
      <w:r>
        <w:t>Refuse out-of-scope or unsafe requests (e.g., targeting hosts outside the isolated lab range).</w:t>
      </w:r>
    </w:p>
    <w:p>
      <w:pPr>
        <w:pStyle w:val="ListBullet"/>
      </w:pPr>
      <w:r>
        <w:t>Answer department routine and platform-usage questions grounded in a controlled knowledge base.</w:t>
      </w:r>
    </w:p>
    <w:p>
      <w:pPr>
        <w:pStyle w:val="Heading2"/>
      </w:pPr>
      <w:r>
        <w:rPr>
          <w:color w:val="2E3440"/>
        </w:rPr>
        <w:t>2.2 Non-Functional Constraints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Parameter budget</w:t>
            </w:r>
          </w:p>
        </w:tc>
        <w:tc>
          <w:tcPr>
            <w:tcW w:type="dxa" w:w="4320"/>
          </w:tcPr>
          <w:p>
            <w:r>
              <w:t>0.5B - 3B (CPU-class inference feasible)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Fully on-premise; no external inference calls</w:t>
            </w:r>
          </w:p>
        </w:tc>
      </w:tr>
      <w:tr>
        <w:tc>
          <w:tcPr>
            <w:tcW w:type="dxa" w:w="4320"/>
          </w:tcPr>
          <w:p>
            <w:r>
              <w:t>Data governance</w:t>
            </w:r>
          </w:p>
        </w:tc>
        <w:tc>
          <w:tcPr>
            <w:tcW w:type="dxa" w:w="4320"/>
          </w:tcPr>
          <w:p>
            <w:r>
              <w:t>No student PII, secrets, or real exploit payloads in training data</w:t>
            </w:r>
          </w:p>
        </w:tc>
      </w:tr>
      <w:tr>
        <w:tc>
          <w:tcPr>
            <w:tcW w:type="dxa" w:w="4320"/>
          </w:tcPr>
          <w:p>
            <w:r>
              <w:t>Reproducibility</w:t>
            </w:r>
          </w:p>
        </w:tc>
        <w:tc>
          <w:tcPr>
            <w:tcW w:type="dxa" w:w="4320"/>
          </w:tcPr>
          <w:p>
            <w:r>
              <w:t>Versioned datasets, hyperparameters, and model artifacts</w:t>
            </w:r>
          </w:p>
        </w:tc>
      </w:tr>
      <w:tr>
        <w:tc>
          <w:tcPr>
            <w:tcW w:type="dxa" w:w="4320"/>
          </w:tcPr>
          <w:p>
            <w:r>
              <w:t>First-token latency</w:t>
            </w:r>
          </w:p>
        </w:tc>
        <w:tc>
          <w:tcPr>
            <w:tcW w:type="dxa" w:w="4320"/>
          </w:tcPr>
          <w:p>
            <w:r>
              <w:t>&lt; 3 s streaming on the target hardware</w:t>
            </w:r>
          </w:p>
        </w:tc>
      </w:tr>
      <w:tr>
        <w:tc>
          <w:tcPr>
            <w:tcW w:type="dxa" w:w="4320"/>
          </w:tcPr>
          <w:p>
            <w:r>
              <w:t>Output determinism</w:t>
            </w:r>
          </w:p>
        </w:tc>
        <w:tc>
          <w:tcPr>
            <w:tcW w:type="dxa" w:w="4320"/>
          </w:tcPr>
          <w:p>
            <w:r>
              <w:t>Low temperature (0.2) for graded/contract outputs</w:t>
            </w:r>
          </w:p>
        </w:tc>
      </w:tr>
    </w:tbl>
    <w:p/>
    <w:p>
      <w:pPr>
        <w:pStyle w:val="Heading1"/>
      </w:pPr>
      <w:r>
        <w:rPr>
          <w:color w:val="8B0000"/>
        </w:rPr>
        <w:t>3. Rationale for a Compact, Specialized Model</w:t>
      </w:r>
    </w:p>
    <w:p>
      <w:r>
        <w:rPr>
          <w:b w:val="0"/>
          <w:i w:val="0"/>
        </w:rPr>
        <w:t>Large general-purpose models are unnecessary and operationally heavy for a bounded instructional domain. A compact model fine-tuned on curated, in-domain instruction data offers several engineering advantages:</w:t>
      </w:r>
    </w:p>
    <w:p>
      <w:pPr>
        <w:pStyle w:val="ListBullet"/>
      </w:pPr>
      <w:r>
        <w:t>Inference cost: 0.5B-3B models run on commodity CPU or a single modest GPU, enabling per-lab deployment.</w:t>
      </w:r>
    </w:p>
    <w:p>
      <w:pPr>
        <w:pStyle w:val="ListBullet"/>
      </w:pPr>
      <w:r>
        <w:t>Latency: smaller weight matrices reduce per-token compute, improving interactive responsiveness.</w:t>
      </w:r>
    </w:p>
    <w:p>
      <w:pPr>
        <w:pStyle w:val="ListBullet"/>
      </w:pPr>
      <w:r>
        <w:t>Controllability: narrow supervised fine-tuning aligns output format with the platform's parsing contracts.</w:t>
      </w:r>
    </w:p>
    <w:p>
      <w:pPr>
        <w:pStyle w:val="ListBullet"/>
      </w:pPr>
      <w:r>
        <w:t>Governance: an on-premise model with full input/output logging satisfies data-locality requirements.</w:t>
      </w:r>
    </w:p>
    <w:p>
      <w:pPr>
        <w:pStyle w:val="ListBullet"/>
      </w:pPr>
      <w:r>
        <w:t>Reproducibility: small artifacts and deterministic configs are easy to version and audit for accreditation.</w:t>
      </w:r>
    </w:p>
    <w:p>
      <w:r>
        <w:rPr>
          <w:b w:val="0"/>
          <w:i w:val="0"/>
        </w:rPr>
        <w:t>Specialization is achieved through fine-tuning for STYLE, FORMAT, and DOMAIN REASONING. Volatile factual content (timetables, contacts, changing procedures) is intentionally kept outside the weights and supplied at inference time via retrieval-augmented context, avoiding the need to retrain when facts change.</w:t>
      </w:r>
    </w:p>
    <w:p>
      <w:pPr>
        <w:pStyle w:val="Heading1"/>
      </w:pPr>
      <w:r>
        <w:rPr>
          <w:color w:val="8B0000"/>
        </w:rPr>
        <w:t>4. Data Engineering</w:t>
      </w:r>
    </w:p>
    <w:p>
      <w:pPr>
        <w:pStyle w:val="Heading2"/>
      </w:pPr>
      <w:r>
        <w:rPr>
          <w:color w:val="2E3440"/>
        </w:rPr>
        <w:t>4.1 Data Composition</w:t>
      </w:r>
    </w:p>
    <w:p>
      <w:r>
        <w:rPr>
          <w:b w:val="0"/>
          <w:i w:val="0"/>
        </w:rPr>
        <w:t>The instruction corpus is assembled to mirror the production tasks. A balanced mix of 1,000-3,000 high-quality examples is targeted; data quality dominates raw quantity.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Approx. share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Teaches</w:t>
            </w:r>
          </w:p>
        </w:tc>
      </w:tr>
      <w:tr>
        <w:tc>
          <w:tcPr>
            <w:tcW w:type="dxa" w:w="2880"/>
          </w:tcPr>
          <w:p>
            <w:r>
              <w:t>Pentest next-step (JSON)</w:t>
            </w:r>
          </w:p>
        </w:tc>
        <w:tc>
          <w:tcPr>
            <w:tcW w:type="dxa" w:w="2880"/>
          </w:tcPr>
          <w:p>
            <w:r>
              <w:t>25-30%</w:t>
            </w:r>
          </w:p>
        </w:tc>
        <w:tc>
          <w:tcPr>
            <w:tcW w:type="dxa" w:w="2880"/>
          </w:tcPr>
          <w:p>
            <w:r>
              <w:t>One safe command + tool + ATT&amp;CK id in the copilot JSON contract</w:t>
            </w:r>
          </w:p>
        </w:tc>
      </w:tr>
      <w:tr>
        <w:tc>
          <w:tcPr>
            <w:tcW w:type="dxa" w:w="2880"/>
          </w:tcPr>
          <w:p>
            <w:r>
              <w:t>SOC alert triage (JSON)</w:t>
            </w:r>
          </w:p>
        </w:tc>
        <w:tc>
          <w:tcPr>
            <w:tcW w:type="dxa" w:w="2880"/>
          </w:tcPr>
          <w:p>
            <w:r>
              <w:t>25-30%</w:t>
            </w:r>
          </w:p>
        </w:tc>
        <w:tc>
          <w:tcPr>
            <w:tcW w:type="dxa" w:w="2880"/>
          </w:tcPr>
          <w:p>
            <w:r>
              <w:t>Summary, verdict, confidence, next step in the SOC contract</w:t>
            </w:r>
          </w:p>
        </w:tc>
      </w:tr>
      <w:tr>
        <w:tc>
          <w:tcPr>
            <w:tcW w:type="dxa" w:w="2880"/>
          </w:tcPr>
          <w:p>
            <w:r>
              <w:t>MITRE technique tagging (JSON)</w:t>
            </w:r>
          </w:p>
        </w:tc>
        <w:tc>
          <w:tcPr>
            <w:tcW w:type="dxa" w:w="2880"/>
          </w:tcPr>
          <w:p>
            <w:r>
              <w:t>10-15%</w:t>
            </w:r>
          </w:p>
        </w:tc>
        <w:tc>
          <w:tcPr>
            <w:tcW w:type="dxa" w:w="2880"/>
          </w:tcPr>
          <w:p>
            <w:r>
              <w:t>Map an activity string to a single technique id</w:t>
            </w:r>
          </w:p>
        </w:tc>
      </w:tr>
      <w:tr>
        <w:tc>
          <w:tcPr>
            <w:tcW w:type="dxa" w:w="2880"/>
          </w:tcPr>
          <w:p>
            <w:r>
              <w:t>Report grading (JSON)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Rubric-based scoring voice and justification</w:t>
            </w:r>
          </w:p>
        </w:tc>
      </w:tr>
      <w:tr>
        <w:tc>
          <w:tcPr>
            <w:tcW w:type="dxa" w:w="2880"/>
          </w:tcPr>
          <w:p>
            <w:r>
              <w:t>Department / platform Q&amp;A (text)</w:t>
            </w:r>
          </w:p>
        </w:tc>
        <w:tc>
          <w:tcPr>
            <w:tcW w:type="dxa" w:w="2880"/>
          </w:tcPr>
          <w:p>
            <w:r>
              <w:t>10-15%</w:t>
            </w:r>
          </w:p>
        </w:tc>
        <w:tc>
          <w:tcPr>
            <w:tcW w:type="dxa" w:w="2880"/>
          </w:tcPr>
          <w:p>
            <w:r>
              <w:t>Concise, grounded assistant tone</w:t>
            </w:r>
          </w:p>
        </w:tc>
      </w:tr>
      <w:tr>
        <w:tc>
          <w:tcPr>
            <w:tcW w:type="dxa" w:w="2880"/>
          </w:tcPr>
          <w:p>
            <w:r>
              <w:t>Safety and refusals</w:t>
            </w:r>
          </w:p>
        </w:tc>
        <w:tc>
          <w:tcPr>
            <w:tcW w:type="dxa" w:w="2880"/>
          </w:tcPr>
          <w:p>
            <w:r>
              <w:t>8-10%</w:t>
            </w:r>
          </w:p>
        </w:tc>
        <w:tc>
          <w:tcPr>
            <w:tcW w:type="dxa" w:w="2880"/>
          </w:tcPr>
          <w:p>
            <w:r>
              <w:t>Declining out-of-scope or unsafe requests</w:t>
            </w:r>
          </w:p>
        </w:tc>
      </w:tr>
    </w:tbl>
    <w:p/>
    <w:p>
      <w:pPr>
        <w:pStyle w:val="Heading2"/>
      </w:pPr>
      <w:r>
        <w:rPr>
          <w:color w:val="2E3440"/>
        </w:rPr>
        <w:t>4.2 Instruction Format</w:t>
      </w:r>
    </w:p>
    <w:p>
      <w:r>
        <w:rPr>
          <w:b w:val="0"/>
          <w:i w:val="0"/>
        </w:rPr>
        <w:t>Each example is a chat-formatted record with system, user, and assistant turns. The assistant turn is the supervised target and must exactly match the desired production output (including strict JSON where a module parses it).</w:t>
      </w:r>
    </w:p>
    <w:p>
      <w:r>
        <w:rPr>
          <w:rFonts w:ascii="Consolas" w:hAnsi="Consolas"/>
          <w:color w:val="2E3440"/>
          <w:sz w:val="19"/>
        </w:rPr>
        <w:t>{"messages":[</w:t>
        <w:br/>
        <w:t xml:space="preserve">  {"role":"system","content":"You are the SOC Copilot. Reply as JSON. Advisory only."},</w:t>
        <w:br/>
        <w:t xml:space="preserve">  {"role":"user","content":"Suricata: repeated SQLi signatures from one src_ip to the web server."},</w:t>
        <w:br/>
        <w:t xml:space="preserve">  {"role":"assistant","content":"{\"summary\":\"...\",\"verdict\":\"true_positive\",\"confidence\":0.83,\"mitre_technique_id\":\"T1190\",\"next_step\":\"...\"}"}</w:t>
        <w:br/>
        <w:t>]}</w:t>
      </w:r>
    </w:p>
    <w:p>
      <w:pPr>
        <w:pStyle w:val="Heading2"/>
      </w:pPr>
      <w:r>
        <w:rPr>
          <w:color w:val="2E3440"/>
        </w:rPr>
        <w:t>4.3 Curation Pipeline</w:t>
      </w:r>
    </w:p>
    <w:p>
      <w:pPr>
        <w:pStyle w:val="ListNumber"/>
      </w:pPr>
      <w:r>
        <w:t>Normalization: enforce UTF-8, one JSON object per line, canonical key ordering.</w:t>
      </w:r>
    </w:p>
    <w:p>
      <w:pPr>
        <w:pStyle w:val="ListNumber"/>
      </w:pPr>
      <w:r>
        <w:t>Schema validation: every record must contain a non-empty assistant turn and valid roles.</w:t>
      </w:r>
    </w:p>
    <w:p>
      <w:pPr>
        <w:pStyle w:val="ListNumber"/>
      </w:pPr>
      <w:r>
        <w:t>De-duplication: exact and near-duplicate removal (hashing + n-gram similarity) to prevent memorization.</w:t>
      </w:r>
    </w:p>
    <w:p>
      <w:pPr>
        <w:pStyle w:val="ListNumber"/>
      </w:pPr>
      <w:r>
        <w:t>Decontamination: remove any overlap with held-out evaluation examples.</w:t>
      </w:r>
    </w:p>
    <w:p>
      <w:pPr>
        <w:pStyle w:val="ListNumber"/>
      </w:pPr>
      <w:r>
        <w:t>PII / secret scrubbing: strip real names, credentials, tokens, and IPs; use lab placeholders only.</w:t>
      </w:r>
    </w:p>
    <w:p>
      <w:pPr>
        <w:pStyle w:val="ListNumber"/>
      </w:pPr>
      <w:r>
        <w:t>Safety pass: ensure no real exploit payloads or content targeting non-lab systems.</w:t>
      </w:r>
    </w:p>
    <w:p>
      <w:pPr>
        <w:pStyle w:val="ListNumber"/>
      </w:pPr>
      <w:r>
        <w:t>Split: stratified train/validation split (e.g., 90/10) preserving category balance.</w:t>
      </w:r>
    </w:p>
    <w:p>
      <w:pPr>
        <w:pStyle w:val="Heading1"/>
      </w:pPr>
      <w:r>
        <w:rPr>
          <w:color w:val="8B0000"/>
        </w:rPr>
        <w:t>5. Base Model Selection</w:t>
      </w:r>
    </w:p>
    <w:p>
      <w:r>
        <w:rPr>
          <w:b w:val="0"/>
          <w:i w:val="0"/>
        </w:rPr>
        <w:t>Base models are selected for small parameter count, strong instruction-following, a permissive license, and an adequate context window. Candidates: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Base family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Params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Compact-Instruct A</w:t>
            </w:r>
          </w:p>
        </w:tc>
        <w:tc>
          <w:tcPr>
            <w:tcW w:type="dxa" w:w="2160"/>
          </w:tcPr>
          <w:p>
            <w:r>
              <w:t>1.5B</w:t>
            </w:r>
          </w:p>
        </w:tc>
        <w:tc>
          <w:tcPr>
            <w:tcW w:type="dxa" w:w="2160"/>
          </w:tcPr>
          <w:p>
            <w:r>
              <w:t>32K</w:t>
            </w:r>
          </w:p>
        </w:tc>
        <w:tc>
          <w:tcPr>
            <w:tcW w:type="dxa" w:w="2160"/>
          </w:tcPr>
          <w:p>
            <w:r>
              <w:t>Best size/quality trade-off for CPU inference</w:t>
            </w:r>
          </w:p>
        </w:tc>
      </w:tr>
      <w:tr>
        <w:tc>
          <w:tcPr>
            <w:tcW w:type="dxa" w:w="2160"/>
          </w:tcPr>
          <w:p>
            <w:r>
              <w:t>Compact-Instruct B</w:t>
            </w:r>
          </w:p>
        </w:tc>
        <w:tc>
          <w:tcPr>
            <w:tcW w:type="dxa" w:w="2160"/>
          </w:tcPr>
          <w:p>
            <w:r>
              <w:t>3B</w:t>
            </w:r>
          </w:p>
        </w:tc>
        <w:tc>
          <w:tcPr>
            <w:tcW w:type="dxa" w:w="2160"/>
          </w:tcPr>
          <w:p>
            <w:r>
              <w:t>128K</w:t>
            </w:r>
          </w:p>
        </w:tc>
        <w:tc>
          <w:tcPr>
            <w:tcW w:type="dxa" w:w="2160"/>
          </w:tcPr>
          <w:p>
            <w:r>
              <w:t>Higher quality, still CPU-feasible when quantized</w:t>
            </w:r>
          </w:p>
        </w:tc>
      </w:tr>
      <w:tr>
        <w:tc>
          <w:tcPr>
            <w:tcW w:type="dxa" w:w="2160"/>
          </w:tcPr>
          <w:p>
            <w:r>
              <w:t>Compact-Instruct C</w:t>
            </w:r>
          </w:p>
        </w:tc>
        <w:tc>
          <w:tcPr>
            <w:tcW w:type="dxa" w:w="2160"/>
          </w:tcPr>
          <w:p>
            <w:r>
              <w:t>0.5B</w:t>
            </w:r>
          </w:p>
        </w:tc>
        <w:tc>
          <w:tcPr>
            <w:tcW w:type="dxa" w:w="2160"/>
          </w:tcPr>
          <w:p>
            <w:r>
              <w:t>32K</w:t>
            </w:r>
          </w:p>
        </w:tc>
        <w:tc>
          <w:tcPr>
            <w:tcW w:type="dxa" w:w="2160"/>
          </w:tcPr>
          <w:p>
            <w:r>
              <w:t>Fastest; for constrained hardware or high concurrency</w:t>
            </w:r>
          </w:p>
        </w:tc>
      </w:tr>
    </w:tbl>
    <w:p/>
    <w:p>
      <w:r>
        <w:rPr>
          <w:b w:val="0"/>
          <w:i w:val="0"/>
        </w:rPr>
        <w:t>A decoder-only transformer with grouped-query attention and rotary positional embeddings is assumed. The embedding dimension, layer count, and attention head configuration are inherited from the base; only low-rank adapters are trained.</w:t>
      </w:r>
    </w:p>
    <w:p>
      <w:pPr>
        <w:pStyle w:val="Heading1"/>
      </w:pPr>
      <w:r>
        <w:rPr>
          <w:color w:val="8B0000"/>
        </w:rPr>
        <w:t>6. Tokenization and Chat Templating</w:t>
      </w:r>
    </w:p>
    <w:p>
      <w:pPr>
        <w:pStyle w:val="ListBullet"/>
      </w:pPr>
      <w:r>
        <w:t>The base model's native subword tokenizer (byte-level BPE) is reused; the vocabulary is not modified.</w:t>
      </w:r>
    </w:p>
    <w:p>
      <w:pPr>
        <w:pStyle w:val="ListBullet"/>
      </w:pPr>
      <w:r>
        <w:t>Records are rendered with the base model's chat template so special role tokens match pre-training.</w:t>
      </w:r>
    </w:p>
    <w:p>
      <w:pPr>
        <w:pStyle w:val="ListBullet"/>
      </w:pPr>
      <w:r>
        <w:t>Sequences are truncated/padded to a fixed maximum length (e.g., 4,096 tokens) for batching.</w:t>
      </w:r>
    </w:p>
    <w:p>
      <w:pPr>
        <w:pStyle w:val="ListBullet"/>
      </w:pPr>
      <w:r>
        <w:t>Loss is computed only on assistant-turn tokens; system and user tokens are masked out (label = -100).</w:t>
      </w:r>
    </w:p>
    <w:p>
      <w:r>
        <w:rPr>
          <w:b w:val="0"/>
          <w:i w:val="0"/>
        </w:rPr>
        <w:t>Prompt-token masking is important: it focuses the gradient on producing the target response rather than reconstructing the instruction, improving format adherence.</w:t>
      </w:r>
    </w:p>
    <w:p>
      <w:pPr>
        <w:pStyle w:val="Heading1"/>
      </w:pPr>
      <w:r>
        <w:rPr>
          <w:color w:val="8B0000"/>
        </w:rPr>
        <w:t>7. Fine-Tuning Methodology (QLoRA)</w:t>
      </w:r>
    </w:p>
    <w:p>
      <w:pPr>
        <w:pStyle w:val="Heading2"/>
      </w:pPr>
      <w:r>
        <w:rPr>
          <w:color w:val="2E3440"/>
        </w:rPr>
        <w:t>7.1 Method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Trainable params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Memory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here</w:t>
            </w:r>
          </w:p>
        </w:tc>
      </w:tr>
      <w:tr>
        <w:tc>
          <w:tcPr>
            <w:tcW w:type="dxa" w:w="2160"/>
          </w:tcPr>
          <w:p>
            <w:r>
              <w:t>Full fine-tuning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Unnecessary; risks catastrophic forgetting</w:t>
            </w:r>
          </w:p>
        </w:tc>
      </w:tr>
      <w:tr>
        <w:tc>
          <w:tcPr>
            <w:tcW w:type="dxa" w:w="2160"/>
          </w:tcPr>
          <w:p>
            <w:r>
              <w:t>LoRA</w:t>
            </w:r>
          </w:p>
        </w:tc>
        <w:tc>
          <w:tcPr>
            <w:tcW w:type="dxa" w:w="2160"/>
          </w:tcPr>
          <w:p>
            <w:r>
              <w:t>~0.1-1%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Viable on larger GPUs</w:t>
            </w:r>
          </w:p>
        </w:tc>
      </w:tr>
      <w:tr>
        <w:tc>
          <w:tcPr>
            <w:tcW w:type="dxa" w:w="2160"/>
          </w:tcPr>
          <w:p>
            <w:r>
              <w:t>QLoRA</w:t>
            </w:r>
          </w:p>
        </w:tc>
        <w:tc>
          <w:tcPr>
            <w:tcW w:type="dxa" w:w="2160"/>
          </w:tcPr>
          <w:p>
            <w:r>
              <w:t>~0.1-1%</w:t>
            </w:r>
          </w:p>
        </w:tc>
        <w:tc>
          <w:tcPr>
            <w:tcW w:type="dxa" w:w="2160"/>
          </w:tcPr>
          <w:p>
            <w:r>
              <w:t>Low (4-bit base)</w:t>
            </w:r>
          </w:p>
        </w:tc>
        <w:tc>
          <w:tcPr>
            <w:tcW w:type="dxa" w:w="2160"/>
          </w:tcPr>
          <w:p>
            <w:r>
              <w:t>Selected: trains on a single modest GPU</w:t>
            </w:r>
          </w:p>
        </w:tc>
      </w:tr>
    </w:tbl>
    <w:p/>
    <w:p>
      <w:pPr>
        <w:pStyle w:val="Heading2"/>
      </w:pPr>
      <w:r>
        <w:rPr>
          <w:color w:val="2E3440"/>
        </w:rPr>
        <w:t>7.2 QLoRA Mechanics</w:t>
      </w:r>
    </w:p>
    <w:p>
      <w:r>
        <w:rPr>
          <w:b w:val="0"/>
          <w:i w:val="0"/>
        </w:rPr>
        <w:t>QLoRA freezes the pre-trained weights in a 4-bit NormalFloat (NF4) representation and trains small low-rank adapters injected into selected projection matrices. For a frozen weight matrix W (d x k), the adaptation is:</w:t>
      </w:r>
    </w:p>
    <w:p>
      <w:r>
        <w:rPr>
          <w:rFonts w:ascii="Consolas" w:hAnsi="Consolas"/>
          <w:color w:val="2E3440"/>
          <w:sz w:val="19"/>
        </w:rPr>
        <w:t>h = W_4bit * x  +  (alpha / r) * B * A * x</w:t>
        <w:br/>
        <w:t xml:space="preserve">  where  A is r x k,  B is d x r,  rank r &lt;&lt; min(d, k)</w:t>
      </w:r>
    </w:p>
    <w:p>
      <w:r>
        <w:rPr>
          <w:b w:val="0"/>
          <w:i w:val="0"/>
        </w:rPr>
        <w:t>Only A and B are updated. Because r is small, the trainable parameter count and optimizer state are tiny relative to full fine-tuning. Double quantization and a paged 8-bit optimizer further reduce peak memory. At export time the adapter product (alpha/r) * B * A is merged back into W to yield a standalone model.</w:t>
      </w:r>
    </w:p>
    <w:p>
      <w:pPr>
        <w:pStyle w:val="Heading2"/>
      </w:pPr>
      <w:r>
        <w:rPr>
          <w:color w:val="2E3440"/>
        </w:rPr>
        <w:t>7.3 Adapter Placement and Hyperparameters</w:t>
      </w:r>
    </w:p>
    <w:p>
      <w:pPr>
        <w:pStyle w:val="ListBullet"/>
      </w:pPr>
      <w:r>
        <w:t>Target modules: attention projections (q, k, v, o) and MLP projections (gate, up, down).</w:t>
      </w:r>
    </w:p>
    <w:p>
      <w:pPr>
        <w:pStyle w:val="ListBullet"/>
      </w:pPr>
      <w:r>
        <w:t>Rank r = 16, alpha = 16 (scaling ~1.0); dropout 0.0 for small, clean datasets.</w:t>
      </w:r>
    </w:p>
    <w:p>
      <w:pPr>
        <w:pStyle w:val="ListBullet"/>
      </w:pPr>
      <w:r>
        <w:t>Gradient checkpointing enabled to trade compute for memory.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Hyperparameter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Base precision</w:t>
            </w:r>
          </w:p>
        </w:tc>
        <w:tc>
          <w:tcPr>
            <w:tcW w:type="dxa" w:w="4320"/>
          </w:tcPr>
          <w:p>
            <w:r>
              <w:t>4-bit NF4 (double-quantized)</w:t>
            </w:r>
          </w:p>
        </w:tc>
      </w:tr>
      <w:tr>
        <w:tc>
          <w:tcPr>
            <w:tcW w:type="dxa" w:w="4320"/>
          </w:tcPr>
          <w:p>
            <w:r>
              <w:t>LoRA rank / alpha</w:t>
            </w:r>
          </w:p>
        </w:tc>
        <w:tc>
          <w:tcPr>
            <w:tcW w:type="dxa" w:w="4320"/>
          </w:tcPr>
          <w:p>
            <w:r>
              <w:t>16 / 16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2e-4 (linear schedule, warmup 5 steps)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3 (monitor validation for overfit)</w:t>
            </w:r>
          </w:p>
        </w:tc>
      </w:tr>
      <w:tr>
        <w:tc>
          <w:tcPr>
            <w:tcW w:type="dxa" w:w="4320"/>
          </w:tcPr>
          <w:p>
            <w:r>
              <w:t>Effective batch size</w:t>
            </w:r>
          </w:p>
        </w:tc>
        <w:tc>
          <w:tcPr>
            <w:tcW w:type="dxa" w:w="4320"/>
          </w:tcPr>
          <w:p>
            <w:r>
              <w:t>8 (2 x grad-accum 4)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8-bit AdamW, weight decay 0.01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bf16 if supported, else fp16</w:t>
            </w:r>
          </w:p>
        </w:tc>
      </w:tr>
      <w:tr>
        <w:tc>
          <w:tcPr>
            <w:tcW w:type="dxa" w:w="4320"/>
          </w:tcPr>
          <w:p>
            <w:r>
              <w:t>Max sequence length</w:t>
            </w:r>
          </w:p>
        </w:tc>
        <w:tc>
          <w:tcPr>
            <w:tcW w:type="dxa" w:w="4320"/>
          </w:tcPr>
          <w:p>
            <w:r>
              <w:t>4,096 tokens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Causal LM cross-entropy on assistant tokens</w:t>
            </w:r>
          </w:p>
        </w:tc>
      </w:tr>
    </w:tbl>
    <w:p/>
    <w:p>
      <w:pPr>
        <w:pStyle w:val="Heading2"/>
      </w:pPr>
      <w:r>
        <w:rPr>
          <w:color w:val="2E3440"/>
        </w:rPr>
        <w:t>7.4 Training Objective</w:t>
      </w:r>
    </w:p>
    <w:p>
      <w:r>
        <w:rPr>
          <w:b w:val="0"/>
          <w:i w:val="0"/>
        </w:rPr>
        <w:t>The objective is standard next-token cross-entropy over the masked assistant tokens:</w:t>
      </w:r>
    </w:p>
    <w:p>
      <w:r>
        <w:rPr>
          <w:rFonts w:ascii="Consolas" w:hAnsi="Consolas"/>
          <w:color w:val="2E3440"/>
          <w:sz w:val="19"/>
        </w:rPr>
        <w:t>L = - (1 / N) * sum over assistant tokens t of  log P(x_t | x_&lt;t ; W_frozen, A, B)</w:t>
      </w:r>
    </w:p>
    <w:p>
      <w:pPr>
        <w:pStyle w:val="Heading1"/>
      </w:pPr>
      <w:r>
        <w:rPr>
          <w:color w:val="8B0000"/>
        </w:rPr>
        <w:t>8. Compute Budget and Infrastructure</w:t>
      </w:r>
    </w:p>
    <w:p>
      <w:pPr>
        <w:pStyle w:val="ListBullet"/>
      </w:pPr>
      <w:r>
        <w:t>A single mid-range GPU (&gt;= 8-12 GB VRAM) is sufficient for 4-bit adaptation of a 1.5B-3B base.</w:t>
      </w:r>
    </w:p>
    <w:p>
      <w:pPr>
        <w:pStyle w:val="ListBullet"/>
      </w:pPr>
      <w:r>
        <w:t>Typical wall-clock: ~1-3 GPU-hours for a few thousand examples over 3 epochs.</w:t>
      </w:r>
    </w:p>
    <w:p>
      <w:pPr>
        <w:pStyle w:val="ListBullet"/>
      </w:pPr>
      <w:r>
        <w:t>Peak VRAM is dominated by the 4-bit base plus activations; adapters and 8-bit optimizer state are small.</w:t>
      </w:r>
    </w:p>
    <w:p>
      <w:pPr>
        <w:pStyle w:val="ListBullet"/>
      </w:pPr>
      <w:r>
        <w:t>Training is a discrete, offline job; the resulting artifact is then served on the inference host.</w:t>
      </w:r>
    </w:p>
    <w:p>
      <w:pPr>
        <w:pStyle w:val="ListBullet"/>
      </w:pPr>
      <w:r>
        <w:t>Inference of the quantized 1.5B-3B model is feasible on CPU-class lab hardware.</w:t>
      </w:r>
    </w:p>
    <w:p>
      <w:r>
        <w:rPr>
          <w:b w:val="0"/>
          <w:i w:val="0"/>
        </w:rPr>
        <w:t>Approximate memory intuition: a 4-bit base consumes roughly 0.5 GB per billion parameters for weights, plus activation memory that scales with batch size and sequence length; gradient checkpointing keeps activations bounded.</w:t>
      </w:r>
    </w:p>
    <w:p>
      <w:pPr>
        <w:pStyle w:val="Heading1"/>
      </w:pPr>
      <w:r>
        <w:rPr>
          <w:color w:val="8B0000"/>
        </w:rPr>
        <w:t>9. Merging, Quantization, and Export</w:t>
      </w:r>
    </w:p>
    <w:p>
      <w:pPr>
        <w:pStyle w:val="ListNumber"/>
      </w:pPr>
      <w:r>
        <w:t>Merge: fold the trained low-rank adapters into the base weights to produce a standalone model.</w:t>
      </w:r>
    </w:p>
    <w:p>
      <w:pPr>
        <w:pStyle w:val="ListNumber"/>
      </w:pPr>
      <w:r>
        <w:t>Convert: export to a portable, memory-mapped quantized tensor format for efficient loading.</w:t>
      </w:r>
    </w:p>
    <w:p>
      <w:pPr>
        <w:pStyle w:val="ListNumber"/>
      </w:pPr>
      <w:r>
        <w:t>Quantize: apply k-quant weight quantization (e.g., 4-bit mixed 'Q4_K_M') balancing size and quality.</w:t>
      </w:r>
    </w:p>
    <w:p>
      <w:pPr>
        <w:pStyle w:val="ListNumber"/>
      </w:pPr>
      <w:r>
        <w:t>Package: attach the system prompt, sampling defaults (temperature 0.2, top-p 0.9), stop tokens, and context length.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Quantization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Bits (approx.)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Trade-off</w:t>
            </w:r>
          </w:p>
        </w:tc>
      </w:tr>
      <w:tr>
        <w:tc>
          <w:tcPr>
            <w:tcW w:type="dxa" w:w="2880"/>
          </w:tcPr>
          <w:p>
            <w:r>
              <w:t>Q8_0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Highest fidelity, largest file</w:t>
            </w:r>
          </w:p>
        </w:tc>
      </w:tr>
      <w:tr>
        <w:tc>
          <w:tcPr>
            <w:tcW w:type="dxa" w:w="2880"/>
          </w:tcPr>
          <w:p>
            <w:r>
              <w:t>Q5_K_M</w:t>
            </w:r>
          </w:p>
        </w:tc>
        <w:tc>
          <w:tcPr>
            <w:tcW w:type="dxa" w:w="2880"/>
          </w:tcPr>
          <w:p>
            <w:r>
              <w:t>~5</w:t>
            </w:r>
          </w:p>
        </w:tc>
        <w:tc>
          <w:tcPr>
            <w:tcW w:type="dxa" w:w="2880"/>
          </w:tcPr>
          <w:p>
            <w:r>
              <w:t>Strong quality, moderate size</w:t>
            </w:r>
          </w:p>
        </w:tc>
      </w:tr>
      <w:tr>
        <w:tc>
          <w:tcPr>
            <w:tcW w:type="dxa" w:w="2880"/>
          </w:tcPr>
          <w:p>
            <w:r>
              <w:t>Q4_K_M</w:t>
            </w:r>
          </w:p>
        </w:tc>
        <w:tc>
          <w:tcPr>
            <w:tcW w:type="dxa" w:w="2880"/>
          </w:tcPr>
          <w:p>
            <w:r>
              <w:t>~4</w:t>
            </w:r>
          </w:p>
        </w:tc>
        <w:tc>
          <w:tcPr>
            <w:tcW w:type="dxa" w:w="2880"/>
          </w:tcPr>
          <w:p>
            <w:r>
              <w:t>Recommended default: good quality, small, fast</w:t>
            </w:r>
          </w:p>
        </w:tc>
      </w:tr>
      <w:tr>
        <w:tc>
          <w:tcPr>
            <w:tcW w:type="dxa" w:w="2880"/>
          </w:tcPr>
          <w:p>
            <w:r>
              <w:t>Q3_K_M</w:t>
            </w:r>
          </w:p>
        </w:tc>
        <w:tc>
          <w:tcPr>
            <w:tcW w:type="dxa" w:w="2880"/>
          </w:tcPr>
          <w:p>
            <w:r>
              <w:t>~3</w:t>
            </w:r>
          </w:p>
        </w:tc>
        <w:tc>
          <w:tcPr>
            <w:tcW w:type="dxa" w:w="2880"/>
          </w:tcPr>
          <w:p>
            <w:r>
              <w:t>Smallest; measurable quality loss</w:t>
            </w:r>
          </w:p>
        </w:tc>
      </w:tr>
    </w:tbl>
    <w:p/>
    <w:p>
      <w:pPr>
        <w:pStyle w:val="Heading1"/>
      </w:pPr>
      <w:r>
        <w:rPr>
          <w:color w:val="8B0000"/>
        </w:rPr>
        <w:t>10. Evaluation</w:t>
      </w:r>
    </w:p>
    <w:p>
      <w:pPr>
        <w:pStyle w:val="Heading2"/>
      </w:pPr>
      <w:r>
        <w:rPr>
          <w:color w:val="2E3440"/>
        </w:rPr>
        <w:t>10.1 Task-Level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</w:tr>
      <w:tr>
        <w:tc>
          <w:tcPr>
            <w:tcW w:type="dxa" w:w="4320"/>
          </w:tcPr>
          <w:p>
            <w:r>
              <w:t>JSON contract conformance</w:t>
            </w:r>
          </w:p>
        </w:tc>
        <w:tc>
          <w:tcPr>
            <w:tcW w:type="dxa" w:w="4320"/>
          </w:tcPr>
          <w:p>
            <w:r>
              <w:t>Parse-success rate on held-out prompts (target &gt; 98%)</w:t>
            </w:r>
          </w:p>
        </w:tc>
      </w:tr>
      <w:tr>
        <w:tc>
          <w:tcPr>
            <w:tcW w:type="dxa" w:w="4320"/>
          </w:tcPr>
          <w:p>
            <w:r>
              <w:t>MITRE technique tagging</w:t>
            </w:r>
          </w:p>
        </w:tc>
        <w:tc>
          <w:tcPr>
            <w:tcW w:type="dxa" w:w="4320"/>
          </w:tcPr>
          <w:p>
            <w:r>
              <w:t>Top-1 accuracy vs. gold technique ids</w:t>
            </w:r>
          </w:p>
        </w:tc>
      </w:tr>
      <w:tr>
        <w:tc>
          <w:tcPr>
            <w:tcW w:type="dxa" w:w="4320"/>
          </w:tcPr>
          <w:p>
            <w:r>
              <w:t>SOC verdict quality</w:t>
            </w:r>
          </w:p>
        </w:tc>
        <w:tc>
          <w:tcPr>
            <w:tcW w:type="dxa" w:w="4320"/>
          </w:tcPr>
          <w:p>
            <w:r>
              <w:t>Agreement with faculty ground-truth labels (accuracy, F1)</w:t>
            </w:r>
          </w:p>
        </w:tc>
      </w:tr>
      <w:tr>
        <w:tc>
          <w:tcPr>
            <w:tcW w:type="dxa" w:w="4320"/>
          </w:tcPr>
          <w:p>
            <w:r>
              <w:t>Report grading</w:t>
            </w:r>
          </w:p>
        </w:tc>
        <w:tc>
          <w:tcPr>
            <w:tcW w:type="dxa" w:w="4320"/>
          </w:tcPr>
          <w:p>
            <w:r>
              <w:t>Correlation of suggested score with faculty score</w:t>
            </w:r>
          </w:p>
        </w:tc>
      </w:tr>
      <w:tr>
        <w:tc>
          <w:tcPr>
            <w:tcW w:type="dxa" w:w="4320"/>
          </w:tcPr>
          <w:p>
            <w:r>
              <w:t>Instruction adherence</w:t>
            </w:r>
          </w:p>
        </w:tc>
        <w:tc>
          <w:tcPr>
            <w:tcW w:type="dxa" w:w="4320"/>
          </w:tcPr>
          <w:p>
            <w:r>
              <w:t>Rubric-scored helpfulness on a curated prompt set</w:t>
            </w:r>
          </w:p>
        </w:tc>
      </w:tr>
    </w:tbl>
    <w:p/>
    <w:p>
      <w:pPr>
        <w:pStyle w:val="Heading2"/>
      </w:pPr>
      <w:r>
        <w:rPr>
          <w:color w:val="2E3440"/>
        </w:rPr>
        <w:t>10.2 Safety Evaluation</w:t>
      </w:r>
    </w:p>
    <w:p>
      <w:r>
        <w:rPr>
          <w:b w:val="0"/>
          <w:i w:val="0"/>
        </w:rPr>
        <w:t>The model is probed with adversarial suites (prompt injection, jailbreak, data-leakage, toxic-generation) run against the deployed endpoint. A pass requires the model to hold its guardrails: refusing out-of-scope targeting, not leaking system prompts, and declining unsafe requests. Findings feed back into the safety/refusal training subset.</w:t>
      </w:r>
    </w:p>
    <w:p>
      <w:pPr>
        <w:pStyle w:val="Heading2"/>
      </w:pPr>
      <w:r>
        <w:rPr>
          <w:color w:val="2E3440"/>
        </w:rPr>
        <w:t>10.3 Regression Control</w:t>
      </w:r>
    </w:p>
    <w:p>
      <w:pPr>
        <w:pStyle w:val="ListBullet"/>
      </w:pPr>
      <w:r>
        <w:t>A fixed held-out evaluation set is version-controlled and never used for training.</w:t>
      </w:r>
    </w:p>
    <w:p>
      <w:pPr>
        <w:pStyle w:val="ListBullet"/>
      </w:pPr>
      <w:r>
        <w:t>Each model version is scored on the same set to detect regressions before promotion.</w:t>
      </w:r>
    </w:p>
    <w:p>
      <w:pPr>
        <w:pStyle w:val="ListBullet"/>
      </w:pPr>
      <w:r>
        <w:t>A general-capability spot check guards against catastrophic forgetting from over-specialization.</w:t>
      </w:r>
    </w:p>
    <w:p>
      <w:pPr>
        <w:pStyle w:val="Heading1"/>
      </w:pPr>
      <w:r>
        <w:rPr>
          <w:color w:val="8B0000"/>
        </w:rPr>
        <w:t>11. Inference and Serving</w:t>
      </w:r>
    </w:p>
    <w:p>
      <w:pPr>
        <w:pStyle w:val="ListBullet"/>
      </w:pPr>
      <w:r>
        <w:t>The quantized model is served by a self-hosted inference runtime exposing an HTTP API on a private network.</w:t>
      </w:r>
    </w:p>
    <w:p>
      <w:pPr>
        <w:pStyle w:val="ListBullet"/>
      </w:pPr>
      <w:r>
        <w:t>All application modules call the model through a single internal gateway; clients never contact it directly.</w:t>
      </w:r>
    </w:p>
    <w:p>
      <w:pPr>
        <w:pStyle w:val="ListBullet"/>
      </w:pPr>
      <w:r>
        <w:t>Sampling is configured per task: low temperature for JSON/graded outputs, slightly higher for open Q&amp;A.</w:t>
      </w:r>
    </w:p>
    <w:p>
      <w:pPr>
        <w:pStyle w:val="ListBullet"/>
      </w:pPr>
      <w:r>
        <w:t>Responses are streamed token-by-token to meet interactive latency targets.</w:t>
      </w:r>
    </w:p>
    <w:p>
      <w:pPr>
        <w:pStyle w:val="ListBullet"/>
      </w:pPr>
      <w:r>
        <w:t>Per-session token budgets and per-user rate limits protect the shared inference host under concurrency.</w:t>
      </w:r>
    </w:p>
    <w:p>
      <w:r>
        <w:rPr>
          <w:b w:val="0"/>
          <w:i w:val="0"/>
        </w:rPr>
        <w:t>Every call records the model identity and the system-prompt version, so any graded artifact can be reproduced exactly for audit.</w:t>
      </w:r>
    </w:p>
    <w:p>
      <w:pPr>
        <w:pStyle w:val="Heading1"/>
      </w:pPr>
      <w:r>
        <w:rPr>
          <w:color w:val="8B0000"/>
        </w:rPr>
        <w:t>12. Security, Privacy, and Governance</w:t>
      </w:r>
    </w:p>
    <w:p>
      <w:pPr>
        <w:pStyle w:val="ListBullet"/>
      </w:pPr>
      <w:r>
        <w:t>On-premise only: the inference endpoint is constrained to private network addresses; a startup guard refuses public endpoints.</w:t>
      </w:r>
    </w:p>
    <w:p>
      <w:pPr>
        <w:pStyle w:val="ListBullet"/>
      </w:pPr>
      <w:r>
        <w:t>Full prompt/completion logging is retained per institutional data-retention policy as accreditation evidence.</w:t>
      </w:r>
    </w:p>
    <w:p>
      <w:pPr>
        <w:pStyle w:val="ListBullet"/>
      </w:pPr>
      <w:r>
        <w:t>Training data excludes real PII, credentials, and live exploit payloads; only intentionally-vulnerable lab images are referenced.</w:t>
      </w:r>
    </w:p>
    <w:p>
      <w:pPr>
        <w:pStyle w:val="ListBullet"/>
      </w:pPr>
      <w:r>
        <w:t>Model and dataset artifacts are versioned; changes are auditable and reversible.</w:t>
      </w:r>
    </w:p>
    <w:p>
      <w:pPr>
        <w:pStyle w:val="ListBullet"/>
      </w:pPr>
      <w:r>
        <w:t>The append-only audit trail records privileged actions, including model registration and prompt changes.</w:t>
      </w:r>
    </w:p>
    <w:p>
      <w:pPr>
        <w:pStyle w:val="Heading1"/>
      </w:pPr>
      <w:r>
        <w:rPr>
          <w:color w:val="8B0000"/>
        </w:rPr>
        <w:t>13. Model Lifecycle (MLOps)</w:t>
      </w:r>
    </w:p>
    <w:p>
      <w:pPr>
        <w:pStyle w:val="ListNumber"/>
      </w:pPr>
      <w:r>
        <w:t>Data curation and validation produce a versioned dataset artifact.</w:t>
      </w:r>
    </w:p>
    <w:p>
      <w:pPr>
        <w:pStyle w:val="ListNumber"/>
      </w:pPr>
      <w:r>
        <w:t>Offline QLoRA training on a GPU produces adapter weights and a merged, quantized model.</w:t>
      </w:r>
    </w:p>
    <w:p>
      <w:pPr>
        <w:pStyle w:val="ListNumber"/>
      </w:pPr>
      <w:r>
        <w:t>Evaluation against the held-out and safety suites gates promotion.</w:t>
      </w:r>
    </w:p>
    <w:p>
      <w:pPr>
        <w:pStyle w:val="ListNumber"/>
      </w:pPr>
      <w:r>
        <w:t>Registration: the model is registered with the modules it is approved for; a base model remains as fallback.</w:t>
      </w:r>
    </w:p>
    <w:p>
      <w:pPr>
        <w:pStyle w:val="ListNumber"/>
      </w:pPr>
      <w:r>
        <w:t>A/B and rollback: versions are named (v1, v2, ...) for comparison; any module can be reassigned instantly.</w:t>
      </w:r>
    </w:p>
    <w:p>
      <w:pPr>
        <w:pStyle w:val="ListNumber"/>
      </w:pPr>
      <w:r>
        <w:t>Retraining loop: production logs and new findings expand the dataset for the next iteration.</w:t>
      </w:r>
    </w:p>
    <w:p>
      <w:pPr>
        <w:pStyle w:val="Heading1"/>
      </w:pPr>
      <w:r>
        <w:rPr>
          <w:color w:val="8B0000"/>
        </w:rPr>
        <w:t>14. Risks and Mitigations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Hallucinated facts</w:t>
            </w:r>
          </w:p>
        </w:tc>
        <w:tc>
          <w:tcPr>
            <w:tcW w:type="dxa" w:w="4320"/>
          </w:tcPr>
          <w:p>
            <w:r>
              <w:t>Keep volatile facts in retrieval context, not weights; low temperature; grounding</w:t>
            </w:r>
          </w:p>
        </w:tc>
      </w:tr>
      <w:tr>
        <w:tc>
          <w:tcPr>
            <w:tcW w:type="dxa" w:w="4320"/>
          </w:tcPr>
          <w:p>
            <w:r>
              <w:t>Overfitting to small data</w:t>
            </w:r>
          </w:p>
        </w:tc>
        <w:tc>
          <w:tcPr>
            <w:tcW w:type="dxa" w:w="4320"/>
          </w:tcPr>
          <w:p>
            <w:r>
              <w:t>Rank/epoch control, validation monitoring, dropout, data diversity</w:t>
            </w:r>
          </w:p>
        </w:tc>
      </w:tr>
      <w:tr>
        <w:tc>
          <w:tcPr>
            <w:tcW w:type="dxa" w:w="4320"/>
          </w:tcPr>
          <w:p>
            <w:r>
              <w:t>Catastrophic forgetting</w:t>
            </w:r>
          </w:p>
        </w:tc>
        <w:tc>
          <w:tcPr>
            <w:tcW w:type="dxa" w:w="4320"/>
          </w:tcPr>
          <w:p>
            <w:r>
              <w:t>Adapter-only training; general-capability spot checks</w:t>
            </w:r>
          </w:p>
        </w:tc>
      </w:tr>
      <w:tr>
        <w:tc>
          <w:tcPr>
            <w:tcW w:type="dxa" w:w="4320"/>
          </w:tcPr>
          <w:p>
            <w:r>
              <w:t>JSON contract drift</w:t>
            </w:r>
          </w:p>
        </w:tc>
        <w:tc>
          <w:tcPr>
            <w:tcW w:type="dxa" w:w="4320"/>
          </w:tcPr>
          <w:p>
            <w:r>
              <w:t>Format-heavy training targets; parse-rate gating in evaluation</w:t>
            </w:r>
          </w:p>
        </w:tc>
      </w:tr>
      <w:tr>
        <w:tc>
          <w:tcPr>
            <w:tcW w:type="dxa" w:w="4320"/>
          </w:tcPr>
          <w:p>
            <w:r>
              <w:t>Unsafe outputs</w:t>
            </w:r>
          </w:p>
        </w:tc>
        <w:tc>
          <w:tcPr>
            <w:tcW w:type="dxa" w:w="4320"/>
          </w:tcPr>
          <w:p>
            <w:r>
              <w:t>Dedicated refusal subset; adversarial safety evaluation; guardrail prompts</w:t>
            </w:r>
          </w:p>
        </w:tc>
      </w:tr>
      <w:tr>
        <w:tc>
          <w:tcPr>
            <w:tcW w:type="dxa" w:w="4320"/>
          </w:tcPr>
          <w:p>
            <w:r>
              <w:t>Data leakage / PII</w:t>
            </w:r>
          </w:p>
        </w:tc>
        <w:tc>
          <w:tcPr>
            <w:tcW w:type="dxa" w:w="4320"/>
          </w:tcPr>
          <w:p>
            <w:r>
              <w:t>Scrubbing pipeline; decontamination; governance review</w:t>
            </w:r>
          </w:p>
        </w:tc>
      </w:tr>
    </w:tbl>
    <w:p/>
    <w:p>
      <w:pPr>
        <w:pStyle w:val="Heading1"/>
      </w:pPr>
      <w:r>
        <w:rPr>
          <w:color w:val="8B0000"/>
        </w:rPr>
        <w:t>15. Roadmap</w:t>
      </w:r>
    </w:p>
    <w:p>
      <w:pPr>
        <w:pStyle w:val="ListBullet"/>
      </w:pPr>
      <w:r>
        <w:t>Expand the instruction corpus with production-derived, faculty-reviewed examples.</w:t>
      </w:r>
    </w:p>
    <w:p>
      <w:pPr>
        <w:pStyle w:val="ListBullet"/>
      </w:pPr>
      <w:r>
        <w:t>Introduce preference optimization (DPO) on ranked responses for finer alignment.</w:t>
      </w:r>
    </w:p>
    <w:p>
      <w:pPr>
        <w:pStyle w:val="ListBullet"/>
      </w:pPr>
      <w:r>
        <w:t>Add retrieval-augmented grounding over the MITRE ATT&amp;CK knowledge base at inference.</w:t>
      </w:r>
    </w:p>
    <w:p>
      <w:pPr>
        <w:pStyle w:val="ListBullet"/>
      </w:pPr>
      <w:r>
        <w:t>Distill or prune toward an even smaller footprint for high-concurrency lab sessions.</w:t>
      </w:r>
    </w:p>
    <w:p>
      <w:pPr>
        <w:pStyle w:val="ListBullet"/>
      </w:pPr>
      <w:r>
        <w:t>Automate the train-evaluate-promote pipeline with reproducible, versioned runs.</w:t>
      </w:r>
    </w:p>
    <w:p>
      <w:pPr>
        <w:pStyle w:val="Heading1"/>
      </w:pPr>
      <w:r>
        <w:rPr>
          <w:color w:val="8B0000"/>
        </w:rPr>
        <w:t>Appendix A. Reproducibility Checklist</w:t>
      </w:r>
    </w:p>
    <w:p>
      <w:pPr>
        <w:pStyle w:val="ListBullet"/>
      </w:pPr>
      <w:r>
        <w:t>Dataset version hash and category counts recorded.</w:t>
      </w:r>
    </w:p>
    <w:p>
      <w:pPr>
        <w:pStyle w:val="ListBullet"/>
      </w:pPr>
      <w:r>
        <w:t>Base model identity and revision pinned.</w:t>
      </w:r>
    </w:p>
    <w:p>
      <w:pPr>
        <w:pStyle w:val="ListBullet"/>
      </w:pPr>
      <w:r>
        <w:t>Full hyperparameter set and random seed logged.</w:t>
      </w:r>
    </w:p>
    <w:p>
      <w:pPr>
        <w:pStyle w:val="ListBullet"/>
      </w:pPr>
      <w:r>
        <w:t>Merged + quantized artifact checksummed and versioned.</w:t>
      </w:r>
    </w:p>
    <w:p>
      <w:pPr>
        <w:pStyle w:val="ListBullet"/>
      </w:pPr>
      <w:r>
        <w:t>Evaluation scores stored against the fixed held-out set.</w:t>
      </w:r>
    </w:p>
    <w:p>
      <w:pPr>
        <w:pStyle w:val="ListBullet"/>
      </w:pPr>
      <w:r>
        <w:t>System-prompt version bound to the deployed model.</w:t>
      </w:r>
    </w:p>
    <w:p/>
    <w:p>
      <w:pPr>
        <w:jc w:val="center"/>
      </w:pPr>
      <w:r>
        <w:rPr>
          <w:i/>
          <w:color w:val="2E3440"/>
        </w:rPr>
        <w:t>End of document - Security Copilot Model Technical Specification.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17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