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8C9C9" w14:textId="77777777" w:rsidR="000805CE" w:rsidRDefault="00000000">
      <w:pPr>
        <w:pStyle w:val="a3"/>
        <w:keepNext/>
        <w:rPr>
          <w:rFonts w:hint="eastAsia"/>
        </w:rPr>
      </w:pPr>
      <w:r>
        <w:rPr>
          <w:rFonts w:hint="eastAsia"/>
        </w:rPr>
        <w:t>Table 1. Data Charting and CCAT Scores of 56 Articles</w:t>
      </w:r>
    </w:p>
    <w:tbl>
      <w:tblPr>
        <w:tblStyle w:val="211"/>
        <w:tblW w:w="12198" w:type="dxa"/>
        <w:jc w:val="center"/>
        <w:tblLayout w:type="fixed"/>
        <w:tblLook w:val="04A0" w:firstRow="1" w:lastRow="0" w:firstColumn="1" w:lastColumn="0" w:noHBand="0" w:noVBand="1"/>
      </w:tblPr>
      <w:tblGrid>
        <w:gridCol w:w="670"/>
        <w:gridCol w:w="992"/>
        <w:gridCol w:w="1854"/>
        <w:gridCol w:w="2219"/>
        <w:gridCol w:w="1314"/>
        <w:gridCol w:w="1418"/>
        <w:gridCol w:w="2835"/>
        <w:gridCol w:w="896"/>
      </w:tblGrid>
      <w:tr w:rsidR="000805CE" w14:paraId="7B6440EB" w14:textId="77777777" w:rsidTr="000805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12" w:space="0" w:color="000000"/>
              <w:left w:val="nil"/>
              <w:bottom w:val="single" w:sz="4" w:space="0" w:color="000000"/>
              <w:right w:val="nil"/>
            </w:tcBorders>
            <w:shd w:val="clear" w:color="auto" w:fill="FFFFFF"/>
            <w:noWrap/>
            <w:vAlign w:val="center"/>
          </w:tcPr>
          <w:p w14:paraId="4C8E0145" w14:textId="77777777" w:rsidR="000805CE" w:rsidRDefault="00000000">
            <w:pPr>
              <w:spacing w:before="100" w:beforeAutospacing="1" w:after="100" w:afterAutospacing="1"/>
              <w:jc w:val="center"/>
              <w:rPr>
                <w:rFonts w:eastAsia="等线"/>
                <w:b w:val="0"/>
                <w:bCs w:val="0"/>
                <w:kern w:val="0"/>
                <w:sz w:val="20"/>
                <w:szCs w:val="21"/>
                <w14:ligatures w14:val="none"/>
              </w:rPr>
            </w:pPr>
            <w:bookmarkStart w:id="0" w:name="_Hlk197079642"/>
            <w:bookmarkStart w:id="1" w:name="_Hlk203167492"/>
            <w:bookmarkStart w:id="2" w:name="_Hlk203733899"/>
            <w:r>
              <w:rPr>
                <w:kern w:val="0"/>
                <w:sz w:val="20"/>
                <w:szCs w:val="21"/>
                <w14:ligatures w14:val="none"/>
              </w:rPr>
              <w:t>No</w:t>
            </w:r>
            <w:bookmarkEnd w:id="0"/>
            <w:r>
              <w:rPr>
                <w:rFonts w:eastAsia="等线"/>
                <w:kern w:val="0"/>
                <w:sz w:val="20"/>
                <w:szCs w:val="21"/>
                <w14:ligatures w14:val="none"/>
              </w:rPr>
              <w:t>.</w:t>
            </w:r>
          </w:p>
        </w:tc>
        <w:tc>
          <w:tcPr>
            <w:tcW w:w="992" w:type="dxa"/>
            <w:tcBorders>
              <w:top w:val="single" w:sz="12" w:space="0" w:color="000000"/>
              <w:left w:val="nil"/>
              <w:bottom w:val="single" w:sz="4" w:space="0" w:color="000000"/>
              <w:right w:val="nil"/>
            </w:tcBorders>
            <w:shd w:val="clear" w:color="auto" w:fill="FFFFFF"/>
            <w:noWrap/>
            <w:vAlign w:val="center"/>
          </w:tcPr>
          <w:p w14:paraId="7ED38CA1" w14:textId="77777777" w:rsidR="000805CE" w:rsidRDefault="0000000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b w:val="0"/>
                <w:bCs w:val="0"/>
                <w:kern w:val="0"/>
                <w:sz w:val="20"/>
                <w:szCs w:val="21"/>
                <w14:ligatures w14:val="none"/>
              </w:rPr>
            </w:pPr>
            <w:r>
              <w:rPr>
                <w:kern w:val="0"/>
                <w:sz w:val="20"/>
                <w:szCs w:val="21"/>
                <w14:ligatures w14:val="none"/>
              </w:rPr>
              <w:t>Authors (Year)</w:t>
            </w:r>
          </w:p>
          <w:p w14:paraId="14C6F128" w14:textId="77777777" w:rsidR="000805CE" w:rsidRDefault="0000000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b w:val="0"/>
                <w:bCs w:val="0"/>
                <w:kern w:val="0"/>
                <w:sz w:val="20"/>
                <w:szCs w:val="21"/>
                <w14:ligatures w14:val="none"/>
              </w:rPr>
            </w:pPr>
            <w:r>
              <w:rPr>
                <w:kern w:val="0"/>
                <w:sz w:val="20"/>
                <w:szCs w:val="21"/>
                <w14:ligatures w14:val="none"/>
              </w:rPr>
              <w:t>Country</w:t>
            </w:r>
          </w:p>
        </w:tc>
        <w:tc>
          <w:tcPr>
            <w:tcW w:w="1854" w:type="dxa"/>
            <w:tcBorders>
              <w:top w:val="single" w:sz="12" w:space="0" w:color="000000"/>
              <w:left w:val="nil"/>
              <w:bottom w:val="single" w:sz="4" w:space="0" w:color="000000"/>
              <w:right w:val="nil"/>
            </w:tcBorders>
            <w:shd w:val="clear" w:color="auto" w:fill="FFFFFF"/>
            <w:noWrap/>
            <w:vAlign w:val="center"/>
          </w:tcPr>
          <w:p w14:paraId="2F1E37F7" w14:textId="77777777" w:rsidR="000805CE" w:rsidRDefault="0000000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b w:val="0"/>
                <w:bCs w:val="0"/>
                <w:kern w:val="0"/>
                <w:sz w:val="20"/>
                <w:szCs w:val="21"/>
                <w14:ligatures w14:val="none"/>
              </w:rPr>
            </w:pPr>
            <w:r>
              <w:rPr>
                <w:kern w:val="0"/>
                <w:sz w:val="20"/>
                <w:szCs w:val="21"/>
                <w14:ligatures w14:val="none"/>
              </w:rPr>
              <w:t>Title</w:t>
            </w:r>
          </w:p>
        </w:tc>
        <w:tc>
          <w:tcPr>
            <w:tcW w:w="2219" w:type="dxa"/>
            <w:tcBorders>
              <w:top w:val="single" w:sz="12" w:space="0" w:color="000000"/>
              <w:left w:val="nil"/>
              <w:bottom w:val="single" w:sz="4" w:space="0" w:color="000000"/>
              <w:right w:val="nil"/>
            </w:tcBorders>
            <w:shd w:val="clear" w:color="auto" w:fill="FFFFFF"/>
            <w:noWrap/>
            <w:vAlign w:val="center"/>
          </w:tcPr>
          <w:p w14:paraId="3555CD8E" w14:textId="77777777" w:rsidR="000805CE" w:rsidRDefault="0000000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b w:val="0"/>
                <w:bCs w:val="0"/>
                <w:kern w:val="0"/>
                <w:sz w:val="20"/>
                <w:szCs w:val="21"/>
                <w14:ligatures w14:val="none"/>
              </w:rPr>
            </w:pPr>
            <w:r>
              <w:rPr>
                <w:kern w:val="0"/>
                <w:sz w:val="20"/>
                <w:szCs w:val="21"/>
                <w14:ligatures w14:val="none"/>
              </w:rPr>
              <w:t>Objectives(s)</w:t>
            </w:r>
          </w:p>
        </w:tc>
        <w:tc>
          <w:tcPr>
            <w:tcW w:w="1314" w:type="dxa"/>
            <w:tcBorders>
              <w:top w:val="single" w:sz="12" w:space="0" w:color="000000"/>
              <w:left w:val="nil"/>
              <w:bottom w:val="single" w:sz="4" w:space="0" w:color="000000"/>
              <w:right w:val="nil"/>
            </w:tcBorders>
            <w:shd w:val="clear" w:color="auto" w:fill="FFFFFF"/>
            <w:noWrap/>
            <w:vAlign w:val="center"/>
          </w:tcPr>
          <w:p w14:paraId="37BB9DB9" w14:textId="77777777" w:rsidR="000805CE" w:rsidRDefault="0000000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b w:val="0"/>
                <w:bCs w:val="0"/>
                <w:kern w:val="0"/>
                <w:sz w:val="20"/>
                <w:szCs w:val="21"/>
                <w14:ligatures w14:val="none"/>
              </w:rPr>
            </w:pPr>
            <w:r>
              <w:rPr>
                <w:kern w:val="0"/>
                <w:sz w:val="20"/>
                <w:szCs w:val="21"/>
                <w14:ligatures w14:val="none"/>
              </w:rPr>
              <w:t>Sampling</w:t>
            </w:r>
          </w:p>
        </w:tc>
        <w:tc>
          <w:tcPr>
            <w:tcW w:w="1418" w:type="dxa"/>
            <w:tcBorders>
              <w:top w:val="single" w:sz="12" w:space="0" w:color="000000"/>
              <w:left w:val="nil"/>
              <w:bottom w:val="single" w:sz="4" w:space="0" w:color="000000"/>
              <w:right w:val="nil"/>
            </w:tcBorders>
            <w:shd w:val="clear" w:color="auto" w:fill="FFFFFF"/>
            <w:noWrap/>
            <w:vAlign w:val="center"/>
          </w:tcPr>
          <w:p w14:paraId="339E9395" w14:textId="77777777" w:rsidR="000805CE" w:rsidRDefault="0000000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b w:val="0"/>
                <w:bCs w:val="0"/>
                <w:kern w:val="0"/>
                <w:sz w:val="20"/>
                <w:szCs w:val="21"/>
                <w14:ligatures w14:val="none"/>
              </w:rPr>
            </w:pPr>
            <w:r>
              <w:rPr>
                <w:kern w:val="0"/>
                <w:sz w:val="20"/>
                <w:szCs w:val="21"/>
                <w14:ligatures w14:val="none"/>
              </w:rPr>
              <w:t>Research Design</w:t>
            </w:r>
          </w:p>
        </w:tc>
        <w:tc>
          <w:tcPr>
            <w:tcW w:w="2835" w:type="dxa"/>
            <w:tcBorders>
              <w:top w:val="single" w:sz="12" w:space="0" w:color="000000"/>
              <w:left w:val="nil"/>
              <w:bottom w:val="single" w:sz="4" w:space="0" w:color="000000"/>
              <w:right w:val="nil"/>
            </w:tcBorders>
            <w:shd w:val="clear" w:color="auto" w:fill="FFFFFF"/>
            <w:noWrap/>
            <w:vAlign w:val="center"/>
          </w:tcPr>
          <w:p w14:paraId="659078A5" w14:textId="77777777" w:rsidR="000805CE" w:rsidRDefault="0000000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b w:val="0"/>
                <w:bCs w:val="0"/>
                <w:kern w:val="0"/>
                <w:sz w:val="20"/>
                <w:szCs w:val="21"/>
                <w14:ligatures w14:val="none"/>
              </w:rPr>
            </w:pPr>
            <w:r>
              <w:rPr>
                <w:kern w:val="0"/>
                <w:sz w:val="20"/>
                <w:szCs w:val="21"/>
                <w14:ligatures w14:val="none"/>
              </w:rPr>
              <w:t>Main Findings</w:t>
            </w:r>
          </w:p>
        </w:tc>
        <w:tc>
          <w:tcPr>
            <w:tcW w:w="896" w:type="dxa"/>
            <w:tcBorders>
              <w:top w:val="single" w:sz="12" w:space="0" w:color="000000"/>
              <w:left w:val="nil"/>
              <w:bottom w:val="single" w:sz="4" w:space="0" w:color="000000"/>
              <w:right w:val="nil"/>
            </w:tcBorders>
            <w:shd w:val="clear" w:color="auto" w:fill="FFFFFF"/>
            <w:noWrap/>
            <w:vAlign w:val="center"/>
          </w:tcPr>
          <w:p w14:paraId="727130A6" w14:textId="77777777" w:rsidR="000805CE" w:rsidRDefault="0000000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b w:val="0"/>
                <w:bCs w:val="0"/>
                <w:kern w:val="0"/>
                <w:sz w:val="20"/>
                <w:szCs w:val="21"/>
                <w14:ligatures w14:val="none"/>
              </w:rPr>
            </w:pPr>
            <w:r>
              <w:rPr>
                <w:kern w:val="0"/>
                <w:sz w:val="20"/>
                <w:szCs w:val="21"/>
                <w14:ligatures w14:val="none"/>
              </w:rPr>
              <w:t>CCAT Scores</w:t>
            </w:r>
          </w:p>
        </w:tc>
      </w:tr>
      <w:bookmarkEnd w:id="1"/>
      <w:tr w:rsidR="000805CE" w14:paraId="25F1B009"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501B77DF" w14:textId="77777777" w:rsidR="000805CE" w:rsidRDefault="00000000">
            <w:pPr>
              <w:spacing w:before="100" w:beforeAutospacing="1" w:after="100" w:afterAutospacing="1"/>
              <w:jc w:val="center"/>
              <w:rPr>
                <w:b w:val="0"/>
                <w:bCs w:val="0"/>
                <w:kern w:val="0"/>
                <w:sz w:val="20"/>
                <w:szCs w:val="21"/>
                <w14:ligatures w14:val="none"/>
              </w:rPr>
            </w:pPr>
            <w:r>
              <w:rPr>
                <w:kern w:val="0"/>
                <w:sz w:val="20"/>
                <w:szCs w:val="21"/>
                <w14:ligatures w14:val="none"/>
              </w:rPr>
              <w:t>1</w:t>
            </w:r>
          </w:p>
        </w:tc>
        <w:tc>
          <w:tcPr>
            <w:tcW w:w="992" w:type="dxa"/>
            <w:tcBorders>
              <w:top w:val="single" w:sz="4" w:space="0" w:color="7F7F7F"/>
              <w:left w:val="nil"/>
              <w:bottom w:val="single" w:sz="4" w:space="0" w:color="7F7F7F"/>
              <w:right w:val="nil"/>
            </w:tcBorders>
            <w:vAlign w:val="center"/>
          </w:tcPr>
          <w:p w14:paraId="48D293A2" w14:textId="77777777" w:rsidR="000805CE" w:rsidRDefault="000000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Savić et al. (2021) (Savić et al., 2021)</w:t>
            </w:r>
          </w:p>
          <w:p w14:paraId="51767DB9" w14:textId="77777777" w:rsidR="000805CE" w:rsidRDefault="000000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Norway</w:t>
            </w:r>
          </w:p>
          <w:p w14:paraId="49C2142C" w14:textId="77777777" w:rsidR="000805CE" w:rsidRDefault="000000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 </w:t>
            </w:r>
          </w:p>
        </w:tc>
        <w:tc>
          <w:tcPr>
            <w:tcW w:w="1854" w:type="dxa"/>
            <w:tcBorders>
              <w:top w:val="single" w:sz="4" w:space="0" w:color="7F7F7F"/>
              <w:left w:val="nil"/>
              <w:bottom w:val="single" w:sz="4" w:space="0" w:color="7F7F7F"/>
              <w:right w:val="nil"/>
            </w:tcBorders>
            <w:noWrap/>
            <w:vAlign w:val="center"/>
          </w:tcPr>
          <w:p w14:paraId="358CC064" w14:textId="77777777" w:rsidR="000805CE" w:rsidRDefault="000000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Young Greek Cypriot and Norwegian EFL learners: </w:t>
            </w:r>
            <w:proofErr w:type="spellStart"/>
            <w:r>
              <w:rPr>
                <w:kern w:val="0"/>
                <w:sz w:val="20"/>
                <w:szCs w:val="21"/>
                <w14:ligatures w14:val="none"/>
              </w:rPr>
              <w:t>Pragmalinguistic</w:t>
            </w:r>
            <w:proofErr w:type="spellEnd"/>
            <w:r>
              <w:rPr>
                <w:kern w:val="0"/>
                <w:sz w:val="20"/>
                <w:szCs w:val="21"/>
                <w14:ligatures w14:val="none"/>
              </w:rPr>
              <w:t xml:space="preserve"> development in request production</w:t>
            </w:r>
          </w:p>
        </w:tc>
        <w:tc>
          <w:tcPr>
            <w:tcW w:w="2219" w:type="dxa"/>
            <w:tcBorders>
              <w:top w:val="single" w:sz="4" w:space="0" w:color="7F7F7F"/>
              <w:left w:val="nil"/>
              <w:bottom w:val="single" w:sz="4" w:space="0" w:color="7F7F7F"/>
              <w:right w:val="nil"/>
            </w:tcBorders>
            <w:noWrap/>
            <w:vAlign w:val="center"/>
          </w:tcPr>
          <w:p w14:paraId="73BD7F16" w14:textId="77777777" w:rsidR="000805CE" w:rsidRDefault="000000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Examine request development in Greek Cypriot and Norwegian English learners.</w:t>
            </w:r>
          </w:p>
        </w:tc>
        <w:tc>
          <w:tcPr>
            <w:tcW w:w="1314" w:type="dxa"/>
            <w:tcBorders>
              <w:top w:val="single" w:sz="4" w:space="0" w:color="7F7F7F"/>
              <w:left w:val="nil"/>
              <w:bottom w:val="single" w:sz="4" w:space="0" w:color="7F7F7F"/>
              <w:right w:val="nil"/>
            </w:tcBorders>
            <w:noWrap/>
            <w:vAlign w:val="center"/>
          </w:tcPr>
          <w:p w14:paraId="47C16920" w14:textId="77777777" w:rsidR="000805CE" w:rsidRDefault="000000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88 Greek, 79 Norwegian learners</w:t>
            </w:r>
          </w:p>
        </w:tc>
        <w:tc>
          <w:tcPr>
            <w:tcW w:w="1418" w:type="dxa"/>
            <w:tcBorders>
              <w:top w:val="single" w:sz="4" w:space="0" w:color="7F7F7F"/>
              <w:left w:val="nil"/>
              <w:bottom w:val="single" w:sz="4" w:space="0" w:color="7F7F7F"/>
              <w:right w:val="nil"/>
            </w:tcBorders>
            <w:noWrap/>
            <w:vAlign w:val="center"/>
          </w:tcPr>
          <w:p w14:paraId="61EACD76" w14:textId="77777777" w:rsidR="000805CE" w:rsidRDefault="000000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Cross-sectional study</w:t>
            </w:r>
          </w:p>
        </w:tc>
        <w:tc>
          <w:tcPr>
            <w:tcW w:w="2835" w:type="dxa"/>
            <w:tcBorders>
              <w:top w:val="single" w:sz="4" w:space="0" w:color="7F7F7F"/>
              <w:left w:val="nil"/>
              <w:bottom w:val="single" w:sz="4" w:space="0" w:color="7F7F7F"/>
              <w:right w:val="nil"/>
            </w:tcBorders>
            <w:noWrap/>
            <w:vAlign w:val="center"/>
          </w:tcPr>
          <w:p w14:paraId="07D903BC" w14:textId="77777777" w:rsidR="000805CE" w:rsidRDefault="000000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 Norwegian students, there is a clear developmental path. Age-related differences in request strategies, modal verbs, lexical downgrading, and supportive moves were found.</w:t>
            </w:r>
          </w:p>
        </w:tc>
        <w:tc>
          <w:tcPr>
            <w:tcW w:w="896" w:type="dxa"/>
            <w:tcBorders>
              <w:top w:val="single" w:sz="4" w:space="0" w:color="7F7F7F"/>
              <w:left w:val="nil"/>
              <w:bottom w:val="single" w:sz="4" w:space="0" w:color="7F7F7F"/>
              <w:right w:val="nil"/>
            </w:tcBorders>
            <w:noWrap/>
            <w:vAlign w:val="center"/>
          </w:tcPr>
          <w:p w14:paraId="2B70EAEF" w14:textId="77777777" w:rsidR="000805CE" w:rsidRDefault="000000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36</w:t>
            </w:r>
          </w:p>
        </w:tc>
      </w:tr>
      <w:tr w:rsidR="000805CE" w14:paraId="429F1FD7"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nil"/>
              <w:left w:val="nil"/>
              <w:bottom w:val="single" w:sz="4" w:space="0" w:color="7F7F7F"/>
              <w:right w:val="nil"/>
            </w:tcBorders>
            <w:noWrap/>
            <w:vAlign w:val="center"/>
          </w:tcPr>
          <w:p w14:paraId="43FB219C" w14:textId="77777777" w:rsidR="000805CE" w:rsidRDefault="00000000">
            <w:pPr>
              <w:spacing w:before="100" w:beforeAutospacing="1" w:after="100" w:afterAutospacing="1"/>
              <w:jc w:val="center"/>
              <w:rPr>
                <w:b w:val="0"/>
                <w:bCs w:val="0"/>
                <w:kern w:val="0"/>
                <w:sz w:val="20"/>
                <w:szCs w:val="21"/>
                <w14:ligatures w14:val="none"/>
              </w:rPr>
            </w:pPr>
            <w:r>
              <w:rPr>
                <w:kern w:val="0"/>
                <w:sz w:val="20"/>
                <w:szCs w:val="21"/>
                <w14:ligatures w14:val="none"/>
              </w:rPr>
              <w:t>2</w:t>
            </w:r>
          </w:p>
        </w:tc>
        <w:tc>
          <w:tcPr>
            <w:tcW w:w="992" w:type="dxa"/>
            <w:tcBorders>
              <w:top w:val="nil"/>
              <w:left w:val="nil"/>
              <w:bottom w:val="single" w:sz="4" w:space="0" w:color="7F7F7F"/>
              <w:right w:val="nil"/>
            </w:tcBorders>
            <w:vAlign w:val="center"/>
          </w:tcPr>
          <w:p w14:paraId="14453D6F" w14:textId="77777777" w:rsidR="000805CE" w:rsidRDefault="000000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Eslami et al. (2022) (Eslami et al., 2022)</w:t>
            </w:r>
          </w:p>
          <w:p w14:paraId="3F52840C" w14:textId="77777777" w:rsidR="000805CE" w:rsidRDefault="000000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United States </w:t>
            </w:r>
          </w:p>
        </w:tc>
        <w:tc>
          <w:tcPr>
            <w:tcW w:w="1854" w:type="dxa"/>
            <w:tcBorders>
              <w:top w:val="nil"/>
              <w:left w:val="nil"/>
              <w:bottom w:val="single" w:sz="4" w:space="0" w:color="7F7F7F"/>
              <w:right w:val="nil"/>
            </w:tcBorders>
            <w:noWrap/>
            <w:vAlign w:val="center"/>
          </w:tcPr>
          <w:p w14:paraId="5BA08717" w14:textId="77777777" w:rsidR="000805CE" w:rsidRDefault="000000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Variation Patterns in Interlanguage Pragmatics: Apology Speech Act of EFL Learners vs. American Native Speakers</w:t>
            </w:r>
          </w:p>
        </w:tc>
        <w:tc>
          <w:tcPr>
            <w:tcW w:w="2219" w:type="dxa"/>
            <w:tcBorders>
              <w:top w:val="nil"/>
              <w:left w:val="nil"/>
              <w:bottom w:val="single" w:sz="4" w:space="0" w:color="7F7F7F"/>
              <w:right w:val="nil"/>
            </w:tcBorders>
            <w:noWrap/>
            <w:vAlign w:val="center"/>
          </w:tcPr>
          <w:p w14:paraId="386B692E" w14:textId="77777777" w:rsidR="000805CE" w:rsidRDefault="000000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Examine the relationship between </w:t>
            </w:r>
            <w:proofErr w:type="spellStart"/>
            <w:r>
              <w:rPr>
                <w:kern w:val="0"/>
                <w:sz w:val="20"/>
                <w:szCs w:val="21"/>
                <w14:ligatures w14:val="none"/>
              </w:rPr>
              <w:t>pragmalinguistic</w:t>
            </w:r>
            <w:proofErr w:type="spellEnd"/>
            <w:r>
              <w:rPr>
                <w:kern w:val="0"/>
                <w:sz w:val="20"/>
                <w:szCs w:val="21"/>
                <w14:ligatures w14:val="none"/>
              </w:rPr>
              <w:t xml:space="preserve"> and </w:t>
            </w:r>
            <w:proofErr w:type="spellStart"/>
            <w:r>
              <w:rPr>
                <w:kern w:val="0"/>
                <w:sz w:val="20"/>
                <w:szCs w:val="21"/>
                <w14:ligatures w14:val="none"/>
              </w:rPr>
              <w:t>sociopragmatic</w:t>
            </w:r>
            <w:proofErr w:type="spellEnd"/>
            <w:r>
              <w:rPr>
                <w:kern w:val="0"/>
                <w:sz w:val="20"/>
                <w:szCs w:val="21"/>
                <w14:ligatures w14:val="none"/>
              </w:rPr>
              <w:t xml:space="preserve"> competence in Iranian EFL learners at different levels of proficiency.</w:t>
            </w:r>
          </w:p>
        </w:tc>
        <w:tc>
          <w:tcPr>
            <w:tcW w:w="1314" w:type="dxa"/>
            <w:tcBorders>
              <w:top w:val="nil"/>
              <w:left w:val="nil"/>
              <w:bottom w:val="single" w:sz="4" w:space="0" w:color="7F7F7F"/>
              <w:right w:val="nil"/>
            </w:tcBorders>
            <w:noWrap/>
            <w:vAlign w:val="center"/>
          </w:tcPr>
          <w:p w14:paraId="0BAECBCD" w14:textId="77777777" w:rsidR="000805CE" w:rsidRDefault="000000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Iranian EFL learners across proficiency levels.</w:t>
            </w:r>
          </w:p>
        </w:tc>
        <w:tc>
          <w:tcPr>
            <w:tcW w:w="1418" w:type="dxa"/>
            <w:tcBorders>
              <w:top w:val="nil"/>
              <w:left w:val="nil"/>
              <w:bottom w:val="single" w:sz="4" w:space="0" w:color="7F7F7F"/>
              <w:right w:val="nil"/>
            </w:tcBorders>
            <w:noWrap/>
            <w:vAlign w:val="center"/>
          </w:tcPr>
          <w:p w14:paraId="4BCD32E4" w14:textId="77777777" w:rsidR="000805CE" w:rsidRDefault="000000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Written discourse completion task (WDCT) for data collection.</w:t>
            </w:r>
          </w:p>
        </w:tc>
        <w:tc>
          <w:tcPr>
            <w:tcW w:w="2835" w:type="dxa"/>
            <w:tcBorders>
              <w:top w:val="nil"/>
              <w:left w:val="nil"/>
              <w:bottom w:val="single" w:sz="4" w:space="0" w:color="7F7F7F"/>
              <w:right w:val="nil"/>
            </w:tcBorders>
            <w:noWrap/>
            <w:vAlign w:val="center"/>
          </w:tcPr>
          <w:p w14:paraId="1A26303E" w14:textId="77777777" w:rsidR="000805CE" w:rsidRDefault="000000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Across language proficiency levels, both </w:t>
            </w:r>
            <w:proofErr w:type="spellStart"/>
            <w:r>
              <w:rPr>
                <w:kern w:val="0"/>
                <w:sz w:val="20"/>
                <w:szCs w:val="21"/>
                <w14:ligatures w14:val="none"/>
              </w:rPr>
              <w:t>sociopragmatic</w:t>
            </w:r>
            <w:proofErr w:type="spellEnd"/>
            <w:r>
              <w:rPr>
                <w:kern w:val="0"/>
                <w:sz w:val="20"/>
                <w:szCs w:val="21"/>
                <w14:ligatures w14:val="none"/>
              </w:rPr>
              <w:t xml:space="preserve"> and </w:t>
            </w:r>
            <w:proofErr w:type="spellStart"/>
            <w:r>
              <w:rPr>
                <w:kern w:val="0"/>
                <w:sz w:val="20"/>
                <w:szCs w:val="21"/>
                <w14:ligatures w14:val="none"/>
              </w:rPr>
              <w:t>pragmalinguistic</w:t>
            </w:r>
            <w:proofErr w:type="spellEnd"/>
            <w:r>
              <w:rPr>
                <w:kern w:val="0"/>
                <w:sz w:val="20"/>
                <w:szCs w:val="21"/>
                <w14:ligatures w14:val="none"/>
              </w:rPr>
              <w:t xml:space="preserve"> development was observed.</w:t>
            </w:r>
          </w:p>
        </w:tc>
        <w:tc>
          <w:tcPr>
            <w:tcW w:w="896" w:type="dxa"/>
            <w:tcBorders>
              <w:top w:val="nil"/>
              <w:left w:val="nil"/>
              <w:bottom w:val="single" w:sz="4" w:space="0" w:color="7F7F7F"/>
              <w:right w:val="nil"/>
            </w:tcBorders>
            <w:noWrap/>
            <w:vAlign w:val="center"/>
          </w:tcPr>
          <w:p w14:paraId="46158514" w14:textId="77777777" w:rsidR="000805CE" w:rsidRDefault="0000000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40</w:t>
            </w:r>
          </w:p>
        </w:tc>
      </w:tr>
      <w:tr w:rsidR="00394822" w14:paraId="2ECED8A4"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nil"/>
              <w:left w:val="nil"/>
              <w:bottom w:val="single" w:sz="4" w:space="0" w:color="7F7F7F"/>
              <w:right w:val="nil"/>
            </w:tcBorders>
            <w:noWrap/>
            <w:vAlign w:val="center"/>
          </w:tcPr>
          <w:p w14:paraId="31086DAA" w14:textId="2175C60F" w:rsidR="00394822" w:rsidRDefault="00394822">
            <w:pPr>
              <w:spacing w:before="100" w:beforeAutospacing="1" w:after="100" w:afterAutospacing="1"/>
              <w:jc w:val="center"/>
              <w:rPr>
                <w:b w:val="0"/>
                <w:bCs w:val="0"/>
                <w:kern w:val="0"/>
                <w:sz w:val="20"/>
                <w:szCs w:val="21"/>
                <w14:ligatures w14:val="none"/>
              </w:rPr>
            </w:pPr>
            <w:r>
              <w:rPr>
                <w:rFonts w:hint="eastAsia"/>
                <w:b w:val="0"/>
                <w:bCs w:val="0"/>
                <w:kern w:val="0"/>
                <w:sz w:val="20"/>
                <w:szCs w:val="21"/>
                <w14:ligatures w14:val="none"/>
              </w:rPr>
              <w:t>3</w:t>
            </w:r>
          </w:p>
        </w:tc>
        <w:tc>
          <w:tcPr>
            <w:tcW w:w="992" w:type="dxa"/>
            <w:tcBorders>
              <w:top w:val="nil"/>
              <w:left w:val="nil"/>
              <w:bottom w:val="single" w:sz="4" w:space="0" w:color="7F7F7F"/>
              <w:right w:val="nil"/>
            </w:tcBorders>
            <w:vAlign w:val="center"/>
          </w:tcPr>
          <w:p w14:paraId="67639BBD" w14:textId="120270C3" w:rsidR="00394822" w:rsidRDefault="00BA1F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fldChar w:fldCharType="begin" w:fldLock="1"/>
            </w:r>
            <w:r w:rsidR="00FE21CF">
              <w:rPr>
                <w:kern w:val="0"/>
                <w:sz w:val="20"/>
                <w:szCs w:val="21"/>
                <w14:ligatures w14:val="none"/>
              </w:rPr>
              <w:instrText>ADDIN CSL_CITATION {"citationItems":[{"id":"ITEM-1","itemData":{"DOI":"https://doi.org/10.1016/j.lingua.2021.103085","ISSN":"0024-3841","abstract":"Interlanguage studies have shifted over time from the early qualitative studies to quantitative studies of specific linguistic structures. However, the focus of these studies is usually on a partial aspect of an interlanguage instead of the whole system. Therefore, there remains a paucity of quantitative studies on interlanguage from the typological perspective. Based on a syntactically-tagged corpus that we built, and taking a quantitative linguistic metric, this paper reports the typological change in Chinese interlanguage from two native language backgrounds i.e., English and Japanese. The findings show that (1) the interlanguage of native English speakers and native Japanese speakers have the same preference for SV and VO; (2) interlanguage is a gradual developmental system, and the typological features of native language have an influence on the development of interlanguage typological features; (3) typological markedness between NL and TL affect the development of interlanguage's typological features, and experience with L2 can also influence L2 acquisition; (4) the dependency direction can be universally applicable as an indicator to investigate the overall development of interlanguage typology.","author":[{"dropping-particle":"","family":"Hao","given":"Yuxin","non-dropping-particle":"","parse-names":false,"suffix":""},{"dropping-particle":"","family":"Wang","given":"Xuelin","non-dropping-particle":"","parse-names":false,"suffix":""},{"dropping-particle":"","family":"Yu","given":"Qi","non-dropping-particle":"","parse-names":false,"suffix":""}],"container-title":"Lingua","id":"ITEM-1","issued":{"date-parts":[["2021"]]},"page":"103085","title":"Typological characteristics of interlanguage: Across native language types and L2 proficiency levels","type":"article-journal","volume":"257"},"uris":["http://www.mendeley.com/documents/?uuid=6e24410e-e9a4-43fd-84c8-25c38033d3fd"]}],"mendeley":{"formattedCitation":"(Hao et al., 2021)","manualFormatting":"Hao et al. (2021)","plainTextFormattedCitation":"(Hao et al., 2021)","previouslyFormattedCitation":"(Hao et al., 2021)"},"properties":{"noteIndex":0},"schema":"https://github.com/citation-style-language/schema/raw/master/csl-citation.json"}</w:instrText>
            </w:r>
            <w:r>
              <w:rPr>
                <w:kern w:val="0"/>
                <w:sz w:val="20"/>
                <w:szCs w:val="21"/>
                <w14:ligatures w14:val="none"/>
              </w:rPr>
              <w:fldChar w:fldCharType="separate"/>
            </w:r>
            <w:r w:rsidRPr="00BA1F54">
              <w:rPr>
                <w:noProof/>
                <w:kern w:val="0"/>
                <w:sz w:val="20"/>
                <w:szCs w:val="21"/>
                <w14:ligatures w14:val="none"/>
              </w:rPr>
              <w:t xml:space="preserve">Hao et al. </w:t>
            </w:r>
            <w:r>
              <w:rPr>
                <w:rFonts w:hint="eastAsia"/>
                <w:noProof/>
                <w:kern w:val="0"/>
                <w:sz w:val="20"/>
                <w:szCs w:val="21"/>
                <w14:ligatures w14:val="none"/>
              </w:rPr>
              <w:t>(</w:t>
            </w:r>
            <w:r w:rsidRPr="00BA1F54">
              <w:rPr>
                <w:noProof/>
                <w:kern w:val="0"/>
                <w:sz w:val="20"/>
                <w:szCs w:val="21"/>
                <w14:ligatures w14:val="none"/>
              </w:rPr>
              <w:t>2021)</w:t>
            </w:r>
            <w:r>
              <w:rPr>
                <w:kern w:val="0"/>
                <w:sz w:val="20"/>
                <w:szCs w:val="21"/>
                <w14:ligatures w14:val="none"/>
              </w:rPr>
              <w:fldChar w:fldCharType="end"/>
            </w:r>
            <w:r>
              <w:rPr>
                <w:rFonts w:hint="eastAsia"/>
              </w:rPr>
              <w:t xml:space="preserve"> </w:t>
            </w:r>
            <w:r w:rsidRPr="00BA1F54">
              <w:rPr>
                <w:rFonts w:hint="eastAsia"/>
                <w:kern w:val="0"/>
                <w:sz w:val="20"/>
                <w:szCs w:val="21"/>
                <w14:ligatures w14:val="none"/>
              </w:rPr>
              <w:t>(Hao et al., 2021)</w:t>
            </w:r>
          </w:p>
          <w:p w14:paraId="2B63D0A6" w14:textId="1312E375" w:rsidR="00BA1F54" w:rsidRDefault="00BA1F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China</w:t>
            </w:r>
          </w:p>
        </w:tc>
        <w:tc>
          <w:tcPr>
            <w:tcW w:w="1854" w:type="dxa"/>
            <w:tcBorders>
              <w:top w:val="nil"/>
              <w:left w:val="nil"/>
              <w:bottom w:val="single" w:sz="4" w:space="0" w:color="7F7F7F"/>
              <w:right w:val="nil"/>
            </w:tcBorders>
            <w:noWrap/>
            <w:vAlign w:val="center"/>
          </w:tcPr>
          <w:p w14:paraId="2F484B7E" w14:textId="19B4EE3F" w:rsidR="00394822" w:rsidRDefault="00BA1F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sidRPr="00BA1F54">
              <w:rPr>
                <w:rFonts w:hint="eastAsia"/>
                <w:kern w:val="0"/>
                <w:sz w:val="20"/>
                <w:szCs w:val="21"/>
                <w14:ligatures w14:val="none"/>
              </w:rPr>
              <w:t xml:space="preserve">Typological characteristics of interlanguage: </w:t>
            </w:r>
            <w:proofErr w:type="gramStart"/>
            <w:r w:rsidRPr="00BA1F54">
              <w:rPr>
                <w:rFonts w:hint="eastAsia"/>
                <w:kern w:val="0"/>
                <w:sz w:val="20"/>
                <w:szCs w:val="21"/>
                <w14:ligatures w14:val="none"/>
              </w:rPr>
              <w:t>Across  native</w:t>
            </w:r>
            <w:proofErr w:type="gramEnd"/>
            <w:r w:rsidRPr="00BA1F54">
              <w:rPr>
                <w:rFonts w:hint="eastAsia"/>
                <w:kern w:val="0"/>
                <w:sz w:val="20"/>
                <w:szCs w:val="21"/>
                <w14:ligatures w14:val="none"/>
              </w:rPr>
              <w:t xml:space="preserve"> language types and L2 proficiency levels</w:t>
            </w:r>
          </w:p>
        </w:tc>
        <w:tc>
          <w:tcPr>
            <w:tcW w:w="2219" w:type="dxa"/>
            <w:tcBorders>
              <w:top w:val="nil"/>
              <w:left w:val="nil"/>
              <w:bottom w:val="single" w:sz="4" w:space="0" w:color="7F7F7F"/>
              <w:right w:val="nil"/>
            </w:tcBorders>
            <w:noWrap/>
            <w:vAlign w:val="center"/>
          </w:tcPr>
          <w:p w14:paraId="0384FCCA" w14:textId="66D3AAF4" w:rsidR="00394822" w:rsidRDefault="00BA1F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E</w:t>
            </w:r>
            <w:r w:rsidRPr="00BA1F54">
              <w:rPr>
                <w:rFonts w:hint="eastAsia"/>
                <w:kern w:val="0"/>
                <w:sz w:val="20"/>
                <w:szCs w:val="21"/>
                <w14:ligatures w14:val="none"/>
              </w:rPr>
              <w:t>xamine how interlanguage typology develops among Chinese learners with English and Japanese L1 backgrounds.</w:t>
            </w:r>
          </w:p>
        </w:tc>
        <w:tc>
          <w:tcPr>
            <w:tcW w:w="1314" w:type="dxa"/>
            <w:tcBorders>
              <w:top w:val="nil"/>
              <w:left w:val="nil"/>
              <w:bottom w:val="single" w:sz="4" w:space="0" w:color="7F7F7F"/>
              <w:right w:val="nil"/>
            </w:tcBorders>
            <w:noWrap/>
            <w:vAlign w:val="center"/>
          </w:tcPr>
          <w:p w14:paraId="1FE286F5" w14:textId="65854B32" w:rsidR="00394822" w:rsidRPr="00BA1F54" w:rsidRDefault="00BA1F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sidRPr="00BA1F54">
              <w:rPr>
                <w:rFonts w:hint="eastAsia"/>
                <w:kern w:val="0"/>
                <w:sz w:val="20"/>
                <w:szCs w:val="21"/>
                <w14:ligatures w14:val="none"/>
              </w:rPr>
              <w:t>syntactically-tagged corpus of Chinese interlanguage produced by native English and Japanese speakers.</w:t>
            </w:r>
          </w:p>
        </w:tc>
        <w:tc>
          <w:tcPr>
            <w:tcW w:w="1418" w:type="dxa"/>
            <w:tcBorders>
              <w:top w:val="nil"/>
              <w:left w:val="nil"/>
              <w:bottom w:val="single" w:sz="4" w:space="0" w:color="7F7F7F"/>
              <w:right w:val="nil"/>
            </w:tcBorders>
            <w:noWrap/>
            <w:vAlign w:val="center"/>
          </w:tcPr>
          <w:p w14:paraId="506039F9" w14:textId="5314EA71" w:rsidR="00394822" w:rsidRDefault="00BA1F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sidRPr="00BA1F54">
              <w:rPr>
                <w:rFonts w:hint="eastAsia"/>
                <w:kern w:val="0"/>
                <w:sz w:val="20"/>
                <w:szCs w:val="21"/>
                <w14:ligatures w14:val="none"/>
              </w:rPr>
              <w:t>A quantitative, corpus-based design using typological metrics</w:t>
            </w:r>
          </w:p>
        </w:tc>
        <w:tc>
          <w:tcPr>
            <w:tcW w:w="2835" w:type="dxa"/>
            <w:tcBorders>
              <w:top w:val="nil"/>
              <w:left w:val="nil"/>
              <w:bottom w:val="single" w:sz="4" w:space="0" w:color="7F7F7F"/>
              <w:right w:val="nil"/>
            </w:tcBorders>
            <w:noWrap/>
            <w:vAlign w:val="center"/>
          </w:tcPr>
          <w:p w14:paraId="169CDE8D" w14:textId="461B4E29" w:rsidR="00394822" w:rsidRDefault="00BA1F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sidRPr="00BA1F54">
              <w:rPr>
                <w:rFonts w:hint="eastAsia"/>
                <w:kern w:val="0"/>
                <w:sz w:val="20"/>
                <w:szCs w:val="21"/>
                <w14:ligatures w14:val="none"/>
              </w:rPr>
              <w:t>Interlanguage shows gradual development influenced by L1 typology and markedness, with shared SV and VO preferences, and dependency direction serving as a universal metric.</w:t>
            </w:r>
          </w:p>
        </w:tc>
        <w:tc>
          <w:tcPr>
            <w:tcW w:w="896" w:type="dxa"/>
            <w:tcBorders>
              <w:top w:val="nil"/>
              <w:left w:val="nil"/>
              <w:bottom w:val="single" w:sz="4" w:space="0" w:color="7F7F7F"/>
              <w:right w:val="nil"/>
            </w:tcBorders>
            <w:noWrap/>
            <w:vAlign w:val="center"/>
          </w:tcPr>
          <w:p w14:paraId="1B127994" w14:textId="29C67697" w:rsidR="00394822" w:rsidRDefault="00BA1F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38</w:t>
            </w:r>
          </w:p>
        </w:tc>
      </w:tr>
      <w:tr w:rsidR="00394822" w14:paraId="2DF23E76"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nil"/>
              <w:left w:val="nil"/>
              <w:bottom w:val="single" w:sz="4" w:space="0" w:color="7F7F7F"/>
              <w:right w:val="nil"/>
            </w:tcBorders>
            <w:noWrap/>
            <w:vAlign w:val="center"/>
          </w:tcPr>
          <w:p w14:paraId="6F4F7D5B" w14:textId="72191670"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4</w:t>
            </w:r>
          </w:p>
        </w:tc>
        <w:tc>
          <w:tcPr>
            <w:tcW w:w="992" w:type="dxa"/>
            <w:tcBorders>
              <w:top w:val="nil"/>
              <w:left w:val="nil"/>
              <w:bottom w:val="single" w:sz="4" w:space="0" w:color="7F7F7F"/>
              <w:right w:val="nil"/>
            </w:tcBorders>
            <w:vAlign w:val="center"/>
          </w:tcPr>
          <w:p w14:paraId="477EBCED"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Hendriks</w:t>
            </w:r>
            <w:r>
              <w:rPr>
                <w:kern w:val="0"/>
                <w:sz w:val="24"/>
                <w:szCs w:val="24"/>
                <w14:ligatures w14:val="none"/>
              </w:rPr>
              <w:t xml:space="preserve"> </w:t>
            </w:r>
            <w:r>
              <w:rPr>
                <w:kern w:val="0"/>
                <w:sz w:val="20"/>
                <w:szCs w:val="21"/>
                <w14:ligatures w14:val="none"/>
              </w:rPr>
              <w:t>et al.  (2023) (Hendriks et al., 2023)</w:t>
            </w:r>
          </w:p>
          <w:p w14:paraId="5789001F" w14:textId="64229BD9"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Netherlands </w:t>
            </w:r>
          </w:p>
        </w:tc>
        <w:tc>
          <w:tcPr>
            <w:tcW w:w="1854" w:type="dxa"/>
            <w:tcBorders>
              <w:top w:val="nil"/>
              <w:left w:val="nil"/>
              <w:bottom w:val="single" w:sz="4" w:space="0" w:color="7F7F7F"/>
              <w:right w:val="nil"/>
            </w:tcBorders>
            <w:noWrap/>
            <w:vAlign w:val="center"/>
          </w:tcPr>
          <w:p w14:paraId="3DD68D0A" w14:textId="1EC1C62D"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The effects of L1 and L2 writers' varying politeness modification in English emails on L1 and L2 readers</w:t>
            </w:r>
          </w:p>
        </w:tc>
        <w:tc>
          <w:tcPr>
            <w:tcW w:w="2219" w:type="dxa"/>
            <w:tcBorders>
              <w:top w:val="nil"/>
              <w:left w:val="nil"/>
              <w:bottom w:val="single" w:sz="4" w:space="0" w:color="7F7F7F"/>
              <w:right w:val="nil"/>
            </w:tcBorders>
            <w:noWrap/>
            <w:vAlign w:val="center"/>
          </w:tcPr>
          <w:p w14:paraId="6AED820F" w14:textId="0ADC66DF"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Examine the differences in politeness evaluation between L1 and L2 English email </w:t>
            </w:r>
            <w:proofErr w:type="spellStart"/>
            <w:proofErr w:type="gramStart"/>
            <w:r>
              <w:rPr>
                <w:kern w:val="0"/>
                <w:sz w:val="20"/>
                <w:szCs w:val="21"/>
                <w14:ligatures w14:val="none"/>
              </w:rPr>
              <w:t>requests.modifications</w:t>
            </w:r>
            <w:proofErr w:type="spellEnd"/>
            <w:proofErr w:type="gramEnd"/>
            <w:r>
              <w:rPr>
                <w:kern w:val="0"/>
                <w:sz w:val="20"/>
                <w:szCs w:val="21"/>
                <w14:ligatures w14:val="none"/>
              </w:rPr>
              <w:t xml:space="preserve">. </w:t>
            </w:r>
          </w:p>
        </w:tc>
        <w:tc>
          <w:tcPr>
            <w:tcW w:w="1314" w:type="dxa"/>
            <w:tcBorders>
              <w:top w:val="nil"/>
              <w:left w:val="nil"/>
              <w:bottom w:val="single" w:sz="4" w:space="0" w:color="7F7F7F"/>
              <w:right w:val="nil"/>
            </w:tcBorders>
            <w:noWrap/>
            <w:vAlign w:val="center"/>
          </w:tcPr>
          <w:p w14:paraId="34A379F4" w14:textId="4463272B"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Dutch and British participants</w:t>
            </w:r>
          </w:p>
        </w:tc>
        <w:tc>
          <w:tcPr>
            <w:tcW w:w="1418" w:type="dxa"/>
            <w:tcBorders>
              <w:top w:val="nil"/>
              <w:left w:val="nil"/>
              <w:bottom w:val="single" w:sz="4" w:space="0" w:color="7F7F7F"/>
              <w:right w:val="nil"/>
            </w:tcBorders>
            <w:noWrap/>
            <w:vAlign w:val="center"/>
          </w:tcPr>
          <w:p w14:paraId="7E8A4CE5" w14:textId="2AE27244"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Experimental study with a 2x2 design</w:t>
            </w:r>
          </w:p>
        </w:tc>
        <w:tc>
          <w:tcPr>
            <w:tcW w:w="2835" w:type="dxa"/>
            <w:tcBorders>
              <w:top w:val="nil"/>
              <w:left w:val="nil"/>
              <w:bottom w:val="single" w:sz="4" w:space="0" w:color="7F7F7F"/>
              <w:right w:val="nil"/>
            </w:tcBorders>
            <w:noWrap/>
            <w:vAlign w:val="center"/>
          </w:tcPr>
          <w:p w14:paraId="1AB4E36E" w14:textId="4C4665C8"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Less politeness in L2 emails resulted in perceptions of bossiness, increased authority, and greater willingness to comply.</w:t>
            </w:r>
          </w:p>
        </w:tc>
        <w:tc>
          <w:tcPr>
            <w:tcW w:w="896" w:type="dxa"/>
            <w:tcBorders>
              <w:top w:val="nil"/>
              <w:left w:val="nil"/>
              <w:bottom w:val="single" w:sz="4" w:space="0" w:color="7F7F7F"/>
              <w:right w:val="nil"/>
            </w:tcBorders>
            <w:noWrap/>
            <w:vAlign w:val="center"/>
          </w:tcPr>
          <w:p w14:paraId="2885BEB7" w14:textId="43BB83A5"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35</w:t>
            </w:r>
          </w:p>
        </w:tc>
      </w:tr>
      <w:tr w:rsidR="00394822" w14:paraId="54DB6A04"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nil"/>
              <w:left w:val="nil"/>
              <w:bottom w:val="single" w:sz="4" w:space="0" w:color="7F7F7F"/>
              <w:right w:val="nil"/>
            </w:tcBorders>
            <w:noWrap/>
            <w:vAlign w:val="center"/>
          </w:tcPr>
          <w:p w14:paraId="038D3818" w14:textId="2B403121" w:rsidR="00394822" w:rsidRDefault="00AA3EBF" w:rsidP="00394822">
            <w:pPr>
              <w:spacing w:before="100" w:beforeAutospacing="1" w:after="100" w:afterAutospacing="1"/>
              <w:jc w:val="center"/>
              <w:rPr>
                <w:b w:val="0"/>
                <w:bCs w:val="0"/>
                <w:kern w:val="0"/>
                <w:sz w:val="20"/>
                <w:szCs w:val="21"/>
                <w14:ligatures w14:val="none"/>
              </w:rPr>
            </w:pPr>
            <w:r>
              <w:rPr>
                <w:rFonts w:hint="eastAsia"/>
                <w:kern w:val="0"/>
                <w:sz w:val="20"/>
                <w:szCs w:val="21"/>
                <w14:ligatures w14:val="none"/>
              </w:rPr>
              <w:t>5</w:t>
            </w:r>
          </w:p>
        </w:tc>
        <w:tc>
          <w:tcPr>
            <w:tcW w:w="992" w:type="dxa"/>
            <w:tcBorders>
              <w:top w:val="nil"/>
              <w:left w:val="nil"/>
              <w:bottom w:val="single" w:sz="4" w:space="0" w:color="7F7F7F"/>
              <w:right w:val="nil"/>
            </w:tcBorders>
            <w:vAlign w:val="center"/>
          </w:tcPr>
          <w:p w14:paraId="5BADB2CE"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Xiao et al. (2021) (H. Xiao et al., 2021)</w:t>
            </w:r>
          </w:p>
          <w:p w14:paraId="31B16A9E"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China </w:t>
            </w:r>
          </w:p>
        </w:tc>
        <w:tc>
          <w:tcPr>
            <w:tcW w:w="1854" w:type="dxa"/>
            <w:tcBorders>
              <w:top w:val="nil"/>
              <w:left w:val="nil"/>
              <w:bottom w:val="single" w:sz="4" w:space="0" w:color="7F7F7F"/>
              <w:right w:val="nil"/>
            </w:tcBorders>
            <w:noWrap/>
            <w:vAlign w:val="center"/>
          </w:tcPr>
          <w:p w14:paraId="7E540ACF"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The development of interlanguage pragmatic markers in alignment with role relationships</w:t>
            </w:r>
          </w:p>
        </w:tc>
        <w:tc>
          <w:tcPr>
            <w:tcW w:w="2219" w:type="dxa"/>
            <w:tcBorders>
              <w:top w:val="nil"/>
              <w:left w:val="nil"/>
              <w:bottom w:val="single" w:sz="4" w:space="0" w:color="7F7F7F"/>
              <w:right w:val="nil"/>
            </w:tcBorders>
            <w:noWrap/>
            <w:vAlign w:val="center"/>
          </w:tcPr>
          <w:p w14:paraId="792F981D"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Examine the dynamic development of interlanguage pragmatic markers (PMs) in EFL contexts.</w:t>
            </w:r>
          </w:p>
        </w:tc>
        <w:tc>
          <w:tcPr>
            <w:tcW w:w="1314" w:type="dxa"/>
            <w:tcBorders>
              <w:top w:val="nil"/>
              <w:left w:val="nil"/>
              <w:bottom w:val="single" w:sz="4" w:space="0" w:color="7F7F7F"/>
              <w:right w:val="nil"/>
            </w:tcBorders>
            <w:noWrap/>
            <w:vAlign w:val="center"/>
          </w:tcPr>
          <w:p w14:paraId="31EB868C"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28 EFL learners </w:t>
            </w:r>
          </w:p>
        </w:tc>
        <w:tc>
          <w:tcPr>
            <w:tcW w:w="1418" w:type="dxa"/>
            <w:tcBorders>
              <w:top w:val="nil"/>
              <w:left w:val="nil"/>
              <w:bottom w:val="single" w:sz="4" w:space="0" w:color="7F7F7F"/>
              <w:right w:val="nil"/>
            </w:tcBorders>
            <w:noWrap/>
            <w:vAlign w:val="center"/>
          </w:tcPr>
          <w:p w14:paraId="339585FF"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Longitudinal study</w:t>
            </w:r>
          </w:p>
        </w:tc>
        <w:tc>
          <w:tcPr>
            <w:tcW w:w="2835" w:type="dxa"/>
            <w:tcBorders>
              <w:top w:val="nil"/>
              <w:left w:val="nil"/>
              <w:bottom w:val="single" w:sz="4" w:space="0" w:color="7F7F7F"/>
              <w:right w:val="nil"/>
            </w:tcBorders>
            <w:noWrap/>
            <w:vAlign w:val="center"/>
          </w:tcPr>
          <w:p w14:paraId="0A425903"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Students with varying levels of proficiency experienced varying levels of PM development.</w:t>
            </w:r>
          </w:p>
        </w:tc>
        <w:tc>
          <w:tcPr>
            <w:tcW w:w="896" w:type="dxa"/>
            <w:tcBorders>
              <w:top w:val="nil"/>
              <w:left w:val="nil"/>
              <w:bottom w:val="single" w:sz="4" w:space="0" w:color="7F7F7F"/>
              <w:right w:val="nil"/>
            </w:tcBorders>
            <w:noWrap/>
            <w:vAlign w:val="center"/>
          </w:tcPr>
          <w:p w14:paraId="2E5D859B"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35</w:t>
            </w:r>
          </w:p>
        </w:tc>
      </w:tr>
      <w:tr w:rsidR="00394822" w14:paraId="40FA8914"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007F0C13" w14:textId="789325A6" w:rsidR="00394822" w:rsidRDefault="00AA3EBF" w:rsidP="00394822">
            <w:pPr>
              <w:spacing w:before="100" w:beforeAutospacing="1" w:after="100" w:afterAutospacing="1"/>
              <w:jc w:val="center"/>
              <w:rPr>
                <w:b w:val="0"/>
                <w:bCs w:val="0"/>
                <w:kern w:val="0"/>
                <w:sz w:val="20"/>
                <w:szCs w:val="21"/>
                <w14:ligatures w14:val="none"/>
              </w:rPr>
            </w:pPr>
            <w:r>
              <w:rPr>
                <w:rFonts w:hint="eastAsia"/>
                <w:kern w:val="0"/>
                <w:sz w:val="20"/>
                <w:szCs w:val="21"/>
                <w14:ligatures w14:val="none"/>
              </w:rPr>
              <w:t>6</w:t>
            </w:r>
          </w:p>
        </w:tc>
        <w:tc>
          <w:tcPr>
            <w:tcW w:w="992" w:type="dxa"/>
            <w:tcBorders>
              <w:top w:val="single" w:sz="4" w:space="0" w:color="7F7F7F"/>
              <w:left w:val="nil"/>
              <w:bottom w:val="single" w:sz="4" w:space="0" w:color="7F7F7F"/>
              <w:right w:val="nil"/>
            </w:tcBorders>
            <w:vAlign w:val="center"/>
          </w:tcPr>
          <w:p w14:paraId="24FEE89B"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proofErr w:type="spellStart"/>
            <w:r>
              <w:rPr>
                <w:kern w:val="0"/>
                <w:sz w:val="20"/>
                <w:szCs w:val="21"/>
                <w14:ligatures w14:val="none"/>
              </w:rPr>
              <w:t>Carrió</w:t>
            </w:r>
            <w:proofErr w:type="spellEnd"/>
            <w:r>
              <w:rPr>
                <w:kern w:val="0"/>
                <w:sz w:val="20"/>
                <w:szCs w:val="21"/>
                <w14:ligatures w14:val="none"/>
              </w:rPr>
              <w:t>-Pastor (2021) (</w:t>
            </w:r>
            <w:proofErr w:type="spellStart"/>
            <w:r>
              <w:rPr>
                <w:kern w:val="0"/>
                <w:sz w:val="20"/>
                <w:szCs w:val="21"/>
                <w14:ligatures w14:val="none"/>
              </w:rPr>
              <w:t>Carrió</w:t>
            </w:r>
            <w:proofErr w:type="spellEnd"/>
            <w:r>
              <w:rPr>
                <w:kern w:val="0"/>
                <w:sz w:val="20"/>
                <w:szCs w:val="21"/>
                <w14:ligatures w14:val="none"/>
              </w:rPr>
              <w:t>-Pastor, 2021)</w:t>
            </w:r>
          </w:p>
          <w:p w14:paraId="622E428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Spain</w:t>
            </w:r>
          </w:p>
        </w:tc>
        <w:tc>
          <w:tcPr>
            <w:tcW w:w="1854" w:type="dxa"/>
            <w:tcBorders>
              <w:top w:val="single" w:sz="4" w:space="0" w:color="7F7F7F"/>
              <w:left w:val="nil"/>
              <w:bottom w:val="single" w:sz="4" w:space="0" w:color="7F7F7F"/>
              <w:right w:val="nil"/>
            </w:tcBorders>
            <w:noWrap/>
            <w:vAlign w:val="center"/>
          </w:tcPr>
          <w:p w14:paraId="23BAE73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The assessment of </w:t>
            </w:r>
            <w:proofErr w:type="spellStart"/>
            <w:r>
              <w:rPr>
                <w:kern w:val="0"/>
                <w:sz w:val="20"/>
                <w:szCs w:val="21"/>
                <w14:ligatures w14:val="none"/>
              </w:rPr>
              <w:t>metadiscourse</w:t>
            </w:r>
            <w:proofErr w:type="spellEnd"/>
            <w:r>
              <w:rPr>
                <w:kern w:val="0"/>
                <w:sz w:val="20"/>
                <w:szCs w:val="21"/>
                <w14:ligatures w14:val="none"/>
              </w:rPr>
              <w:t xml:space="preserve"> devices in English as a foreign language</w:t>
            </w:r>
          </w:p>
        </w:tc>
        <w:tc>
          <w:tcPr>
            <w:tcW w:w="2219" w:type="dxa"/>
            <w:tcBorders>
              <w:top w:val="single" w:sz="4" w:space="0" w:color="7F7F7F"/>
              <w:left w:val="nil"/>
              <w:bottom w:val="single" w:sz="4" w:space="0" w:color="7F7F7F"/>
              <w:right w:val="nil"/>
            </w:tcBorders>
            <w:noWrap/>
            <w:vAlign w:val="center"/>
          </w:tcPr>
          <w:p w14:paraId="5444BA37"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Identify </w:t>
            </w:r>
            <w:proofErr w:type="spellStart"/>
            <w:r>
              <w:rPr>
                <w:kern w:val="0"/>
                <w:sz w:val="20"/>
                <w:szCs w:val="21"/>
                <w14:ligatures w14:val="none"/>
              </w:rPr>
              <w:t>metadiscourse</w:t>
            </w:r>
            <w:proofErr w:type="spellEnd"/>
            <w:r>
              <w:rPr>
                <w:kern w:val="0"/>
                <w:sz w:val="20"/>
                <w:szCs w:val="21"/>
                <w14:ligatures w14:val="none"/>
              </w:rPr>
              <w:t xml:space="preserve"> devices in essays written by English learners at various levels of the CEFR.</w:t>
            </w:r>
          </w:p>
        </w:tc>
        <w:tc>
          <w:tcPr>
            <w:tcW w:w="1314" w:type="dxa"/>
            <w:tcBorders>
              <w:top w:val="single" w:sz="4" w:space="0" w:color="7F7F7F"/>
              <w:left w:val="nil"/>
              <w:bottom w:val="single" w:sz="4" w:space="0" w:color="7F7F7F"/>
              <w:right w:val="nil"/>
            </w:tcBorders>
            <w:noWrap/>
            <w:vAlign w:val="center"/>
          </w:tcPr>
          <w:p w14:paraId="6BA8A14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English learners</w:t>
            </w:r>
          </w:p>
        </w:tc>
        <w:tc>
          <w:tcPr>
            <w:tcW w:w="1418" w:type="dxa"/>
            <w:tcBorders>
              <w:top w:val="single" w:sz="4" w:space="0" w:color="7F7F7F"/>
              <w:left w:val="nil"/>
              <w:bottom w:val="single" w:sz="4" w:space="0" w:color="7F7F7F"/>
              <w:right w:val="nil"/>
            </w:tcBorders>
            <w:noWrap/>
            <w:vAlign w:val="center"/>
          </w:tcPr>
          <w:p w14:paraId="3F3FFDB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Corpus study</w:t>
            </w:r>
          </w:p>
        </w:tc>
        <w:tc>
          <w:tcPr>
            <w:tcW w:w="2835" w:type="dxa"/>
            <w:tcBorders>
              <w:top w:val="single" w:sz="4" w:space="0" w:color="7F7F7F"/>
              <w:left w:val="nil"/>
              <w:bottom w:val="single" w:sz="4" w:space="0" w:color="7F7F7F"/>
              <w:right w:val="nil"/>
            </w:tcBorders>
            <w:noWrap/>
            <w:vAlign w:val="center"/>
          </w:tcPr>
          <w:p w14:paraId="14F4C539"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proofErr w:type="spellStart"/>
            <w:r>
              <w:rPr>
                <w:kern w:val="0"/>
                <w:sz w:val="20"/>
                <w:szCs w:val="21"/>
                <w14:ligatures w14:val="none"/>
              </w:rPr>
              <w:t>Metadiscourse</w:t>
            </w:r>
            <w:proofErr w:type="spellEnd"/>
            <w:r>
              <w:rPr>
                <w:kern w:val="0"/>
                <w:sz w:val="20"/>
                <w:szCs w:val="21"/>
                <w14:ligatures w14:val="none"/>
              </w:rPr>
              <w:t xml:space="preserve"> devices were classified according to their level of proficiency. </w:t>
            </w:r>
          </w:p>
        </w:tc>
        <w:tc>
          <w:tcPr>
            <w:tcW w:w="896" w:type="dxa"/>
            <w:tcBorders>
              <w:top w:val="single" w:sz="4" w:space="0" w:color="7F7F7F"/>
              <w:left w:val="nil"/>
              <w:bottom w:val="single" w:sz="4" w:space="0" w:color="7F7F7F"/>
              <w:right w:val="nil"/>
            </w:tcBorders>
            <w:noWrap/>
            <w:vAlign w:val="center"/>
          </w:tcPr>
          <w:p w14:paraId="0D3EE597"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35</w:t>
            </w:r>
          </w:p>
        </w:tc>
      </w:tr>
      <w:tr w:rsidR="00394822" w14:paraId="5B9F6C2F"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nil"/>
              <w:left w:val="nil"/>
              <w:bottom w:val="single" w:sz="4" w:space="0" w:color="7F7F7F"/>
              <w:right w:val="nil"/>
            </w:tcBorders>
            <w:noWrap/>
            <w:vAlign w:val="center"/>
          </w:tcPr>
          <w:p w14:paraId="66699915" w14:textId="7DEDB190" w:rsidR="00394822" w:rsidRDefault="00AA3EBF" w:rsidP="00394822">
            <w:pPr>
              <w:spacing w:before="100" w:beforeAutospacing="1" w:after="100" w:afterAutospacing="1"/>
              <w:jc w:val="center"/>
              <w:rPr>
                <w:b w:val="0"/>
                <w:bCs w:val="0"/>
                <w:kern w:val="0"/>
                <w:sz w:val="20"/>
                <w:szCs w:val="21"/>
                <w14:ligatures w14:val="none"/>
              </w:rPr>
            </w:pPr>
            <w:r>
              <w:rPr>
                <w:rFonts w:hint="eastAsia"/>
                <w:kern w:val="0"/>
                <w:sz w:val="20"/>
                <w:szCs w:val="21"/>
                <w14:ligatures w14:val="none"/>
              </w:rPr>
              <w:lastRenderedPageBreak/>
              <w:t>7</w:t>
            </w:r>
          </w:p>
        </w:tc>
        <w:tc>
          <w:tcPr>
            <w:tcW w:w="992" w:type="dxa"/>
            <w:tcBorders>
              <w:top w:val="nil"/>
              <w:left w:val="nil"/>
              <w:bottom w:val="single" w:sz="4" w:space="0" w:color="7F7F7F"/>
              <w:right w:val="nil"/>
            </w:tcBorders>
            <w:vAlign w:val="center"/>
          </w:tcPr>
          <w:p w14:paraId="7C22AC2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Haselow (2021) (Haselow, 2021)</w:t>
            </w:r>
          </w:p>
          <w:p w14:paraId="5932E86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Germany </w:t>
            </w:r>
          </w:p>
        </w:tc>
        <w:tc>
          <w:tcPr>
            <w:tcW w:w="1854" w:type="dxa"/>
            <w:tcBorders>
              <w:top w:val="nil"/>
              <w:left w:val="nil"/>
              <w:bottom w:val="single" w:sz="4" w:space="0" w:color="7F7F7F"/>
              <w:right w:val="nil"/>
            </w:tcBorders>
            <w:noWrap/>
            <w:vAlign w:val="center"/>
          </w:tcPr>
          <w:p w14:paraId="110A6CB2"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The acquisition of pragmatic markers in the foreign language classroom: An experimental study on the effects of implicit and explicit learning</w:t>
            </w:r>
          </w:p>
        </w:tc>
        <w:tc>
          <w:tcPr>
            <w:tcW w:w="2219" w:type="dxa"/>
            <w:tcBorders>
              <w:top w:val="nil"/>
              <w:left w:val="nil"/>
              <w:bottom w:val="single" w:sz="4" w:space="0" w:color="7F7F7F"/>
              <w:right w:val="nil"/>
            </w:tcBorders>
            <w:noWrap/>
            <w:vAlign w:val="center"/>
          </w:tcPr>
          <w:p w14:paraId="57F8A1C2"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Investigate adolescent German-speaking L2 English learners' use of pragmatic markers (PM) in the foreign language classroom.</w:t>
            </w:r>
          </w:p>
        </w:tc>
        <w:tc>
          <w:tcPr>
            <w:tcW w:w="1314" w:type="dxa"/>
            <w:tcBorders>
              <w:top w:val="nil"/>
              <w:left w:val="nil"/>
              <w:bottom w:val="single" w:sz="4" w:space="0" w:color="7F7F7F"/>
              <w:right w:val="nil"/>
            </w:tcBorders>
            <w:noWrap/>
            <w:vAlign w:val="center"/>
          </w:tcPr>
          <w:p w14:paraId="7862790C"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18 German-speaking L2 learners of English</w:t>
            </w:r>
          </w:p>
        </w:tc>
        <w:tc>
          <w:tcPr>
            <w:tcW w:w="1418" w:type="dxa"/>
            <w:tcBorders>
              <w:top w:val="nil"/>
              <w:left w:val="nil"/>
              <w:bottom w:val="single" w:sz="4" w:space="0" w:color="7F7F7F"/>
              <w:right w:val="nil"/>
            </w:tcBorders>
            <w:noWrap/>
            <w:vAlign w:val="center"/>
          </w:tcPr>
          <w:p w14:paraId="74CABEF0"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Experimental study</w:t>
            </w:r>
          </w:p>
        </w:tc>
        <w:tc>
          <w:tcPr>
            <w:tcW w:w="2835" w:type="dxa"/>
            <w:tcBorders>
              <w:top w:val="nil"/>
              <w:left w:val="nil"/>
              <w:bottom w:val="single" w:sz="4" w:space="0" w:color="7F7F7F"/>
              <w:right w:val="nil"/>
            </w:tcBorders>
            <w:noWrap/>
            <w:vAlign w:val="center"/>
          </w:tcPr>
          <w:p w14:paraId="210BE783"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Explicit teaching had a short-term effect, increasing the frequency and diversity of PM usage in conversational L2 speech.</w:t>
            </w:r>
          </w:p>
        </w:tc>
        <w:tc>
          <w:tcPr>
            <w:tcW w:w="896" w:type="dxa"/>
            <w:tcBorders>
              <w:top w:val="nil"/>
              <w:left w:val="nil"/>
              <w:bottom w:val="single" w:sz="4" w:space="0" w:color="7F7F7F"/>
              <w:right w:val="nil"/>
            </w:tcBorders>
            <w:noWrap/>
            <w:vAlign w:val="center"/>
          </w:tcPr>
          <w:p w14:paraId="60BD5CD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37</w:t>
            </w:r>
          </w:p>
        </w:tc>
      </w:tr>
      <w:tr w:rsidR="00394822" w14:paraId="50C142A3"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nil"/>
              <w:left w:val="nil"/>
              <w:bottom w:val="single" w:sz="4" w:space="0" w:color="7F7F7F"/>
              <w:right w:val="nil"/>
            </w:tcBorders>
            <w:noWrap/>
            <w:vAlign w:val="center"/>
          </w:tcPr>
          <w:p w14:paraId="0E063D3D" w14:textId="00ED0E30" w:rsidR="00394822" w:rsidRDefault="00AA3EBF" w:rsidP="00394822">
            <w:pPr>
              <w:spacing w:before="100" w:beforeAutospacing="1" w:after="100" w:afterAutospacing="1"/>
              <w:jc w:val="center"/>
              <w:rPr>
                <w:b w:val="0"/>
                <w:bCs w:val="0"/>
                <w:kern w:val="0"/>
                <w:sz w:val="20"/>
                <w:szCs w:val="21"/>
                <w14:ligatures w14:val="none"/>
              </w:rPr>
            </w:pPr>
            <w:r>
              <w:rPr>
                <w:rFonts w:hint="eastAsia"/>
                <w:kern w:val="0"/>
                <w:sz w:val="20"/>
                <w:szCs w:val="21"/>
                <w14:ligatures w14:val="none"/>
              </w:rPr>
              <w:t>8</w:t>
            </w:r>
          </w:p>
        </w:tc>
        <w:tc>
          <w:tcPr>
            <w:tcW w:w="992" w:type="dxa"/>
            <w:tcBorders>
              <w:top w:val="nil"/>
              <w:left w:val="nil"/>
              <w:bottom w:val="single" w:sz="4" w:space="0" w:color="7F7F7F"/>
              <w:right w:val="nil"/>
            </w:tcBorders>
            <w:vAlign w:val="center"/>
          </w:tcPr>
          <w:p w14:paraId="206811CC"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Al-</w:t>
            </w:r>
            <w:proofErr w:type="spellStart"/>
            <w:r>
              <w:rPr>
                <w:kern w:val="0"/>
                <w:sz w:val="20"/>
                <w:szCs w:val="21"/>
                <w14:ligatures w14:val="none"/>
              </w:rPr>
              <w:t>Rawafi</w:t>
            </w:r>
            <w:proofErr w:type="spellEnd"/>
            <w:r>
              <w:rPr>
                <w:kern w:val="0"/>
                <w:sz w:val="20"/>
                <w:szCs w:val="21"/>
                <w14:ligatures w14:val="none"/>
              </w:rPr>
              <w:t xml:space="preserve"> et al. (2021) (Al-</w:t>
            </w:r>
            <w:proofErr w:type="spellStart"/>
            <w:r>
              <w:rPr>
                <w:kern w:val="0"/>
                <w:sz w:val="20"/>
                <w:szCs w:val="21"/>
                <w14:ligatures w14:val="none"/>
              </w:rPr>
              <w:t>Rawafi</w:t>
            </w:r>
            <w:proofErr w:type="spellEnd"/>
            <w:r>
              <w:rPr>
                <w:kern w:val="0"/>
                <w:sz w:val="20"/>
                <w:szCs w:val="21"/>
                <w14:ligatures w14:val="none"/>
              </w:rPr>
              <w:t xml:space="preserve"> et al., 2021)</w:t>
            </w:r>
          </w:p>
          <w:p w14:paraId="537F8145"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Indonesia </w:t>
            </w:r>
          </w:p>
        </w:tc>
        <w:tc>
          <w:tcPr>
            <w:tcW w:w="1854" w:type="dxa"/>
            <w:tcBorders>
              <w:top w:val="nil"/>
              <w:left w:val="nil"/>
              <w:bottom w:val="single" w:sz="4" w:space="0" w:color="7F7F7F"/>
              <w:right w:val="nil"/>
            </w:tcBorders>
            <w:noWrap/>
            <w:vAlign w:val="center"/>
          </w:tcPr>
          <w:p w14:paraId="5D8F1CD1"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Students' apologizing in Arabic and English: An interlanguage pragmatic case study at an Islamic boarding school in Indonesia</w:t>
            </w:r>
          </w:p>
        </w:tc>
        <w:tc>
          <w:tcPr>
            <w:tcW w:w="2219" w:type="dxa"/>
            <w:tcBorders>
              <w:top w:val="nil"/>
              <w:left w:val="nil"/>
              <w:bottom w:val="single" w:sz="4" w:space="0" w:color="7F7F7F"/>
              <w:right w:val="nil"/>
            </w:tcBorders>
            <w:noWrap/>
            <w:vAlign w:val="center"/>
          </w:tcPr>
          <w:p w14:paraId="56515537"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Investigate the impact of external versus internal contextual factors on students' </w:t>
            </w:r>
            <w:proofErr w:type="spellStart"/>
            <w:r>
              <w:rPr>
                <w:kern w:val="0"/>
                <w:sz w:val="20"/>
                <w:szCs w:val="21"/>
                <w14:ligatures w14:val="none"/>
              </w:rPr>
              <w:t>apologising</w:t>
            </w:r>
            <w:proofErr w:type="spellEnd"/>
            <w:r>
              <w:rPr>
                <w:kern w:val="0"/>
                <w:sz w:val="20"/>
                <w:szCs w:val="21"/>
                <w14:ligatures w14:val="none"/>
              </w:rPr>
              <w:t xml:space="preserve"> and pragmatic transfer.</w:t>
            </w:r>
          </w:p>
        </w:tc>
        <w:tc>
          <w:tcPr>
            <w:tcW w:w="1314" w:type="dxa"/>
            <w:tcBorders>
              <w:top w:val="nil"/>
              <w:left w:val="nil"/>
              <w:bottom w:val="single" w:sz="4" w:space="0" w:color="7F7F7F"/>
              <w:right w:val="nil"/>
            </w:tcBorders>
            <w:noWrap/>
            <w:vAlign w:val="center"/>
          </w:tcPr>
          <w:p w14:paraId="093F1047"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101 male and 101 female students</w:t>
            </w:r>
          </w:p>
        </w:tc>
        <w:tc>
          <w:tcPr>
            <w:tcW w:w="1418" w:type="dxa"/>
            <w:tcBorders>
              <w:top w:val="nil"/>
              <w:left w:val="nil"/>
              <w:bottom w:val="single" w:sz="4" w:space="0" w:color="7F7F7F"/>
              <w:right w:val="nil"/>
            </w:tcBorders>
            <w:noWrap/>
            <w:vAlign w:val="center"/>
          </w:tcPr>
          <w:p w14:paraId="5360197B"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Discourse Completion Task (DCT) study</w:t>
            </w:r>
          </w:p>
        </w:tc>
        <w:tc>
          <w:tcPr>
            <w:tcW w:w="2835" w:type="dxa"/>
            <w:tcBorders>
              <w:top w:val="nil"/>
              <w:left w:val="nil"/>
              <w:bottom w:val="single" w:sz="4" w:space="0" w:color="7F7F7F"/>
              <w:right w:val="nil"/>
            </w:tcBorders>
            <w:noWrap/>
            <w:vAlign w:val="center"/>
          </w:tcPr>
          <w:p w14:paraId="28BE6B89"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Students demonstrated on-record-negative politeness attitudes influenced by contextual factors and a lack of grammatical competence.</w:t>
            </w:r>
          </w:p>
        </w:tc>
        <w:tc>
          <w:tcPr>
            <w:tcW w:w="896" w:type="dxa"/>
            <w:tcBorders>
              <w:top w:val="nil"/>
              <w:left w:val="nil"/>
              <w:bottom w:val="single" w:sz="4" w:space="0" w:color="7F7F7F"/>
              <w:right w:val="nil"/>
            </w:tcBorders>
            <w:noWrap/>
            <w:vAlign w:val="center"/>
          </w:tcPr>
          <w:p w14:paraId="2C30372B"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35</w:t>
            </w:r>
          </w:p>
        </w:tc>
      </w:tr>
      <w:tr w:rsidR="00394822" w14:paraId="59391853"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21265523" w14:textId="2BB9ED95" w:rsidR="00394822" w:rsidRDefault="00AA3EBF" w:rsidP="00394822">
            <w:pPr>
              <w:spacing w:before="100" w:beforeAutospacing="1" w:after="100" w:afterAutospacing="1"/>
              <w:jc w:val="center"/>
              <w:rPr>
                <w:b w:val="0"/>
                <w:bCs w:val="0"/>
                <w:kern w:val="0"/>
                <w:sz w:val="20"/>
                <w:szCs w:val="21"/>
                <w14:ligatures w14:val="none"/>
              </w:rPr>
            </w:pPr>
            <w:r>
              <w:rPr>
                <w:rFonts w:hint="eastAsia"/>
                <w:kern w:val="0"/>
                <w:sz w:val="20"/>
                <w:szCs w:val="21"/>
                <w14:ligatures w14:val="none"/>
              </w:rPr>
              <w:t>9</w:t>
            </w:r>
          </w:p>
        </w:tc>
        <w:tc>
          <w:tcPr>
            <w:tcW w:w="992" w:type="dxa"/>
            <w:tcBorders>
              <w:top w:val="single" w:sz="4" w:space="0" w:color="7F7F7F"/>
              <w:left w:val="nil"/>
              <w:bottom w:val="single" w:sz="4" w:space="0" w:color="7F7F7F"/>
              <w:right w:val="nil"/>
            </w:tcBorders>
            <w:vAlign w:val="center"/>
          </w:tcPr>
          <w:p w14:paraId="569CE519"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proofErr w:type="spellStart"/>
            <w:r>
              <w:rPr>
                <w:kern w:val="0"/>
                <w:sz w:val="20"/>
                <w:szCs w:val="21"/>
                <w14:ligatures w14:val="none"/>
              </w:rPr>
              <w:t>Bardovi-Harlig</w:t>
            </w:r>
            <w:proofErr w:type="spellEnd"/>
            <w:r>
              <w:rPr>
                <w:kern w:val="0"/>
                <w:sz w:val="20"/>
                <w:szCs w:val="21"/>
                <w14:ligatures w14:val="none"/>
              </w:rPr>
              <w:t xml:space="preserve"> et al. (2022) (</w:t>
            </w:r>
            <w:proofErr w:type="spellStart"/>
            <w:r>
              <w:rPr>
                <w:kern w:val="0"/>
                <w:sz w:val="20"/>
                <w:szCs w:val="21"/>
                <w14:ligatures w14:val="none"/>
              </w:rPr>
              <w:t>Bardovi-Harlig</w:t>
            </w:r>
            <w:proofErr w:type="spellEnd"/>
            <w:r>
              <w:rPr>
                <w:kern w:val="0"/>
                <w:sz w:val="20"/>
                <w:szCs w:val="21"/>
                <w14:ligatures w14:val="none"/>
              </w:rPr>
              <w:t xml:space="preserve"> et al., 2022)</w:t>
            </w:r>
          </w:p>
          <w:p w14:paraId="5C0DD190"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United States</w:t>
            </w:r>
          </w:p>
        </w:tc>
        <w:tc>
          <w:tcPr>
            <w:tcW w:w="1854" w:type="dxa"/>
            <w:tcBorders>
              <w:top w:val="single" w:sz="4" w:space="0" w:color="7F7F7F"/>
              <w:left w:val="nil"/>
              <w:bottom w:val="single" w:sz="4" w:space="0" w:color="7F7F7F"/>
              <w:right w:val="nil"/>
            </w:tcBorders>
            <w:noWrap/>
            <w:vAlign w:val="center"/>
          </w:tcPr>
          <w:p w14:paraId="192D6738"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Recognition of conventional expressions by EFL learners in Mexico and China</w:t>
            </w:r>
          </w:p>
        </w:tc>
        <w:tc>
          <w:tcPr>
            <w:tcW w:w="2219" w:type="dxa"/>
            <w:tcBorders>
              <w:top w:val="single" w:sz="4" w:space="0" w:color="7F7F7F"/>
              <w:left w:val="nil"/>
              <w:bottom w:val="single" w:sz="4" w:space="0" w:color="7F7F7F"/>
              <w:right w:val="nil"/>
            </w:tcBorders>
            <w:noWrap/>
            <w:vAlign w:val="center"/>
          </w:tcPr>
          <w:p w14:paraId="7DDD840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Investigate the role of EFL instructional contexts in the acquisition of </w:t>
            </w:r>
            <w:proofErr w:type="spellStart"/>
            <w:r>
              <w:rPr>
                <w:kern w:val="0"/>
                <w:sz w:val="20"/>
                <w:szCs w:val="21"/>
                <w14:ligatures w14:val="none"/>
              </w:rPr>
              <w:t>pragmalinguistic</w:t>
            </w:r>
            <w:proofErr w:type="spellEnd"/>
            <w:r>
              <w:rPr>
                <w:kern w:val="0"/>
                <w:sz w:val="20"/>
                <w:szCs w:val="21"/>
                <w14:ligatures w14:val="none"/>
              </w:rPr>
              <w:t xml:space="preserve"> resources such as conventional expressions.</w:t>
            </w:r>
          </w:p>
        </w:tc>
        <w:tc>
          <w:tcPr>
            <w:tcW w:w="1314" w:type="dxa"/>
            <w:tcBorders>
              <w:top w:val="single" w:sz="4" w:space="0" w:color="7F7F7F"/>
              <w:left w:val="nil"/>
              <w:bottom w:val="single" w:sz="4" w:space="0" w:color="7F7F7F"/>
              <w:right w:val="nil"/>
            </w:tcBorders>
            <w:noWrap/>
            <w:vAlign w:val="center"/>
          </w:tcPr>
          <w:p w14:paraId="361E81E5"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303 EFL students (China: n = 193, Mexico: n = 110), 89 native speakers of American English</w:t>
            </w:r>
          </w:p>
        </w:tc>
        <w:tc>
          <w:tcPr>
            <w:tcW w:w="1418" w:type="dxa"/>
            <w:tcBorders>
              <w:top w:val="single" w:sz="4" w:space="0" w:color="7F7F7F"/>
              <w:left w:val="nil"/>
              <w:bottom w:val="single" w:sz="4" w:space="0" w:color="7F7F7F"/>
              <w:right w:val="nil"/>
            </w:tcBorders>
            <w:noWrap/>
            <w:vAlign w:val="center"/>
          </w:tcPr>
          <w:p w14:paraId="4B69EC28"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Comparative study</w:t>
            </w:r>
          </w:p>
        </w:tc>
        <w:tc>
          <w:tcPr>
            <w:tcW w:w="2835" w:type="dxa"/>
            <w:tcBorders>
              <w:top w:val="single" w:sz="4" w:space="0" w:color="7F7F7F"/>
              <w:left w:val="nil"/>
              <w:bottom w:val="single" w:sz="4" w:space="0" w:color="7F7F7F"/>
              <w:right w:val="nil"/>
            </w:tcBorders>
            <w:noWrap/>
            <w:vAlign w:val="center"/>
          </w:tcPr>
          <w:p w14:paraId="39959CB0"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Instruction and media access were identified as variables influencing pragmatic development in EFL contexts.</w:t>
            </w:r>
          </w:p>
        </w:tc>
        <w:tc>
          <w:tcPr>
            <w:tcW w:w="896" w:type="dxa"/>
            <w:tcBorders>
              <w:top w:val="single" w:sz="4" w:space="0" w:color="7F7F7F"/>
              <w:left w:val="nil"/>
              <w:bottom w:val="single" w:sz="4" w:space="0" w:color="7F7F7F"/>
              <w:right w:val="nil"/>
            </w:tcBorders>
            <w:noWrap/>
            <w:vAlign w:val="center"/>
          </w:tcPr>
          <w:p w14:paraId="3BA8E3D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38</w:t>
            </w:r>
          </w:p>
        </w:tc>
      </w:tr>
      <w:tr w:rsidR="00394822" w14:paraId="5632CD3A"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7E671FF6" w14:textId="1BEA7636"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1</w:t>
            </w:r>
            <w:r w:rsidR="00AA3EBF">
              <w:rPr>
                <w:rFonts w:hint="eastAsia"/>
                <w:kern w:val="0"/>
                <w:sz w:val="20"/>
                <w:szCs w:val="21"/>
                <w14:ligatures w14:val="none"/>
              </w:rPr>
              <w:t>0</w:t>
            </w:r>
          </w:p>
        </w:tc>
        <w:tc>
          <w:tcPr>
            <w:tcW w:w="992" w:type="dxa"/>
            <w:tcBorders>
              <w:top w:val="single" w:sz="4" w:space="0" w:color="7F7F7F"/>
              <w:left w:val="nil"/>
              <w:bottom w:val="single" w:sz="4" w:space="0" w:color="7F7F7F"/>
              <w:right w:val="nil"/>
            </w:tcBorders>
            <w:vAlign w:val="center"/>
          </w:tcPr>
          <w:p w14:paraId="55420B37"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Saleem </w:t>
            </w:r>
            <w:r>
              <w:rPr>
                <w:rFonts w:hint="eastAsia"/>
                <w:kern w:val="0"/>
                <w:sz w:val="20"/>
                <w:szCs w:val="21"/>
                <w14:ligatures w14:val="none"/>
              </w:rPr>
              <w:t xml:space="preserve">and </w:t>
            </w:r>
            <w:r>
              <w:rPr>
                <w:kern w:val="0"/>
                <w:sz w:val="20"/>
                <w:szCs w:val="21"/>
                <w14:ligatures w14:val="none"/>
              </w:rPr>
              <w:t>Saleem (2023) (Saleem &amp; Saleem, 2023)</w:t>
            </w:r>
          </w:p>
          <w:p w14:paraId="61B517B8"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Pakistan </w:t>
            </w:r>
          </w:p>
        </w:tc>
        <w:tc>
          <w:tcPr>
            <w:tcW w:w="1854" w:type="dxa"/>
            <w:tcBorders>
              <w:top w:val="single" w:sz="4" w:space="0" w:color="7F7F7F"/>
              <w:left w:val="nil"/>
              <w:bottom w:val="single" w:sz="4" w:space="0" w:color="7F7F7F"/>
              <w:right w:val="nil"/>
            </w:tcBorders>
            <w:noWrap/>
            <w:vAlign w:val="center"/>
          </w:tcPr>
          <w:p w14:paraId="7B5BC668"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Pragmatic transfer in congratulation strategies of Punjabi EFL learners: Social power in focus</w:t>
            </w:r>
          </w:p>
        </w:tc>
        <w:tc>
          <w:tcPr>
            <w:tcW w:w="2219" w:type="dxa"/>
            <w:tcBorders>
              <w:top w:val="single" w:sz="4" w:space="0" w:color="7F7F7F"/>
              <w:left w:val="nil"/>
              <w:bottom w:val="single" w:sz="4" w:space="0" w:color="7F7F7F"/>
              <w:right w:val="nil"/>
            </w:tcBorders>
            <w:noWrap/>
            <w:vAlign w:val="center"/>
          </w:tcPr>
          <w:p w14:paraId="0AD77873"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Investigate the preferences for congratulatory speech acts in specific social situations among Punjabi EFL learners from three social status groups.</w:t>
            </w:r>
          </w:p>
        </w:tc>
        <w:tc>
          <w:tcPr>
            <w:tcW w:w="1314" w:type="dxa"/>
            <w:tcBorders>
              <w:top w:val="single" w:sz="4" w:space="0" w:color="7F7F7F"/>
              <w:left w:val="nil"/>
              <w:bottom w:val="single" w:sz="4" w:space="0" w:color="7F7F7F"/>
              <w:right w:val="nil"/>
            </w:tcBorders>
            <w:noWrap/>
            <w:vAlign w:val="center"/>
          </w:tcPr>
          <w:p w14:paraId="07348037"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Punjabi EFL learners in Pakistan</w:t>
            </w:r>
          </w:p>
        </w:tc>
        <w:tc>
          <w:tcPr>
            <w:tcW w:w="1418" w:type="dxa"/>
            <w:tcBorders>
              <w:top w:val="single" w:sz="4" w:space="0" w:color="7F7F7F"/>
              <w:left w:val="nil"/>
              <w:bottom w:val="single" w:sz="4" w:space="0" w:color="7F7F7F"/>
              <w:right w:val="nil"/>
            </w:tcBorders>
            <w:noWrap/>
            <w:vAlign w:val="center"/>
          </w:tcPr>
          <w:p w14:paraId="04276672" w14:textId="52C8B993"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Cross-</w:t>
            </w:r>
            <w:r w:rsidR="00C1597D">
              <w:rPr>
                <w:kern w:val="0"/>
                <w:sz w:val="20"/>
                <w:szCs w:val="21"/>
                <w14:ligatures w14:val="none"/>
              </w:rPr>
              <w:t>sectional approach</w:t>
            </w:r>
          </w:p>
        </w:tc>
        <w:tc>
          <w:tcPr>
            <w:tcW w:w="2835" w:type="dxa"/>
            <w:tcBorders>
              <w:top w:val="single" w:sz="4" w:space="0" w:color="7F7F7F"/>
              <w:left w:val="nil"/>
              <w:bottom w:val="single" w:sz="4" w:space="0" w:color="7F7F7F"/>
              <w:right w:val="nil"/>
            </w:tcBorders>
            <w:noWrap/>
            <w:vAlign w:val="center"/>
          </w:tcPr>
          <w:p w14:paraId="7691DA2F"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The findings show a significant difference between Punjabi EFL learners and British English speakers in their use of congratulation strategies.</w:t>
            </w:r>
          </w:p>
        </w:tc>
        <w:tc>
          <w:tcPr>
            <w:tcW w:w="896" w:type="dxa"/>
            <w:tcBorders>
              <w:top w:val="single" w:sz="4" w:space="0" w:color="7F7F7F"/>
              <w:left w:val="nil"/>
              <w:bottom w:val="single" w:sz="4" w:space="0" w:color="7F7F7F"/>
              <w:right w:val="nil"/>
            </w:tcBorders>
            <w:noWrap/>
            <w:vAlign w:val="center"/>
          </w:tcPr>
          <w:p w14:paraId="546C34CF"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38</w:t>
            </w:r>
          </w:p>
        </w:tc>
      </w:tr>
      <w:tr w:rsidR="00394822" w14:paraId="7F775E19"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nil"/>
              <w:left w:val="nil"/>
              <w:bottom w:val="single" w:sz="4" w:space="0" w:color="7F7F7F"/>
              <w:right w:val="nil"/>
            </w:tcBorders>
            <w:noWrap/>
            <w:vAlign w:val="center"/>
          </w:tcPr>
          <w:p w14:paraId="75F816B7" w14:textId="1906FC06"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1</w:t>
            </w:r>
            <w:r w:rsidR="00AA3EBF">
              <w:rPr>
                <w:rFonts w:hint="eastAsia"/>
                <w:kern w:val="0"/>
                <w:sz w:val="20"/>
                <w:szCs w:val="21"/>
                <w14:ligatures w14:val="none"/>
              </w:rPr>
              <w:t>1</w:t>
            </w:r>
          </w:p>
        </w:tc>
        <w:tc>
          <w:tcPr>
            <w:tcW w:w="992" w:type="dxa"/>
            <w:tcBorders>
              <w:top w:val="nil"/>
              <w:left w:val="nil"/>
              <w:bottom w:val="single" w:sz="4" w:space="0" w:color="7F7F7F"/>
              <w:right w:val="nil"/>
            </w:tcBorders>
            <w:vAlign w:val="center"/>
          </w:tcPr>
          <w:p w14:paraId="498C52DB"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Napoli </w:t>
            </w:r>
            <w:r>
              <w:rPr>
                <w:rFonts w:hint="eastAsia"/>
                <w:kern w:val="0"/>
                <w:sz w:val="20"/>
                <w:szCs w:val="21"/>
                <w14:ligatures w14:val="none"/>
              </w:rPr>
              <w:t xml:space="preserve">and </w:t>
            </w:r>
            <w:proofErr w:type="spellStart"/>
            <w:r>
              <w:rPr>
                <w:kern w:val="0"/>
                <w:sz w:val="20"/>
                <w:szCs w:val="21"/>
                <w14:ligatures w14:val="none"/>
              </w:rPr>
              <w:t>Tantucci</w:t>
            </w:r>
            <w:proofErr w:type="spellEnd"/>
            <w:r>
              <w:rPr>
                <w:kern w:val="0"/>
                <w:sz w:val="20"/>
                <w:szCs w:val="21"/>
                <w14:ligatures w14:val="none"/>
              </w:rPr>
              <w:t xml:space="preserve"> (2022) (Napoli &amp; </w:t>
            </w:r>
            <w:proofErr w:type="spellStart"/>
            <w:r>
              <w:rPr>
                <w:kern w:val="0"/>
                <w:sz w:val="20"/>
                <w:szCs w:val="21"/>
                <w14:ligatures w14:val="none"/>
              </w:rPr>
              <w:t>Tantucci</w:t>
            </w:r>
            <w:proofErr w:type="spellEnd"/>
            <w:r>
              <w:rPr>
                <w:kern w:val="0"/>
                <w:sz w:val="20"/>
                <w:szCs w:val="21"/>
                <w14:ligatures w14:val="none"/>
              </w:rPr>
              <w:t>, 2022)</w:t>
            </w:r>
          </w:p>
          <w:p w14:paraId="27537673"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Italy </w:t>
            </w:r>
          </w:p>
        </w:tc>
        <w:tc>
          <w:tcPr>
            <w:tcW w:w="1854" w:type="dxa"/>
            <w:tcBorders>
              <w:top w:val="nil"/>
              <w:left w:val="nil"/>
              <w:bottom w:val="single" w:sz="4" w:space="0" w:color="7F7F7F"/>
              <w:right w:val="nil"/>
            </w:tcBorders>
            <w:noWrap/>
            <w:vAlign w:val="center"/>
          </w:tcPr>
          <w:p w14:paraId="47F3D9EA"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proofErr w:type="spellStart"/>
            <w:r>
              <w:rPr>
                <w:kern w:val="0"/>
                <w:sz w:val="20"/>
                <w:szCs w:val="21"/>
                <w14:ligatures w14:val="none"/>
              </w:rPr>
              <w:t>Pragmalinguistic</w:t>
            </w:r>
            <w:proofErr w:type="spellEnd"/>
            <w:r>
              <w:rPr>
                <w:kern w:val="0"/>
                <w:sz w:val="20"/>
                <w:szCs w:val="21"/>
                <w14:ligatures w14:val="none"/>
              </w:rPr>
              <w:t xml:space="preserve"> and </w:t>
            </w:r>
            <w:proofErr w:type="spellStart"/>
            <w:r>
              <w:rPr>
                <w:kern w:val="0"/>
                <w:sz w:val="20"/>
                <w:szCs w:val="21"/>
                <w14:ligatures w14:val="none"/>
              </w:rPr>
              <w:t>sociopragmatic</w:t>
            </w:r>
            <w:proofErr w:type="spellEnd"/>
            <w:r>
              <w:rPr>
                <w:kern w:val="0"/>
                <w:sz w:val="20"/>
                <w:szCs w:val="21"/>
                <w14:ligatures w14:val="none"/>
              </w:rPr>
              <w:t xml:space="preserve"> patterns of </w:t>
            </w:r>
            <w:proofErr w:type="spellStart"/>
            <w:r>
              <w:rPr>
                <w:kern w:val="0"/>
                <w:sz w:val="20"/>
                <w:szCs w:val="21"/>
                <w14:ligatures w14:val="none"/>
              </w:rPr>
              <w:t>requestive</w:t>
            </w:r>
            <w:proofErr w:type="spellEnd"/>
            <w:r>
              <w:rPr>
                <w:kern w:val="0"/>
                <w:sz w:val="20"/>
                <w:szCs w:val="21"/>
                <w14:ligatures w14:val="none"/>
              </w:rPr>
              <w:t xml:space="preserve"> acts in English and Italian: Insights from film conversation</w:t>
            </w:r>
          </w:p>
        </w:tc>
        <w:tc>
          <w:tcPr>
            <w:tcW w:w="2219" w:type="dxa"/>
            <w:tcBorders>
              <w:top w:val="nil"/>
              <w:left w:val="nil"/>
              <w:bottom w:val="single" w:sz="4" w:space="0" w:color="7F7F7F"/>
              <w:right w:val="nil"/>
            </w:tcBorders>
            <w:noWrap/>
            <w:vAlign w:val="center"/>
          </w:tcPr>
          <w:p w14:paraId="70FBD26D"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Examine the effect of (in)directness and social distance on illocutionary modification of </w:t>
            </w:r>
            <w:proofErr w:type="spellStart"/>
            <w:r>
              <w:rPr>
                <w:kern w:val="0"/>
                <w:sz w:val="20"/>
                <w:szCs w:val="21"/>
                <w14:ligatures w14:val="none"/>
              </w:rPr>
              <w:t>requestive</w:t>
            </w:r>
            <w:proofErr w:type="spellEnd"/>
            <w:r>
              <w:rPr>
                <w:kern w:val="0"/>
                <w:sz w:val="20"/>
                <w:szCs w:val="21"/>
                <w14:ligatures w14:val="none"/>
              </w:rPr>
              <w:t xml:space="preserve"> speech acts in dialogic filmic interaction.</w:t>
            </w:r>
          </w:p>
        </w:tc>
        <w:tc>
          <w:tcPr>
            <w:tcW w:w="1314" w:type="dxa"/>
            <w:tcBorders>
              <w:top w:val="nil"/>
              <w:left w:val="nil"/>
              <w:bottom w:val="single" w:sz="4" w:space="0" w:color="7F7F7F"/>
              <w:right w:val="nil"/>
            </w:tcBorders>
            <w:noWrap/>
            <w:vAlign w:val="center"/>
          </w:tcPr>
          <w:p w14:paraId="07C4996F"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English and Italian speakers in dialogic filmic interaction</w:t>
            </w:r>
          </w:p>
        </w:tc>
        <w:tc>
          <w:tcPr>
            <w:tcW w:w="1418" w:type="dxa"/>
            <w:tcBorders>
              <w:top w:val="nil"/>
              <w:left w:val="nil"/>
              <w:bottom w:val="single" w:sz="4" w:space="0" w:color="7F7F7F"/>
              <w:right w:val="nil"/>
            </w:tcBorders>
            <w:noWrap/>
            <w:vAlign w:val="center"/>
          </w:tcPr>
          <w:p w14:paraId="1C3EF84A"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Multifactorial corpus-based study </w:t>
            </w:r>
          </w:p>
        </w:tc>
        <w:tc>
          <w:tcPr>
            <w:tcW w:w="2835" w:type="dxa"/>
            <w:tcBorders>
              <w:top w:val="nil"/>
              <w:left w:val="nil"/>
              <w:bottom w:val="single" w:sz="4" w:space="0" w:color="7F7F7F"/>
              <w:right w:val="nil"/>
            </w:tcBorders>
            <w:noWrap/>
            <w:vAlign w:val="center"/>
          </w:tcPr>
          <w:p w14:paraId="36C7F4DE"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The use of mitigating vs. intensifying strategies is significantly influenced by social distance and (in)directness.</w:t>
            </w:r>
          </w:p>
        </w:tc>
        <w:tc>
          <w:tcPr>
            <w:tcW w:w="896" w:type="dxa"/>
            <w:tcBorders>
              <w:top w:val="nil"/>
              <w:left w:val="nil"/>
              <w:bottom w:val="single" w:sz="4" w:space="0" w:color="7F7F7F"/>
              <w:right w:val="nil"/>
            </w:tcBorders>
            <w:noWrap/>
            <w:vAlign w:val="center"/>
          </w:tcPr>
          <w:p w14:paraId="3009B527"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38</w:t>
            </w:r>
          </w:p>
        </w:tc>
      </w:tr>
      <w:tr w:rsidR="00394822" w14:paraId="65C984A5"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2161E97C" w14:textId="46F3F887"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1</w:t>
            </w:r>
            <w:r w:rsidR="00AA3EBF">
              <w:rPr>
                <w:rFonts w:hint="eastAsia"/>
                <w:kern w:val="0"/>
                <w:sz w:val="20"/>
                <w:szCs w:val="21"/>
                <w14:ligatures w14:val="none"/>
              </w:rPr>
              <w:t>2</w:t>
            </w:r>
          </w:p>
        </w:tc>
        <w:tc>
          <w:tcPr>
            <w:tcW w:w="992" w:type="dxa"/>
            <w:tcBorders>
              <w:top w:val="single" w:sz="4" w:space="0" w:color="7F7F7F"/>
              <w:left w:val="nil"/>
              <w:bottom w:val="single" w:sz="4" w:space="0" w:color="7F7F7F"/>
              <w:right w:val="nil"/>
            </w:tcBorders>
            <w:vAlign w:val="center"/>
          </w:tcPr>
          <w:p w14:paraId="4446EC0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Littlemore </w:t>
            </w:r>
            <w:r>
              <w:rPr>
                <w:rFonts w:hint="eastAsia"/>
                <w:kern w:val="0"/>
                <w:sz w:val="20"/>
                <w:szCs w:val="21"/>
                <w14:ligatures w14:val="none"/>
              </w:rPr>
              <w:t>and</w:t>
            </w:r>
            <w:r>
              <w:rPr>
                <w:kern w:val="0"/>
                <w:sz w:val="24"/>
                <w:szCs w:val="24"/>
                <w14:ligatures w14:val="none"/>
              </w:rPr>
              <w:t xml:space="preserve"> </w:t>
            </w:r>
            <w:r>
              <w:rPr>
                <w:kern w:val="0"/>
                <w:sz w:val="20"/>
                <w:szCs w:val="21"/>
                <w14:ligatures w14:val="none"/>
              </w:rPr>
              <w:t>Fielden-</w:t>
            </w:r>
            <w:proofErr w:type="gramStart"/>
            <w:r>
              <w:rPr>
                <w:kern w:val="0"/>
                <w:sz w:val="20"/>
                <w:szCs w:val="21"/>
                <w14:ligatures w14:val="none"/>
              </w:rPr>
              <w:t>Burns  (</w:t>
            </w:r>
            <w:proofErr w:type="gramEnd"/>
            <w:r>
              <w:rPr>
                <w:kern w:val="0"/>
                <w:sz w:val="20"/>
                <w:szCs w:val="21"/>
                <w14:ligatures w14:val="none"/>
              </w:rPr>
              <w:t xml:space="preserve">2023) (Littlemore &amp; Fielden-Burns, </w:t>
            </w:r>
            <w:r>
              <w:rPr>
                <w:kern w:val="0"/>
                <w:sz w:val="20"/>
                <w:szCs w:val="21"/>
                <w14:ligatures w14:val="none"/>
              </w:rPr>
              <w:lastRenderedPageBreak/>
              <w:t xml:space="preserve">2023)  </w:t>
            </w:r>
          </w:p>
          <w:p w14:paraId="6FD981EF"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United Kingdom</w:t>
            </w:r>
          </w:p>
        </w:tc>
        <w:tc>
          <w:tcPr>
            <w:tcW w:w="1854" w:type="dxa"/>
            <w:tcBorders>
              <w:top w:val="single" w:sz="4" w:space="0" w:color="7F7F7F"/>
              <w:left w:val="nil"/>
              <w:bottom w:val="single" w:sz="4" w:space="0" w:color="7F7F7F"/>
              <w:right w:val="nil"/>
            </w:tcBorders>
            <w:noWrap/>
            <w:vAlign w:val="center"/>
          </w:tcPr>
          <w:p w14:paraId="065AB34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 xml:space="preserve">On the fringes of metaphor: Using ambiguously figurative vague language to pragmatically negotiate sensitive topics in the English as a Medium of </w:t>
            </w:r>
            <w:r>
              <w:rPr>
                <w:kern w:val="0"/>
                <w:sz w:val="20"/>
                <w:szCs w:val="21"/>
                <w14:ligatures w14:val="none"/>
              </w:rPr>
              <w:lastRenderedPageBreak/>
              <w:t>Instruction classroom</w:t>
            </w:r>
          </w:p>
        </w:tc>
        <w:tc>
          <w:tcPr>
            <w:tcW w:w="2219" w:type="dxa"/>
            <w:tcBorders>
              <w:top w:val="single" w:sz="4" w:space="0" w:color="7F7F7F"/>
              <w:left w:val="nil"/>
              <w:bottom w:val="single" w:sz="4" w:space="0" w:color="7F7F7F"/>
              <w:right w:val="nil"/>
            </w:tcBorders>
            <w:noWrap/>
            <w:vAlign w:val="center"/>
          </w:tcPr>
          <w:p w14:paraId="609C4B3C"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Examine how these three key elements interact: figurative language (specifically metaphor and metonymy), vague language, and sensitive topics.</w:t>
            </w:r>
          </w:p>
        </w:tc>
        <w:tc>
          <w:tcPr>
            <w:tcW w:w="1314" w:type="dxa"/>
            <w:tcBorders>
              <w:top w:val="single" w:sz="4" w:space="0" w:color="7F7F7F"/>
              <w:left w:val="nil"/>
              <w:bottom w:val="single" w:sz="4" w:space="0" w:color="7F7F7F"/>
              <w:right w:val="nil"/>
            </w:tcBorders>
            <w:noWrap/>
            <w:vAlign w:val="center"/>
          </w:tcPr>
          <w:p w14:paraId="66FF2F9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Two classes of EMI students</w:t>
            </w:r>
          </w:p>
        </w:tc>
        <w:tc>
          <w:tcPr>
            <w:tcW w:w="1418" w:type="dxa"/>
            <w:tcBorders>
              <w:top w:val="single" w:sz="4" w:space="0" w:color="7F7F7F"/>
              <w:left w:val="nil"/>
              <w:bottom w:val="single" w:sz="4" w:space="0" w:color="7F7F7F"/>
              <w:right w:val="nil"/>
            </w:tcBorders>
            <w:noWrap/>
            <w:vAlign w:val="center"/>
          </w:tcPr>
          <w:p w14:paraId="66D171D2"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Qualitative discourse analysis</w:t>
            </w:r>
          </w:p>
        </w:tc>
        <w:tc>
          <w:tcPr>
            <w:tcW w:w="2835" w:type="dxa"/>
            <w:tcBorders>
              <w:top w:val="single" w:sz="4" w:space="0" w:color="7F7F7F"/>
              <w:left w:val="nil"/>
              <w:bottom w:val="single" w:sz="4" w:space="0" w:color="7F7F7F"/>
              <w:right w:val="nil"/>
            </w:tcBorders>
            <w:noWrap/>
            <w:vAlign w:val="center"/>
          </w:tcPr>
          <w:p w14:paraId="0C086773"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L2 users use the ambiguity inherent in figurative language to discuss complex topics in a pragmatically sensitive manner. </w:t>
            </w:r>
          </w:p>
        </w:tc>
        <w:tc>
          <w:tcPr>
            <w:tcW w:w="896" w:type="dxa"/>
            <w:tcBorders>
              <w:top w:val="single" w:sz="4" w:space="0" w:color="7F7F7F"/>
              <w:left w:val="nil"/>
              <w:bottom w:val="single" w:sz="4" w:space="0" w:color="7F7F7F"/>
              <w:right w:val="nil"/>
            </w:tcBorders>
            <w:noWrap/>
            <w:vAlign w:val="center"/>
          </w:tcPr>
          <w:p w14:paraId="3975584E"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37</w:t>
            </w:r>
          </w:p>
        </w:tc>
      </w:tr>
      <w:tr w:rsidR="00394822" w14:paraId="7C503957"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nil"/>
              <w:left w:val="nil"/>
              <w:bottom w:val="single" w:sz="4" w:space="0" w:color="7F7F7F"/>
              <w:right w:val="nil"/>
            </w:tcBorders>
            <w:noWrap/>
            <w:vAlign w:val="center"/>
          </w:tcPr>
          <w:p w14:paraId="7EF2A5C0" w14:textId="38162B33"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1</w:t>
            </w:r>
            <w:r w:rsidR="00AA3EBF">
              <w:rPr>
                <w:rFonts w:hint="eastAsia"/>
                <w:kern w:val="0"/>
                <w:sz w:val="20"/>
                <w:szCs w:val="21"/>
                <w14:ligatures w14:val="none"/>
              </w:rPr>
              <w:t>3</w:t>
            </w:r>
          </w:p>
        </w:tc>
        <w:tc>
          <w:tcPr>
            <w:tcW w:w="992" w:type="dxa"/>
            <w:tcBorders>
              <w:top w:val="nil"/>
              <w:left w:val="nil"/>
              <w:bottom w:val="single" w:sz="4" w:space="0" w:color="7F7F7F"/>
              <w:right w:val="nil"/>
            </w:tcBorders>
            <w:vAlign w:val="center"/>
          </w:tcPr>
          <w:p w14:paraId="3DCDA199"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proofErr w:type="spellStart"/>
            <w:r>
              <w:rPr>
                <w:kern w:val="0"/>
                <w:sz w:val="20"/>
                <w:szCs w:val="21"/>
                <w14:ligatures w14:val="none"/>
              </w:rPr>
              <w:t>Almusallam</w:t>
            </w:r>
            <w:proofErr w:type="spellEnd"/>
            <w:r>
              <w:rPr>
                <w:kern w:val="0"/>
                <w:sz w:val="20"/>
                <w:szCs w:val="21"/>
                <w14:ligatures w14:val="none"/>
              </w:rPr>
              <w:t xml:space="preserve"> (2023) (</w:t>
            </w:r>
            <w:proofErr w:type="spellStart"/>
            <w:r>
              <w:rPr>
                <w:kern w:val="0"/>
                <w:sz w:val="20"/>
                <w:szCs w:val="21"/>
                <w14:ligatures w14:val="none"/>
              </w:rPr>
              <w:t>Almusallam</w:t>
            </w:r>
            <w:proofErr w:type="spellEnd"/>
            <w:r>
              <w:rPr>
                <w:kern w:val="0"/>
                <w:sz w:val="20"/>
                <w:szCs w:val="21"/>
                <w14:ligatures w14:val="none"/>
              </w:rPr>
              <w:t>, 2023)</w:t>
            </w:r>
          </w:p>
          <w:p w14:paraId="14BD4553"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Saudi Arabia</w:t>
            </w:r>
          </w:p>
        </w:tc>
        <w:tc>
          <w:tcPr>
            <w:tcW w:w="1854" w:type="dxa"/>
            <w:tcBorders>
              <w:top w:val="nil"/>
              <w:left w:val="nil"/>
              <w:bottom w:val="single" w:sz="4" w:space="0" w:color="7F7F7F"/>
              <w:right w:val="nil"/>
            </w:tcBorders>
            <w:noWrap/>
            <w:vAlign w:val="center"/>
          </w:tcPr>
          <w:p w14:paraId="3C19335B"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Offers in Saudi EFL talks: A focus on the learners' pragmatic competence in interactions</w:t>
            </w:r>
          </w:p>
        </w:tc>
        <w:tc>
          <w:tcPr>
            <w:tcW w:w="2219" w:type="dxa"/>
            <w:tcBorders>
              <w:top w:val="nil"/>
              <w:left w:val="nil"/>
              <w:bottom w:val="single" w:sz="4" w:space="0" w:color="7F7F7F"/>
              <w:right w:val="nil"/>
            </w:tcBorders>
            <w:noWrap/>
            <w:vAlign w:val="center"/>
          </w:tcPr>
          <w:p w14:paraId="2DD3F85C"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Investigate the learners' interactional tools and potential pragmatic transfer.</w:t>
            </w:r>
          </w:p>
        </w:tc>
        <w:tc>
          <w:tcPr>
            <w:tcW w:w="1314" w:type="dxa"/>
            <w:tcBorders>
              <w:top w:val="nil"/>
              <w:left w:val="nil"/>
              <w:bottom w:val="single" w:sz="4" w:space="0" w:color="7F7F7F"/>
              <w:right w:val="nil"/>
            </w:tcBorders>
            <w:noWrap/>
            <w:vAlign w:val="center"/>
          </w:tcPr>
          <w:p w14:paraId="37EBB425"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Nine Saudi learners of English (SEFL), native speakers of Saudi Arabic (SA), and native speakers of British English (BE.)</w:t>
            </w:r>
          </w:p>
        </w:tc>
        <w:tc>
          <w:tcPr>
            <w:tcW w:w="1418" w:type="dxa"/>
            <w:tcBorders>
              <w:top w:val="nil"/>
              <w:left w:val="nil"/>
              <w:bottom w:val="single" w:sz="4" w:space="0" w:color="7F7F7F"/>
              <w:right w:val="nil"/>
            </w:tcBorders>
            <w:noWrap/>
            <w:vAlign w:val="center"/>
          </w:tcPr>
          <w:p w14:paraId="686AB74C"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Naturalistic observation, Comparative analysis</w:t>
            </w:r>
          </w:p>
        </w:tc>
        <w:tc>
          <w:tcPr>
            <w:tcW w:w="2835" w:type="dxa"/>
            <w:tcBorders>
              <w:top w:val="nil"/>
              <w:left w:val="nil"/>
              <w:bottom w:val="single" w:sz="4" w:space="0" w:color="7F7F7F"/>
              <w:right w:val="nil"/>
            </w:tcBorders>
            <w:noWrap/>
            <w:vAlign w:val="center"/>
          </w:tcPr>
          <w:p w14:paraId="6106BFDD"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Saudi EFL learners use limited negotiation of offers</w:t>
            </w:r>
          </w:p>
        </w:tc>
        <w:tc>
          <w:tcPr>
            <w:tcW w:w="896" w:type="dxa"/>
            <w:tcBorders>
              <w:top w:val="nil"/>
              <w:left w:val="nil"/>
              <w:bottom w:val="single" w:sz="4" w:space="0" w:color="7F7F7F"/>
              <w:right w:val="nil"/>
            </w:tcBorders>
            <w:noWrap/>
            <w:vAlign w:val="center"/>
          </w:tcPr>
          <w:p w14:paraId="5AFB78A5"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38</w:t>
            </w:r>
          </w:p>
        </w:tc>
      </w:tr>
      <w:tr w:rsidR="00394822" w14:paraId="397EEBC7"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2CB4B1EC" w14:textId="78EE8ABD"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1</w:t>
            </w:r>
            <w:r w:rsidR="00AA3EBF">
              <w:rPr>
                <w:rFonts w:hint="eastAsia"/>
                <w:kern w:val="0"/>
                <w:sz w:val="20"/>
                <w:szCs w:val="21"/>
                <w14:ligatures w14:val="none"/>
              </w:rPr>
              <w:t>4</w:t>
            </w:r>
          </w:p>
        </w:tc>
        <w:tc>
          <w:tcPr>
            <w:tcW w:w="992" w:type="dxa"/>
            <w:tcBorders>
              <w:top w:val="single" w:sz="4" w:space="0" w:color="7F7F7F"/>
              <w:left w:val="nil"/>
              <w:bottom w:val="single" w:sz="4" w:space="0" w:color="7F7F7F"/>
              <w:right w:val="nil"/>
            </w:tcBorders>
            <w:vAlign w:val="center"/>
          </w:tcPr>
          <w:p w14:paraId="2B1A7331"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Schneider (2021) (Schneider, 2021)</w:t>
            </w:r>
          </w:p>
          <w:p w14:paraId="30C1EB1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Germany </w:t>
            </w:r>
          </w:p>
        </w:tc>
        <w:tc>
          <w:tcPr>
            <w:tcW w:w="1854" w:type="dxa"/>
            <w:tcBorders>
              <w:top w:val="single" w:sz="4" w:space="0" w:color="7F7F7F"/>
              <w:left w:val="nil"/>
              <w:bottom w:val="single" w:sz="4" w:space="0" w:color="7F7F7F"/>
              <w:right w:val="nil"/>
            </w:tcBorders>
            <w:noWrap/>
            <w:vAlign w:val="center"/>
          </w:tcPr>
          <w:p w14:paraId="1A6434A9"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Notes on variational </w:t>
            </w:r>
            <w:proofErr w:type="spellStart"/>
            <w:r>
              <w:rPr>
                <w:kern w:val="0"/>
                <w:sz w:val="20"/>
                <w:szCs w:val="21"/>
                <w14:ligatures w14:val="none"/>
              </w:rPr>
              <w:t>metapragmatics</w:t>
            </w:r>
            <w:proofErr w:type="spellEnd"/>
          </w:p>
        </w:tc>
        <w:tc>
          <w:tcPr>
            <w:tcW w:w="2219" w:type="dxa"/>
            <w:tcBorders>
              <w:top w:val="single" w:sz="4" w:space="0" w:color="7F7F7F"/>
              <w:left w:val="nil"/>
              <w:bottom w:val="single" w:sz="4" w:space="0" w:color="7F7F7F"/>
              <w:right w:val="nil"/>
            </w:tcBorders>
            <w:noWrap/>
            <w:vAlign w:val="center"/>
          </w:tcPr>
          <w:p w14:paraId="1144FB6F"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Investigate variational </w:t>
            </w:r>
            <w:proofErr w:type="spellStart"/>
            <w:r>
              <w:rPr>
                <w:kern w:val="0"/>
                <w:sz w:val="20"/>
                <w:szCs w:val="21"/>
                <w14:ligatures w14:val="none"/>
              </w:rPr>
              <w:t>metapragmatics</w:t>
            </w:r>
            <w:proofErr w:type="spellEnd"/>
            <w:r>
              <w:rPr>
                <w:kern w:val="0"/>
                <w:sz w:val="20"/>
                <w:szCs w:val="21"/>
                <w14:ligatures w14:val="none"/>
              </w:rPr>
              <w:t>, with a focus on meta-illocutionary lexicon.</w:t>
            </w:r>
          </w:p>
        </w:tc>
        <w:tc>
          <w:tcPr>
            <w:tcW w:w="1314" w:type="dxa"/>
            <w:tcBorders>
              <w:top w:val="single" w:sz="4" w:space="0" w:color="7F7F7F"/>
              <w:left w:val="nil"/>
              <w:bottom w:val="single" w:sz="4" w:space="0" w:color="7F7F7F"/>
              <w:right w:val="nil"/>
            </w:tcBorders>
            <w:noWrap/>
            <w:vAlign w:val="center"/>
          </w:tcPr>
          <w:p w14:paraId="1E6E821B"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ICE-Ireland and ICE-Canada corpora</w:t>
            </w:r>
          </w:p>
        </w:tc>
        <w:tc>
          <w:tcPr>
            <w:tcW w:w="1418" w:type="dxa"/>
            <w:tcBorders>
              <w:top w:val="single" w:sz="4" w:space="0" w:color="7F7F7F"/>
              <w:left w:val="nil"/>
              <w:bottom w:val="single" w:sz="4" w:space="0" w:color="7F7F7F"/>
              <w:right w:val="nil"/>
            </w:tcBorders>
            <w:noWrap/>
            <w:vAlign w:val="center"/>
          </w:tcPr>
          <w:p w14:paraId="108202CE"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Exploratory study, Corpus-based analysis</w:t>
            </w:r>
          </w:p>
        </w:tc>
        <w:tc>
          <w:tcPr>
            <w:tcW w:w="2835" w:type="dxa"/>
            <w:tcBorders>
              <w:top w:val="single" w:sz="4" w:space="0" w:color="7F7F7F"/>
              <w:left w:val="nil"/>
              <w:bottom w:val="single" w:sz="4" w:space="0" w:color="7F7F7F"/>
              <w:right w:val="nil"/>
            </w:tcBorders>
            <w:noWrap/>
            <w:vAlign w:val="center"/>
          </w:tcPr>
          <w:p w14:paraId="66B246C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There are differences in the use of meta-illocutionary expressions in interaction between ICE-Ireland and ICE-Canada.</w:t>
            </w:r>
          </w:p>
        </w:tc>
        <w:tc>
          <w:tcPr>
            <w:tcW w:w="896" w:type="dxa"/>
            <w:tcBorders>
              <w:top w:val="single" w:sz="4" w:space="0" w:color="7F7F7F"/>
              <w:left w:val="nil"/>
              <w:bottom w:val="single" w:sz="4" w:space="0" w:color="7F7F7F"/>
              <w:right w:val="nil"/>
            </w:tcBorders>
            <w:noWrap/>
            <w:vAlign w:val="center"/>
          </w:tcPr>
          <w:p w14:paraId="6051B44E"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37</w:t>
            </w:r>
          </w:p>
        </w:tc>
      </w:tr>
      <w:tr w:rsidR="00394822" w14:paraId="1D149219"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55280A28" w14:textId="202FF7F8"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1</w:t>
            </w:r>
            <w:r w:rsidR="00AA3EBF">
              <w:rPr>
                <w:rFonts w:hint="eastAsia"/>
                <w:kern w:val="0"/>
                <w:sz w:val="20"/>
                <w:szCs w:val="21"/>
                <w14:ligatures w14:val="none"/>
              </w:rPr>
              <w:t>5</w:t>
            </w:r>
          </w:p>
        </w:tc>
        <w:tc>
          <w:tcPr>
            <w:tcW w:w="992" w:type="dxa"/>
            <w:tcBorders>
              <w:top w:val="single" w:sz="4" w:space="0" w:color="7F7F7F"/>
              <w:left w:val="nil"/>
              <w:bottom w:val="single" w:sz="4" w:space="0" w:color="7F7F7F"/>
              <w:right w:val="nil"/>
            </w:tcBorders>
            <w:vAlign w:val="center"/>
          </w:tcPr>
          <w:p w14:paraId="7C1A8AB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Kim </w:t>
            </w:r>
            <w:r>
              <w:rPr>
                <w:rFonts w:hint="eastAsia"/>
                <w:kern w:val="0"/>
                <w:sz w:val="20"/>
                <w:szCs w:val="21"/>
                <w14:ligatures w14:val="none"/>
              </w:rPr>
              <w:t xml:space="preserve">and Michel </w:t>
            </w:r>
            <w:r>
              <w:rPr>
                <w:kern w:val="0"/>
                <w:sz w:val="20"/>
                <w:szCs w:val="21"/>
                <w14:ligatures w14:val="none"/>
              </w:rPr>
              <w:t>(2023) (Kim &amp; Michel, 2023)</w:t>
            </w:r>
          </w:p>
          <w:p w14:paraId="214803FE"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United States</w:t>
            </w:r>
          </w:p>
        </w:tc>
        <w:tc>
          <w:tcPr>
            <w:tcW w:w="1854" w:type="dxa"/>
            <w:tcBorders>
              <w:top w:val="single" w:sz="4" w:space="0" w:color="7F7F7F"/>
              <w:left w:val="nil"/>
              <w:bottom w:val="single" w:sz="4" w:space="0" w:color="7F7F7F"/>
              <w:right w:val="nil"/>
            </w:tcBorders>
            <w:noWrap/>
            <w:vAlign w:val="center"/>
          </w:tcPr>
          <w:p w14:paraId="62CDF0A0"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Linguistic alignment in second language acquisition: A methodological review</w:t>
            </w:r>
          </w:p>
        </w:tc>
        <w:tc>
          <w:tcPr>
            <w:tcW w:w="2219" w:type="dxa"/>
            <w:tcBorders>
              <w:top w:val="single" w:sz="4" w:space="0" w:color="7F7F7F"/>
              <w:left w:val="nil"/>
              <w:bottom w:val="single" w:sz="4" w:space="0" w:color="7F7F7F"/>
              <w:right w:val="nil"/>
            </w:tcBorders>
            <w:noWrap/>
            <w:vAlign w:val="center"/>
          </w:tcPr>
          <w:p w14:paraId="119523A9"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Explore the methodological aspects of L2 alignment research</w:t>
            </w:r>
          </w:p>
        </w:tc>
        <w:tc>
          <w:tcPr>
            <w:tcW w:w="1314" w:type="dxa"/>
            <w:tcBorders>
              <w:top w:val="single" w:sz="4" w:space="0" w:color="7F7F7F"/>
              <w:left w:val="nil"/>
              <w:bottom w:val="single" w:sz="4" w:space="0" w:color="7F7F7F"/>
              <w:right w:val="nil"/>
            </w:tcBorders>
            <w:noWrap/>
            <w:vAlign w:val="center"/>
          </w:tcPr>
          <w:p w14:paraId="2185D5B3"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Linguistic alignment studies published between 2001 and 2021</w:t>
            </w:r>
          </w:p>
        </w:tc>
        <w:tc>
          <w:tcPr>
            <w:tcW w:w="1418" w:type="dxa"/>
            <w:tcBorders>
              <w:top w:val="single" w:sz="4" w:space="0" w:color="7F7F7F"/>
              <w:left w:val="nil"/>
              <w:bottom w:val="single" w:sz="4" w:space="0" w:color="7F7F7F"/>
              <w:right w:val="nil"/>
            </w:tcBorders>
            <w:noWrap/>
            <w:vAlign w:val="center"/>
          </w:tcPr>
          <w:p w14:paraId="2663FC8F"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Qualitative research</w:t>
            </w:r>
          </w:p>
        </w:tc>
        <w:tc>
          <w:tcPr>
            <w:tcW w:w="2835" w:type="dxa"/>
            <w:tcBorders>
              <w:top w:val="single" w:sz="4" w:space="0" w:color="7F7F7F"/>
              <w:left w:val="nil"/>
              <w:bottom w:val="single" w:sz="4" w:space="0" w:color="7F7F7F"/>
              <w:right w:val="nil"/>
            </w:tcBorders>
            <w:noWrap/>
            <w:vAlign w:val="center"/>
          </w:tcPr>
          <w:p w14:paraId="64DCCD31"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Syntactic alignment in L2 English is the most widely researched. </w:t>
            </w:r>
          </w:p>
        </w:tc>
        <w:tc>
          <w:tcPr>
            <w:tcW w:w="896" w:type="dxa"/>
            <w:tcBorders>
              <w:top w:val="single" w:sz="4" w:space="0" w:color="7F7F7F"/>
              <w:left w:val="nil"/>
              <w:bottom w:val="single" w:sz="4" w:space="0" w:color="7F7F7F"/>
              <w:right w:val="nil"/>
            </w:tcBorders>
            <w:noWrap/>
            <w:vAlign w:val="center"/>
          </w:tcPr>
          <w:p w14:paraId="05B8C970"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38</w:t>
            </w:r>
          </w:p>
        </w:tc>
      </w:tr>
      <w:tr w:rsidR="00394822" w14:paraId="12EBB674"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nil"/>
              <w:left w:val="nil"/>
              <w:bottom w:val="single" w:sz="4" w:space="0" w:color="7F7F7F"/>
              <w:right w:val="nil"/>
            </w:tcBorders>
            <w:noWrap/>
            <w:vAlign w:val="center"/>
          </w:tcPr>
          <w:p w14:paraId="39359CB4" w14:textId="5CE95580"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1</w:t>
            </w:r>
            <w:r w:rsidR="00AA3EBF">
              <w:rPr>
                <w:rFonts w:hint="eastAsia"/>
                <w:kern w:val="0"/>
                <w:sz w:val="20"/>
                <w:szCs w:val="21"/>
                <w14:ligatures w14:val="none"/>
              </w:rPr>
              <w:t>6</w:t>
            </w:r>
          </w:p>
        </w:tc>
        <w:tc>
          <w:tcPr>
            <w:tcW w:w="992" w:type="dxa"/>
            <w:tcBorders>
              <w:top w:val="nil"/>
              <w:left w:val="nil"/>
              <w:bottom w:val="single" w:sz="4" w:space="0" w:color="7F7F7F"/>
              <w:right w:val="nil"/>
            </w:tcBorders>
            <w:vAlign w:val="center"/>
          </w:tcPr>
          <w:p w14:paraId="58C9742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Pan (2023) (Pan, 2023)</w:t>
            </w:r>
          </w:p>
          <w:p w14:paraId="43795F3F"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Thailand</w:t>
            </w:r>
          </w:p>
        </w:tc>
        <w:tc>
          <w:tcPr>
            <w:tcW w:w="1854" w:type="dxa"/>
            <w:tcBorders>
              <w:top w:val="nil"/>
              <w:left w:val="nil"/>
              <w:bottom w:val="single" w:sz="4" w:space="0" w:color="7F7F7F"/>
              <w:right w:val="nil"/>
            </w:tcBorders>
            <w:noWrap/>
            <w:vAlign w:val="center"/>
          </w:tcPr>
          <w:p w14:paraId="2247C962"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Formulaic Language Use by Learners of English in Interlanguage Communication</w:t>
            </w:r>
          </w:p>
        </w:tc>
        <w:tc>
          <w:tcPr>
            <w:tcW w:w="2219" w:type="dxa"/>
            <w:tcBorders>
              <w:top w:val="nil"/>
              <w:left w:val="nil"/>
              <w:bottom w:val="single" w:sz="4" w:space="0" w:color="7F7F7F"/>
              <w:right w:val="nil"/>
            </w:tcBorders>
            <w:noWrap/>
            <w:vAlign w:val="center"/>
          </w:tcPr>
          <w:p w14:paraId="370571BE"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Investigate the use of four-word lexical bundles in interlanguage communication by Thai English learners at various proficiency levels.</w:t>
            </w:r>
          </w:p>
        </w:tc>
        <w:tc>
          <w:tcPr>
            <w:tcW w:w="1314" w:type="dxa"/>
            <w:tcBorders>
              <w:top w:val="nil"/>
              <w:left w:val="nil"/>
              <w:bottom w:val="single" w:sz="4" w:space="0" w:color="7F7F7F"/>
              <w:right w:val="nil"/>
            </w:tcBorders>
            <w:noWrap/>
            <w:vAlign w:val="center"/>
          </w:tcPr>
          <w:p w14:paraId="66E96841"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120 Thai ESL learners at three proficiency levels.</w:t>
            </w:r>
          </w:p>
        </w:tc>
        <w:tc>
          <w:tcPr>
            <w:tcW w:w="1418" w:type="dxa"/>
            <w:tcBorders>
              <w:top w:val="nil"/>
              <w:left w:val="nil"/>
              <w:bottom w:val="single" w:sz="4" w:space="0" w:color="7F7F7F"/>
              <w:right w:val="nil"/>
            </w:tcBorders>
            <w:noWrap/>
            <w:vAlign w:val="center"/>
          </w:tcPr>
          <w:p w14:paraId="23516479"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Observational research</w:t>
            </w:r>
          </w:p>
        </w:tc>
        <w:tc>
          <w:tcPr>
            <w:tcW w:w="2835" w:type="dxa"/>
            <w:tcBorders>
              <w:top w:val="nil"/>
              <w:left w:val="nil"/>
              <w:bottom w:val="single" w:sz="4" w:space="0" w:color="7F7F7F"/>
              <w:right w:val="nil"/>
            </w:tcBorders>
            <w:noWrap/>
            <w:vAlign w:val="center"/>
          </w:tcPr>
          <w:p w14:paraId="04884E27"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Higher English proficiency EFL learners use less formulaic language.</w:t>
            </w:r>
          </w:p>
        </w:tc>
        <w:tc>
          <w:tcPr>
            <w:tcW w:w="896" w:type="dxa"/>
            <w:tcBorders>
              <w:top w:val="nil"/>
              <w:left w:val="nil"/>
              <w:bottom w:val="single" w:sz="4" w:space="0" w:color="7F7F7F"/>
              <w:right w:val="nil"/>
            </w:tcBorders>
            <w:noWrap/>
            <w:vAlign w:val="center"/>
          </w:tcPr>
          <w:p w14:paraId="7C2AD99F"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36</w:t>
            </w:r>
          </w:p>
        </w:tc>
      </w:tr>
      <w:tr w:rsidR="00394822" w14:paraId="6CB51255"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77C34632" w14:textId="5B096772"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1</w:t>
            </w:r>
            <w:r w:rsidR="00AA3EBF">
              <w:rPr>
                <w:rFonts w:hint="eastAsia"/>
                <w:kern w:val="0"/>
                <w:sz w:val="20"/>
                <w:szCs w:val="21"/>
                <w14:ligatures w14:val="none"/>
              </w:rPr>
              <w:t>7</w:t>
            </w:r>
          </w:p>
        </w:tc>
        <w:tc>
          <w:tcPr>
            <w:tcW w:w="992" w:type="dxa"/>
            <w:tcBorders>
              <w:top w:val="single" w:sz="4" w:space="0" w:color="7F7F7F"/>
              <w:left w:val="nil"/>
              <w:bottom w:val="single" w:sz="4" w:space="0" w:color="7F7F7F"/>
              <w:right w:val="nil"/>
            </w:tcBorders>
            <w:vAlign w:val="center"/>
          </w:tcPr>
          <w:p w14:paraId="1968E600" w14:textId="77777777" w:rsidR="00394822" w:rsidRDefault="00394822" w:rsidP="00394822">
            <w:pPr>
              <w:spacing w:before="100" w:beforeAutospacing="1" w:after="100" w:afterAutospacing="1"/>
              <w:ind w:left="100" w:hangingChars="50" w:hanging="100"/>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Soleimani et al. (2021) (Soleimani et al., 2021) </w:t>
            </w:r>
          </w:p>
          <w:p w14:paraId="684C4EF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Iran</w:t>
            </w:r>
          </w:p>
        </w:tc>
        <w:tc>
          <w:tcPr>
            <w:tcW w:w="1854" w:type="dxa"/>
            <w:tcBorders>
              <w:top w:val="single" w:sz="4" w:space="0" w:color="7F7F7F"/>
              <w:left w:val="nil"/>
              <w:bottom w:val="single" w:sz="4" w:space="0" w:color="7F7F7F"/>
              <w:right w:val="nil"/>
            </w:tcBorders>
            <w:noWrap/>
            <w:vAlign w:val="center"/>
          </w:tcPr>
          <w:p w14:paraId="527E1FB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Feasibility of Using a Task-Oriented Focus on Form Instructional Model for the Study of Request Speech Act</w:t>
            </w:r>
          </w:p>
        </w:tc>
        <w:tc>
          <w:tcPr>
            <w:tcW w:w="2219" w:type="dxa"/>
            <w:tcBorders>
              <w:top w:val="single" w:sz="4" w:space="0" w:color="7F7F7F"/>
              <w:left w:val="nil"/>
              <w:bottom w:val="single" w:sz="4" w:space="0" w:color="7F7F7F"/>
              <w:right w:val="nil"/>
            </w:tcBorders>
            <w:noWrap/>
            <w:vAlign w:val="center"/>
          </w:tcPr>
          <w:p w14:paraId="4B937BFB"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Examine the effect of form-focused instruction on instructed interlanguage pragmatics (IILP).</w:t>
            </w:r>
          </w:p>
        </w:tc>
        <w:tc>
          <w:tcPr>
            <w:tcW w:w="1314" w:type="dxa"/>
            <w:tcBorders>
              <w:top w:val="single" w:sz="4" w:space="0" w:color="7F7F7F"/>
              <w:left w:val="nil"/>
              <w:bottom w:val="single" w:sz="4" w:space="0" w:color="7F7F7F"/>
              <w:right w:val="nil"/>
            </w:tcBorders>
            <w:noWrap/>
            <w:vAlign w:val="center"/>
          </w:tcPr>
          <w:p w14:paraId="7408377A"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90 university students </w:t>
            </w:r>
          </w:p>
        </w:tc>
        <w:tc>
          <w:tcPr>
            <w:tcW w:w="1418" w:type="dxa"/>
            <w:tcBorders>
              <w:top w:val="single" w:sz="4" w:space="0" w:color="7F7F7F"/>
              <w:left w:val="nil"/>
              <w:bottom w:val="single" w:sz="4" w:space="0" w:color="7F7F7F"/>
              <w:right w:val="nil"/>
            </w:tcBorders>
            <w:noWrap/>
            <w:vAlign w:val="center"/>
          </w:tcPr>
          <w:p w14:paraId="7A4547B7"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Experimental study</w:t>
            </w:r>
          </w:p>
        </w:tc>
        <w:tc>
          <w:tcPr>
            <w:tcW w:w="2835" w:type="dxa"/>
            <w:tcBorders>
              <w:top w:val="single" w:sz="4" w:space="0" w:color="7F7F7F"/>
              <w:left w:val="nil"/>
              <w:bottom w:val="single" w:sz="4" w:space="0" w:color="7F7F7F"/>
              <w:right w:val="nil"/>
            </w:tcBorders>
            <w:noWrap/>
            <w:vAlign w:val="center"/>
          </w:tcPr>
          <w:p w14:paraId="4EDD362F"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The ability of learners in the instructed group to perform the request speech act improved.</w:t>
            </w:r>
          </w:p>
        </w:tc>
        <w:tc>
          <w:tcPr>
            <w:tcW w:w="896" w:type="dxa"/>
            <w:tcBorders>
              <w:top w:val="single" w:sz="4" w:space="0" w:color="7F7F7F"/>
              <w:left w:val="nil"/>
              <w:bottom w:val="single" w:sz="4" w:space="0" w:color="7F7F7F"/>
              <w:right w:val="nil"/>
            </w:tcBorders>
            <w:noWrap/>
            <w:vAlign w:val="center"/>
          </w:tcPr>
          <w:p w14:paraId="177488E9"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37</w:t>
            </w:r>
          </w:p>
        </w:tc>
      </w:tr>
      <w:tr w:rsidR="00394822" w14:paraId="6C387945"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nil"/>
              <w:left w:val="nil"/>
              <w:bottom w:val="single" w:sz="4" w:space="0" w:color="7F7F7F"/>
              <w:right w:val="nil"/>
            </w:tcBorders>
            <w:noWrap/>
            <w:vAlign w:val="center"/>
          </w:tcPr>
          <w:p w14:paraId="798D2FDA" w14:textId="2CF9A8F9"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1</w:t>
            </w:r>
            <w:r w:rsidR="00AA3EBF">
              <w:rPr>
                <w:rFonts w:hint="eastAsia"/>
                <w:kern w:val="0"/>
                <w:sz w:val="20"/>
                <w:szCs w:val="21"/>
                <w14:ligatures w14:val="none"/>
              </w:rPr>
              <w:t>8</w:t>
            </w:r>
          </w:p>
        </w:tc>
        <w:tc>
          <w:tcPr>
            <w:tcW w:w="992" w:type="dxa"/>
            <w:tcBorders>
              <w:top w:val="nil"/>
              <w:left w:val="nil"/>
              <w:bottom w:val="single" w:sz="4" w:space="0" w:color="7F7F7F"/>
              <w:right w:val="nil"/>
            </w:tcBorders>
            <w:vAlign w:val="center"/>
          </w:tcPr>
          <w:p w14:paraId="3871AA78"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Schauer (2022) (Schauer, 2022)</w:t>
            </w:r>
          </w:p>
          <w:p w14:paraId="7BA58333"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Germany</w:t>
            </w:r>
          </w:p>
        </w:tc>
        <w:tc>
          <w:tcPr>
            <w:tcW w:w="1854" w:type="dxa"/>
            <w:tcBorders>
              <w:top w:val="nil"/>
              <w:left w:val="nil"/>
              <w:bottom w:val="single" w:sz="4" w:space="0" w:color="7F7F7F"/>
              <w:right w:val="nil"/>
            </w:tcBorders>
            <w:noWrap/>
            <w:vAlign w:val="center"/>
          </w:tcPr>
          <w:p w14:paraId="17A731EB"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Exploring the potential of graphic novels for L2 pragmatic teaching and learning–focus on young learners</w:t>
            </w:r>
          </w:p>
        </w:tc>
        <w:tc>
          <w:tcPr>
            <w:tcW w:w="2219" w:type="dxa"/>
            <w:tcBorders>
              <w:top w:val="nil"/>
              <w:left w:val="nil"/>
              <w:bottom w:val="single" w:sz="4" w:space="0" w:color="7F7F7F"/>
              <w:right w:val="nil"/>
            </w:tcBorders>
            <w:noWrap/>
            <w:vAlign w:val="center"/>
          </w:tcPr>
          <w:p w14:paraId="0432B78D"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Investigate the potential of graphic novels to provide pragmatic input to young L2 learners at the beginner and intermediate levels.</w:t>
            </w:r>
          </w:p>
        </w:tc>
        <w:tc>
          <w:tcPr>
            <w:tcW w:w="1314" w:type="dxa"/>
            <w:tcBorders>
              <w:top w:val="nil"/>
              <w:left w:val="nil"/>
              <w:bottom w:val="single" w:sz="4" w:space="0" w:color="7F7F7F"/>
              <w:right w:val="nil"/>
            </w:tcBorders>
            <w:noWrap/>
            <w:vAlign w:val="center"/>
          </w:tcPr>
          <w:p w14:paraId="28B8520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Four graphic novels</w:t>
            </w:r>
          </w:p>
        </w:tc>
        <w:tc>
          <w:tcPr>
            <w:tcW w:w="1418" w:type="dxa"/>
            <w:tcBorders>
              <w:top w:val="nil"/>
              <w:left w:val="nil"/>
              <w:bottom w:val="single" w:sz="4" w:space="0" w:color="7F7F7F"/>
              <w:right w:val="nil"/>
            </w:tcBorders>
            <w:noWrap/>
            <w:vAlign w:val="center"/>
          </w:tcPr>
          <w:p w14:paraId="422F73B1"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Content analysis</w:t>
            </w:r>
          </w:p>
        </w:tc>
        <w:tc>
          <w:tcPr>
            <w:tcW w:w="2835" w:type="dxa"/>
            <w:tcBorders>
              <w:top w:val="nil"/>
              <w:left w:val="nil"/>
              <w:bottom w:val="single" w:sz="4" w:space="0" w:color="7F7F7F"/>
              <w:right w:val="nil"/>
            </w:tcBorders>
            <w:noWrap/>
            <w:vAlign w:val="center"/>
          </w:tcPr>
          <w:p w14:paraId="31761A07"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The research provided an overview of the frequency of occurrences of eight speech acts, as well as their expressions and formulaic routines.</w:t>
            </w:r>
          </w:p>
        </w:tc>
        <w:tc>
          <w:tcPr>
            <w:tcW w:w="896" w:type="dxa"/>
            <w:tcBorders>
              <w:top w:val="nil"/>
              <w:left w:val="nil"/>
              <w:bottom w:val="single" w:sz="4" w:space="0" w:color="7F7F7F"/>
              <w:right w:val="nil"/>
            </w:tcBorders>
            <w:noWrap/>
            <w:vAlign w:val="center"/>
          </w:tcPr>
          <w:p w14:paraId="1AD15862"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36</w:t>
            </w:r>
          </w:p>
        </w:tc>
      </w:tr>
      <w:tr w:rsidR="00394822" w14:paraId="6C46A576"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nil"/>
              <w:left w:val="nil"/>
              <w:bottom w:val="single" w:sz="4" w:space="0" w:color="7F7F7F"/>
              <w:right w:val="nil"/>
            </w:tcBorders>
            <w:noWrap/>
            <w:vAlign w:val="center"/>
          </w:tcPr>
          <w:p w14:paraId="4D914BD2" w14:textId="48A86D0E" w:rsidR="00394822" w:rsidRDefault="00AA3EBF" w:rsidP="00394822">
            <w:pPr>
              <w:spacing w:before="100" w:beforeAutospacing="1" w:after="100" w:afterAutospacing="1"/>
              <w:jc w:val="center"/>
              <w:rPr>
                <w:b w:val="0"/>
                <w:bCs w:val="0"/>
                <w:kern w:val="0"/>
                <w:sz w:val="20"/>
                <w:szCs w:val="21"/>
                <w14:ligatures w14:val="none"/>
              </w:rPr>
            </w:pPr>
            <w:r>
              <w:rPr>
                <w:rFonts w:hint="eastAsia"/>
                <w:kern w:val="0"/>
                <w:sz w:val="20"/>
                <w:szCs w:val="21"/>
                <w14:ligatures w14:val="none"/>
              </w:rPr>
              <w:t>19</w:t>
            </w:r>
          </w:p>
        </w:tc>
        <w:tc>
          <w:tcPr>
            <w:tcW w:w="992" w:type="dxa"/>
            <w:tcBorders>
              <w:top w:val="nil"/>
              <w:left w:val="nil"/>
              <w:bottom w:val="single" w:sz="4" w:space="0" w:color="7F7F7F"/>
              <w:right w:val="nil"/>
            </w:tcBorders>
            <w:vAlign w:val="center"/>
          </w:tcPr>
          <w:p w14:paraId="5A16859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Chen </w:t>
            </w:r>
            <w:r>
              <w:rPr>
                <w:rFonts w:hint="eastAsia"/>
                <w:kern w:val="0"/>
                <w:sz w:val="20"/>
                <w:szCs w:val="21"/>
                <w14:ligatures w14:val="none"/>
              </w:rPr>
              <w:t>and Lin</w:t>
            </w:r>
            <w:r>
              <w:rPr>
                <w:kern w:val="0"/>
                <w:sz w:val="20"/>
                <w:szCs w:val="21"/>
                <w14:ligatures w14:val="none"/>
              </w:rPr>
              <w:t xml:space="preserve"> (2021) (Chen &amp; Lin, </w:t>
            </w:r>
            <w:r>
              <w:rPr>
                <w:kern w:val="0"/>
                <w:sz w:val="20"/>
                <w:szCs w:val="21"/>
                <w14:ligatures w14:val="none"/>
              </w:rPr>
              <w:lastRenderedPageBreak/>
              <w:t>2021)</w:t>
            </w:r>
          </w:p>
          <w:p w14:paraId="2D0FC49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Taiwan, China </w:t>
            </w:r>
          </w:p>
        </w:tc>
        <w:tc>
          <w:tcPr>
            <w:tcW w:w="1854" w:type="dxa"/>
            <w:tcBorders>
              <w:top w:val="nil"/>
              <w:left w:val="nil"/>
              <w:bottom w:val="single" w:sz="4" w:space="0" w:color="7F7F7F"/>
              <w:right w:val="nil"/>
            </w:tcBorders>
            <w:noWrap/>
            <w:vAlign w:val="center"/>
          </w:tcPr>
          <w:p w14:paraId="50F5299F"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 xml:space="preserve">Effects of peer collaboration on EFL learners' comprehension of conversational </w:t>
            </w:r>
            <w:r>
              <w:rPr>
                <w:kern w:val="0"/>
                <w:sz w:val="20"/>
                <w:szCs w:val="21"/>
                <w14:ligatures w14:val="none"/>
              </w:rPr>
              <w:lastRenderedPageBreak/>
              <w:t>implicatures</w:t>
            </w:r>
          </w:p>
        </w:tc>
        <w:tc>
          <w:tcPr>
            <w:tcW w:w="2219" w:type="dxa"/>
            <w:tcBorders>
              <w:top w:val="nil"/>
              <w:left w:val="nil"/>
              <w:bottom w:val="single" w:sz="4" w:space="0" w:color="7F7F7F"/>
              <w:right w:val="nil"/>
            </w:tcBorders>
            <w:noWrap/>
            <w:vAlign w:val="center"/>
          </w:tcPr>
          <w:p w14:paraId="684A9A0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 xml:space="preserve">Examine the effects of peer collaboration on EFL learners' understanding of conversational </w:t>
            </w:r>
            <w:r>
              <w:rPr>
                <w:kern w:val="0"/>
                <w:sz w:val="20"/>
                <w:szCs w:val="21"/>
                <w14:ligatures w14:val="none"/>
              </w:rPr>
              <w:lastRenderedPageBreak/>
              <w:t xml:space="preserve">implicatures in individual vs. collaborative work </w:t>
            </w:r>
          </w:p>
        </w:tc>
        <w:tc>
          <w:tcPr>
            <w:tcW w:w="1314" w:type="dxa"/>
            <w:tcBorders>
              <w:top w:val="nil"/>
              <w:left w:val="nil"/>
              <w:bottom w:val="single" w:sz="4" w:space="0" w:color="7F7F7F"/>
              <w:right w:val="nil"/>
            </w:tcBorders>
            <w:noWrap/>
            <w:vAlign w:val="center"/>
          </w:tcPr>
          <w:p w14:paraId="110382D1"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 xml:space="preserve">33 Taiwanese EFL learners (11 individuals, </w:t>
            </w:r>
            <w:r>
              <w:rPr>
                <w:kern w:val="0"/>
                <w:sz w:val="20"/>
                <w:szCs w:val="21"/>
                <w14:ligatures w14:val="none"/>
              </w:rPr>
              <w:lastRenderedPageBreak/>
              <w:t>11 pairs)</w:t>
            </w:r>
          </w:p>
        </w:tc>
        <w:tc>
          <w:tcPr>
            <w:tcW w:w="1418" w:type="dxa"/>
            <w:tcBorders>
              <w:top w:val="nil"/>
              <w:left w:val="nil"/>
              <w:bottom w:val="single" w:sz="4" w:space="0" w:color="7F7F7F"/>
              <w:right w:val="nil"/>
            </w:tcBorders>
            <w:noWrap/>
            <w:vAlign w:val="center"/>
          </w:tcPr>
          <w:p w14:paraId="4EBE4CF7"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 xml:space="preserve">Comparative study, Multiple-choice discourse </w:t>
            </w:r>
            <w:r>
              <w:rPr>
                <w:kern w:val="0"/>
                <w:sz w:val="20"/>
                <w:szCs w:val="21"/>
                <w14:ligatures w14:val="none"/>
              </w:rPr>
              <w:lastRenderedPageBreak/>
              <w:t>completion task (MDCT)</w:t>
            </w:r>
          </w:p>
        </w:tc>
        <w:tc>
          <w:tcPr>
            <w:tcW w:w="2835" w:type="dxa"/>
            <w:tcBorders>
              <w:top w:val="nil"/>
              <w:left w:val="nil"/>
              <w:bottom w:val="single" w:sz="4" w:space="0" w:color="7F7F7F"/>
              <w:right w:val="nil"/>
            </w:tcBorders>
            <w:noWrap/>
            <w:vAlign w:val="center"/>
          </w:tcPr>
          <w:p w14:paraId="759B6CAE"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Negotiation and scaffolding were aided by pair collaboration.</w:t>
            </w:r>
          </w:p>
        </w:tc>
        <w:tc>
          <w:tcPr>
            <w:tcW w:w="896" w:type="dxa"/>
            <w:tcBorders>
              <w:top w:val="nil"/>
              <w:left w:val="nil"/>
              <w:bottom w:val="single" w:sz="4" w:space="0" w:color="7F7F7F"/>
              <w:right w:val="nil"/>
            </w:tcBorders>
            <w:noWrap/>
            <w:vAlign w:val="center"/>
          </w:tcPr>
          <w:p w14:paraId="66A53DF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36</w:t>
            </w:r>
          </w:p>
        </w:tc>
      </w:tr>
      <w:tr w:rsidR="00394822" w14:paraId="35564E44"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6D468851" w14:textId="6026CA6C"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2</w:t>
            </w:r>
            <w:r w:rsidR="00AA3EBF">
              <w:rPr>
                <w:rFonts w:hint="eastAsia"/>
                <w:kern w:val="0"/>
                <w:sz w:val="20"/>
                <w:szCs w:val="21"/>
                <w14:ligatures w14:val="none"/>
              </w:rPr>
              <w:t>0</w:t>
            </w:r>
          </w:p>
        </w:tc>
        <w:tc>
          <w:tcPr>
            <w:tcW w:w="992" w:type="dxa"/>
            <w:tcBorders>
              <w:top w:val="single" w:sz="4" w:space="0" w:color="7F7F7F"/>
              <w:left w:val="nil"/>
              <w:bottom w:val="single" w:sz="4" w:space="0" w:color="7F7F7F"/>
              <w:right w:val="nil"/>
            </w:tcBorders>
            <w:vAlign w:val="center"/>
          </w:tcPr>
          <w:p w14:paraId="45E86D5B"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Zhu </w:t>
            </w:r>
            <w:r>
              <w:rPr>
                <w:rFonts w:hint="eastAsia"/>
                <w:kern w:val="0"/>
                <w:sz w:val="20"/>
                <w:szCs w:val="21"/>
                <w14:ligatures w14:val="none"/>
              </w:rPr>
              <w:t xml:space="preserve">and Wang </w:t>
            </w:r>
            <w:r>
              <w:rPr>
                <w:kern w:val="0"/>
                <w:sz w:val="20"/>
                <w:szCs w:val="21"/>
                <w14:ligatures w14:val="none"/>
              </w:rPr>
              <w:t>(2022) (Zhu &amp; Wang, 2022)</w:t>
            </w:r>
          </w:p>
          <w:p w14:paraId="00B8257D"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United States</w:t>
            </w:r>
          </w:p>
        </w:tc>
        <w:tc>
          <w:tcPr>
            <w:tcW w:w="1854" w:type="dxa"/>
            <w:tcBorders>
              <w:top w:val="single" w:sz="4" w:space="0" w:color="7F7F7F"/>
              <w:left w:val="nil"/>
              <w:bottom w:val="single" w:sz="4" w:space="0" w:color="7F7F7F"/>
              <w:right w:val="nil"/>
            </w:tcBorders>
            <w:noWrap/>
            <w:vAlign w:val="center"/>
          </w:tcPr>
          <w:p w14:paraId="3382CF5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Disagreement by Chinese speakers of English: evidence of pragmatic transfer</w:t>
            </w:r>
          </w:p>
        </w:tc>
        <w:tc>
          <w:tcPr>
            <w:tcW w:w="2219" w:type="dxa"/>
            <w:tcBorders>
              <w:top w:val="single" w:sz="4" w:space="0" w:color="7F7F7F"/>
              <w:left w:val="nil"/>
              <w:bottom w:val="single" w:sz="4" w:space="0" w:color="7F7F7F"/>
              <w:right w:val="nil"/>
            </w:tcBorders>
            <w:noWrap/>
            <w:vAlign w:val="center"/>
          </w:tcPr>
          <w:p w14:paraId="3C5895B8"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Investigate pragmatic transfer in Chinese English speakers in disagreement.</w:t>
            </w:r>
          </w:p>
        </w:tc>
        <w:tc>
          <w:tcPr>
            <w:tcW w:w="1314" w:type="dxa"/>
            <w:tcBorders>
              <w:top w:val="single" w:sz="4" w:space="0" w:color="7F7F7F"/>
              <w:left w:val="nil"/>
              <w:bottom w:val="single" w:sz="4" w:space="0" w:color="7F7F7F"/>
              <w:right w:val="nil"/>
            </w:tcBorders>
            <w:vAlign w:val="center"/>
          </w:tcPr>
          <w:p w14:paraId="2D748EC5"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Datasets of naturalistic conversations </w:t>
            </w:r>
          </w:p>
        </w:tc>
        <w:tc>
          <w:tcPr>
            <w:tcW w:w="1418" w:type="dxa"/>
            <w:tcBorders>
              <w:top w:val="single" w:sz="4" w:space="0" w:color="7F7F7F"/>
              <w:left w:val="nil"/>
              <w:bottom w:val="single" w:sz="4" w:space="0" w:color="7F7F7F"/>
              <w:right w:val="nil"/>
            </w:tcBorders>
            <w:noWrap/>
            <w:vAlign w:val="center"/>
          </w:tcPr>
          <w:p w14:paraId="6B95F255"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Naturalistic analysis of conversations</w:t>
            </w:r>
          </w:p>
        </w:tc>
        <w:tc>
          <w:tcPr>
            <w:tcW w:w="2835" w:type="dxa"/>
            <w:tcBorders>
              <w:top w:val="single" w:sz="4" w:space="0" w:color="7F7F7F"/>
              <w:left w:val="nil"/>
              <w:bottom w:val="single" w:sz="4" w:space="0" w:color="7F7F7F"/>
              <w:right w:val="nil"/>
            </w:tcBorders>
            <w:noWrap/>
            <w:vAlign w:val="center"/>
          </w:tcPr>
          <w:p w14:paraId="727E8DC1"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L1/L2 English disagreement differs significantly.</w:t>
            </w:r>
          </w:p>
        </w:tc>
        <w:tc>
          <w:tcPr>
            <w:tcW w:w="896" w:type="dxa"/>
            <w:tcBorders>
              <w:top w:val="single" w:sz="4" w:space="0" w:color="7F7F7F"/>
              <w:left w:val="nil"/>
              <w:bottom w:val="single" w:sz="4" w:space="0" w:color="7F7F7F"/>
              <w:right w:val="nil"/>
            </w:tcBorders>
            <w:noWrap/>
            <w:vAlign w:val="center"/>
          </w:tcPr>
          <w:p w14:paraId="7C110E1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36</w:t>
            </w:r>
          </w:p>
        </w:tc>
      </w:tr>
      <w:tr w:rsidR="00394822" w14:paraId="307E17EE"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nil"/>
              <w:left w:val="nil"/>
              <w:bottom w:val="single" w:sz="4" w:space="0" w:color="7F7F7F"/>
              <w:right w:val="nil"/>
            </w:tcBorders>
            <w:noWrap/>
            <w:vAlign w:val="center"/>
          </w:tcPr>
          <w:p w14:paraId="4B054C50" w14:textId="1DCD3AEB"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2</w:t>
            </w:r>
            <w:r w:rsidR="00AA3EBF">
              <w:rPr>
                <w:rFonts w:hint="eastAsia"/>
                <w:kern w:val="0"/>
                <w:sz w:val="20"/>
                <w:szCs w:val="21"/>
                <w14:ligatures w14:val="none"/>
              </w:rPr>
              <w:t>1</w:t>
            </w:r>
          </w:p>
        </w:tc>
        <w:tc>
          <w:tcPr>
            <w:tcW w:w="992" w:type="dxa"/>
            <w:tcBorders>
              <w:top w:val="nil"/>
              <w:left w:val="nil"/>
              <w:bottom w:val="single" w:sz="4" w:space="0" w:color="7F7F7F"/>
              <w:right w:val="nil"/>
            </w:tcBorders>
            <w:vAlign w:val="center"/>
          </w:tcPr>
          <w:p w14:paraId="254D691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proofErr w:type="spellStart"/>
            <w:r>
              <w:rPr>
                <w:kern w:val="0"/>
                <w:sz w:val="20"/>
                <w:szCs w:val="21"/>
                <w14:ligatures w14:val="none"/>
              </w:rPr>
              <w:t>Pouromid</w:t>
            </w:r>
            <w:proofErr w:type="spellEnd"/>
            <w:r>
              <w:rPr>
                <w:kern w:val="0"/>
                <w:sz w:val="20"/>
                <w:szCs w:val="21"/>
                <w14:ligatures w14:val="none"/>
              </w:rPr>
              <w:t xml:space="preserve"> </w:t>
            </w:r>
            <w:r>
              <w:rPr>
                <w:rFonts w:hint="eastAsia"/>
                <w:kern w:val="0"/>
                <w:sz w:val="20"/>
                <w:szCs w:val="21"/>
                <w14:ligatures w14:val="none"/>
              </w:rPr>
              <w:t>and</w:t>
            </w:r>
            <w:r>
              <w:rPr>
                <w:kern w:val="0"/>
                <w:sz w:val="24"/>
                <w:szCs w:val="24"/>
                <w14:ligatures w14:val="none"/>
              </w:rPr>
              <w:t xml:space="preserve"> </w:t>
            </w:r>
            <w:proofErr w:type="spellStart"/>
            <w:r>
              <w:rPr>
                <w:kern w:val="0"/>
                <w:sz w:val="20"/>
                <w:szCs w:val="21"/>
                <w14:ligatures w14:val="none"/>
              </w:rPr>
              <w:t>Hosseininasab</w:t>
            </w:r>
            <w:proofErr w:type="spellEnd"/>
            <w:proofErr w:type="gramStart"/>
            <w:r>
              <w:rPr>
                <w:kern w:val="0"/>
                <w:sz w:val="20"/>
                <w:szCs w:val="21"/>
                <w14:ligatures w14:val="none"/>
              </w:rPr>
              <w:t xml:space="preserve">   (</w:t>
            </w:r>
            <w:proofErr w:type="gramEnd"/>
            <w:r>
              <w:rPr>
                <w:kern w:val="0"/>
                <w:sz w:val="20"/>
                <w:szCs w:val="21"/>
                <w14:ligatures w14:val="none"/>
              </w:rPr>
              <w:t>2022) (</w:t>
            </w:r>
            <w:proofErr w:type="spellStart"/>
            <w:r>
              <w:rPr>
                <w:kern w:val="0"/>
                <w:sz w:val="20"/>
                <w:szCs w:val="21"/>
                <w14:ligatures w14:val="none"/>
              </w:rPr>
              <w:t>Pouromid</w:t>
            </w:r>
            <w:proofErr w:type="spellEnd"/>
            <w:r>
              <w:rPr>
                <w:kern w:val="0"/>
                <w:sz w:val="20"/>
                <w:szCs w:val="21"/>
                <w14:ligatures w14:val="none"/>
              </w:rPr>
              <w:t xml:space="preserve"> &amp; </w:t>
            </w:r>
            <w:proofErr w:type="spellStart"/>
            <w:r>
              <w:rPr>
                <w:kern w:val="0"/>
                <w:sz w:val="20"/>
                <w:szCs w:val="21"/>
                <w14:ligatures w14:val="none"/>
              </w:rPr>
              <w:t>Hosseininasab</w:t>
            </w:r>
            <w:proofErr w:type="spellEnd"/>
            <w:r>
              <w:rPr>
                <w:kern w:val="0"/>
                <w:sz w:val="20"/>
                <w:szCs w:val="21"/>
                <w14:ligatures w14:val="none"/>
              </w:rPr>
              <w:t>, 2022)</w:t>
            </w:r>
          </w:p>
          <w:p w14:paraId="25C54A89"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Japan</w:t>
            </w:r>
          </w:p>
        </w:tc>
        <w:tc>
          <w:tcPr>
            <w:tcW w:w="1854" w:type="dxa"/>
            <w:tcBorders>
              <w:top w:val="nil"/>
              <w:left w:val="nil"/>
              <w:bottom w:val="single" w:sz="4" w:space="0" w:color="7F7F7F"/>
              <w:right w:val="nil"/>
            </w:tcBorders>
            <w:noWrap/>
            <w:vAlign w:val="center"/>
          </w:tcPr>
          <w:p w14:paraId="1CC91F92"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Demonstrating active listenership through collaborative turn completion to display epistemic access in multi-party interactions</w:t>
            </w:r>
          </w:p>
        </w:tc>
        <w:tc>
          <w:tcPr>
            <w:tcW w:w="2219" w:type="dxa"/>
            <w:tcBorders>
              <w:top w:val="nil"/>
              <w:left w:val="nil"/>
              <w:bottom w:val="single" w:sz="4" w:space="0" w:color="7F7F7F"/>
              <w:right w:val="nil"/>
            </w:tcBorders>
            <w:noWrap/>
            <w:vAlign w:val="center"/>
          </w:tcPr>
          <w:p w14:paraId="6ACCE78C"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Investigate how active listening affects interaction co-participation.</w:t>
            </w:r>
          </w:p>
        </w:tc>
        <w:tc>
          <w:tcPr>
            <w:tcW w:w="1314" w:type="dxa"/>
            <w:tcBorders>
              <w:top w:val="nil"/>
              <w:left w:val="nil"/>
              <w:bottom w:val="single" w:sz="4" w:space="0" w:color="7F7F7F"/>
              <w:right w:val="nil"/>
            </w:tcBorders>
            <w:noWrap/>
            <w:vAlign w:val="center"/>
          </w:tcPr>
          <w:p w14:paraId="51DBD8F3"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Interactions among students in a linguistics course </w:t>
            </w:r>
          </w:p>
        </w:tc>
        <w:tc>
          <w:tcPr>
            <w:tcW w:w="1418" w:type="dxa"/>
            <w:tcBorders>
              <w:top w:val="nil"/>
              <w:left w:val="nil"/>
              <w:bottom w:val="single" w:sz="4" w:space="0" w:color="7F7F7F"/>
              <w:right w:val="nil"/>
            </w:tcBorders>
            <w:noWrap/>
            <w:vAlign w:val="center"/>
          </w:tcPr>
          <w:p w14:paraId="7A1EBC1D"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Conversational analysis of Single-case</w:t>
            </w:r>
          </w:p>
        </w:tc>
        <w:tc>
          <w:tcPr>
            <w:tcW w:w="2835" w:type="dxa"/>
            <w:tcBorders>
              <w:top w:val="nil"/>
              <w:left w:val="nil"/>
              <w:bottom w:val="single" w:sz="4" w:space="0" w:color="7F7F7F"/>
              <w:right w:val="nil"/>
            </w:tcBorders>
            <w:noWrap/>
            <w:vAlign w:val="center"/>
          </w:tcPr>
          <w:p w14:paraId="08239C93"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Active listening in order to demonstrate epistemic access is a subtle act of participation that can have a significant impact on how participants construct a course of action.</w:t>
            </w:r>
          </w:p>
        </w:tc>
        <w:tc>
          <w:tcPr>
            <w:tcW w:w="896" w:type="dxa"/>
            <w:tcBorders>
              <w:top w:val="nil"/>
              <w:left w:val="nil"/>
              <w:bottom w:val="single" w:sz="4" w:space="0" w:color="7F7F7F"/>
              <w:right w:val="nil"/>
            </w:tcBorders>
            <w:noWrap/>
            <w:vAlign w:val="center"/>
          </w:tcPr>
          <w:p w14:paraId="593A669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37</w:t>
            </w:r>
          </w:p>
        </w:tc>
      </w:tr>
      <w:tr w:rsidR="00394822" w14:paraId="4A33AFA0"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7068C8F8" w14:textId="48BBBD34"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2</w:t>
            </w:r>
            <w:r w:rsidR="00AA3EBF">
              <w:rPr>
                <w:rFonts w:hint="eastAsia"/>
                <w:kern w:val="0"/>
                <w:sz w:val="20"/>
                <w:szCs w:val="21"/>
                <w14:ligatures w14:val="none"/>
              </w:rPr>
              <w:t>2</w:t>
            </w:r>
          </w:p>
        </w:tc>
        <w:tc>
          <w:tcPr>
            <w:tcW w:w="992" w:type="dxa"/>
            <w:tcBorders>
              <w:top w:val="single" w:sz="4" w:space="0" w:color="7F7F7F"/>
              <w:left w:val="nil"/>
              <w:bottom w:val="single" w:sz="4" w:space="0" w:color="7F7F7F"/>
              <w:right w:val="nil"/>
            </w:tcBorders>
            <w:vAlign w:val="center"/>
          </w:tcPr>
          <w:p w14:paraId="7EF2C52E"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proofErr w:type="spellStart"/>
            <w:r>
              <w:rPr>
                <w:kern w:val="0"/>
                <w:sz w:val="20"/>
                <w:szCs w:val="21"/>
                <w14:ligatures w14:val="none"/>
              </w:rPr>
              <w:t>Hosseinpur</w:t>
            </w:r>
            <w:proofErr w:type="spellEnd"/>
            <w:r>
              <w:rPr>
                <w:kern w:val="0"/>
                <w:sz w:val="20"/>
                <w:szCs w:val="21"/>
                <w14:ligatures w14:val="none"/>
              </w:rPr>
              <w:t xml:space="preserve"> </w:t>
            </w:r>
            <w:r>
              <w:rPr>
                <w:rFonts w:hint="eastAsia"/>
                <w:kern w:val="0"/>
                <w:sz w:val="20"/>
                <w:szCs w:val="21"/>
                <w14:ligatures w14:val="none"/>
              </w:rPr>
              <w:t xml:space="preserve">and Kazemi </w:t>
            </w:r>
            <w:r>
              <w:rPr>
                <w:kern w:val="0"/>
                <w:sz w:val="20"/>
                <w:szCs w:val="21"/>
                <w14:ligatures w14:val="none"/>
              </w:rPr>
              <w:t>(2022) (</w:t>
            </w:r>
            <w:proofErr w:type="spellStart"/>
            <w:r>
              <w:rPr>
                <w:kern w:val="0"/>
                <w:sz w:val="20"/>
                <w:szCs w:val="21"/>
                <w14:ligatures w14:val="none"/>
              </w:rPr>
              <w:t>Hosseinpur</w:t>
            </w:r>
            <w:proofErr w:type="spellEnd"/>
            <w:r>
              <w:rPr>
                <w:kern w:val="0"/>
                <w:sz w:val="20"/>
                <w:szCs w:val="21"/>
                <w14:ligatures w14:val="none"/>
              </w:rPr>
              <w:t xml:space="preserve"> &amp; Kazemi, 2022)</w:t>
            </w:r>
          </w:p>
          <w:p w14:paraId="428375EA"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Iran </w:t>
            </w:r>
          </w:p>
        </w:tc>
        <w:tc>
          <w:tcPr>
            <w:tcW w:w="1854" w:type="dxa"/>
            <w:tcBorders>
              <w:top w:val="single" w:sz="4" w:space="0" w:color="7F7F7F"/>
              <w:left w:val="nil"/>
              <w:bottom w:val="single" w:sz="4" w:space="0" w:color="7F7F7F"/>
              <w:right w:val="nil"/>
            </w:tcBorders>
            <w:noWrap/>
            <w:vAlign w:val="center"/>
          </w:tcPr>
          <w:p w14:paraId="484F63C1"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Composing strategies employed by high-and low-performing Iranian EFL students in essay writing classes</w:t>
            </w:r>
          </w:p>
        </w:tc>
        <w:tc>
          <w:tcPr>
            <w:tcW w:w="2219" w:type="dxa"/>
            <w:tcBorders>
              <w:top w:val="single" w:sz="4" w:space="0" w:color="7F7F7F"/>
              <w:left w:val="nil"/>
              <w:bottom w:val="single" w:sz="4" w:space="0" w:color="7F7F7F"/>
              <w:right w:val="nil"/>
            </w:tcBorders>
            <w:noWrap/>
            <w:vAlign w:val="center"/>
          </w:tcPr>
          <w:p w14:paraId="28B2C379"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Within the context of L2 writing research, investigate the use of writing strategies in various sociocultural contexts.</w:t>
            </w:r>
          </w:p>
        </w:tc>
        <w:tc>
          <w:tcPr>
            <w:tcW w:w="1314" w:type="dxa"/>
            <w:tcBorders>
              <w:top w:val="single" w:sz="4" w:space="0" w:color="7F7F7F"/>
              <w:left w:val="nil"/>
              <w:bottom w:val="single" w:sz="4" w:space="0" w:color="7F7F7F"/>
              <w:right w:val="nil"/>
            </w:tcBorders>
            <w:noWrap/>
            <w:vAlign w:val="center"/>
          </w:tcPr>
          <w:p w14:paraId="6D01C30F"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58 high- and low-performing Iranian EFL writers in essay writing classes.</w:t>
            </w:r>
          </w:p>
        </w:tc>
        <w:tc>
          <w:tcPr>
            <w:tcW w:w="1418" w:type="dxa"/>
            <w:tcBorders>
              <w:top w:val="single" w:sz="4" w:space="0" w:color="7F7F7F"/>
              <w:left w:val="nil"/>
              <w:bottom w:val="single" w:sz="4" w:space="0" w:color="7F7F7F"/>
              <w:right w:val="nil"/>
            </w:tcBorders>
            <w:noWrap/>
            <w:vAlign w:val="center"/>
          </w:tcPr>
          <w:p w14:paraId="77A508F0"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Descriptive study</w:t>
            </w:r>
          </w:p>
        </w:tc>
        <w:tc>
          <w:tcPr>
            <w:tcW w:w="2835" w:type="dxa"/>
            <w:tcBorders>
              <w:top w:val="single" w:sz="4" w:space="0" w:color="7F7F7F"/>
              <w:left w:val="nil"/>
              <w:bottom w:val="single" w:sz="4" w:space="0" w:color="7F7F7F"/>
              <w:right w:val="nil"/>
            </w:tcBorders>
            <w:noWrap/>
            <w:vAlign w:val="center"/>
          </w:tcPr>
          <w:p w14:paraId="1154CE02"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Metacognitive strategies significantly predict English writing ability</w:t>
            </w:r>
          </w:p>
        </w:tc>
        <w:tc>
          <w:tcPr>
            <w:tcW w:w="896" w:type="dxa"/>
            <w:tcBorders>
              <w:top w:val="single" w:sz="4" w:space="0" w:color="7F7F7F"/>
              <w:left w:val="nil"/>
              <w:bottom w:val="single" w:sz="4" w:space="0" w:color="7F7F7F"/>
              <w:right w:val="nil"/>
            </w:tcBorders>
            <w:noWrap/>
            <w:vAlign w:val="center"/>
          </w:tcPr>
          <w:p w14:paraId="7D6FEF13"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35</w:t>
            </w:r>
          </w:p>
        </w:tc>
      </w:tr>
      <w:tr w:rsidR="00394822" w14:paraId="27010716"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3BE5738D" w14:textId="388C8C27"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2</w:t>
            </w:r>
            <w:r w:rsidR="00AA3EBF">
              <w:rPr>
                <w:rFonts w:hint="eastAsia"/>
                <w:kern w:val="0"/>
                <w:sz w:val="20"/>
                <w:szCs w:val="21"/>
                <w14:ligatures w14:val="none"/>
              </w:rPr>
              <w:t>3</w:t>
            </w:r>
          </w:p>
        </w:tc>
        <w:tc>
          <w:tcPr>
            <w:tcW w:w="992" w:type="dxa"/>
            <w:tcBorders>
              <w:top w:val="single" w:sz="4" w:space="0" w:color="7F7F7F"/>
              <w:left w:val="nil"/>
              <w:bottom w:val="single" w:sz="4" w:space="0" w:color="7F7F7F"/>
              <w:right w:val="nil"/>
            </w:tcBorders>
            <w:vAlign w:val="center"/>
          </w:tcPr>
          <w:p w14:paraId="6C8ECDAC"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Zhang (2021) (Zhang, 2021)</w:t>
            </w:r>
          </w:p>
          <w:p w14:paraId="3D753D70"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United States</w:t>
            </w:r>
          </w:p>
        </w:tc>
        <w:tc>
          <w:tcPr>
            <w:tcW w:w="1854" w:type="dxa"/>
            <w:tcBorders>
              <w:top w:val="single" w:sz="4" w:space="0" w:color="7F7F7F"/>
              <w:left w:val="nil"/>
              <w:bottom w:val="single" w:sz="4" w:space="0" w:color="7F7F7F"/>
              <w:right w:val="nil"/>
            </w:tcBorders>
            <w:noWrap/>
            <w:vAlign w:val="center"/>
          </w:tcPr>
          <w:p w14:paraId="55C2D890"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Combining computer-mediated communication with data-driven instruction: EFL learners' pragmatic development of compliment responses</w:t>
            </w:r>
          </w:p>
        </w:tc>
        <w:tc>
          <w:tcPr>
            <w:tcW w:w="2219" w:type="dxa"/>
            <w:tcBorders>
              <w:top w:val="single" w:sz="4" w:space="0" w:color="7F7F7F"/>
              <w:left w:val="nil"/>
              <w:bottom w:val="single" w:sz="4" w:space="0" w:color="7F7F7F"/>
              <w:right w:val="nil"/>
            </w:tcBorders>
            <w:noWrap/>
            <w:vAlign w:val="center"/>
          </w:tcPr>
          <w:p w14:paraId="2EFAF537"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Investigate the impact of CMC with data-driven instruction on the pragmatic development of EFL learners.</w:t>
            </w:r>
          </w:p>
        </w:tc>
        <w:tc>
          <w:tcPr>
            <w:tcW w:w="1314" w:type="dxa"/>
            <w:tcBorders>
              <w:top w:val="single" w:sz="4" w:space="0" w:color="7F7F7F"/>
              <w:left w:val="nil"/>
              <w:bottom w:val="single" w:sz="4" w:space="0" w:color="7F7F7F"/>
              <w:right w:val="nil"/>
            </w:tcBorders>
            <w:noWrap/>
            <w:vAlign w:val="center"/>
          </w:tcPr>
          <w:p w14:paraId="6C9DFDD8"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Fifty-nine Chinese university-level EFL students</w:t>
            </w:r>
          </w:p>
        </w:tc>
        <w:tc>
          <w:tcPr>
            <w:tcW w:w="1418" w:type="dxa"/>
            <w:tcBorders>
              <w:top w:val="single" w:sz="4" w:space="0" w:color="7F7F7F"/>
              <w:left w:val="nil"/>
              <w:bottom w:val="single" w:sz="4" w:space="0" w:color="7F7F7F"/>
              <w:right w:val="nil"/>
            </w:tcBorders>
            <w:noWrap/>
            <w:vAlign w:val="center"/>
          </w:tcPr>
          <w:p w14:paraId="0420308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Mixed-method study</w:t>
            </w:r>
          </w:p>
        </w:tc>
        <w:tc>
          <w:tcPr>
            <w:tcW w:w="2835" w:type="dxa"/>
            <w:tcBorders>
              <w:top w:val="single" w:sz="4" w:space="0" w:color="7F7F7F"/>
              <w:left w:val="nil"/>
              <w:bottom w:val="single" w:sz="4" w:space="0" w:color="7F7F7F"/>
              <w:right w:val="nil"/>
            </w:tcBorders>
            <w:noWrap/>
            <w:vAlign w:val="center"/>
          </w:tcPr>
          <w:p w14:paraId="61F22B4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CMC combined with data-driven instruction improved the experimental group's CR appropriateness and variety.</w:t>
            </w:r>
          </w:p>
        </w:tc>
        <w:tc>
          <w:tcPr>
            <w:tcW w:w="896" w:type="dxa"/>
            <w:tcBorders>
              <w:top w:val="single" w:sz="4" w:space="0" w:color="7F7F7F"/>
              <w:left w:val="nil"/>
              <w:bottom w:val="single" w:sz="4" w:space="0" w:color="7F7F7F"/>
              <w:right w:val="nil"/>
            </w:tcBorders>
            <w:noWrap/>
            <w:vAlign w:val="center"/>
          </w:tcPr>
          <w:p w14:paraId="2272BE73"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37</w:t>
            </w:r>
          </w:p>
        </w:tc>
      </w:tr>
      <w:tr w:rsidR="00394822" w14:paraId="14319C2D"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4C19B4FA" w14:textId="1244DD30"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2</w:t>
            </w:r>
            <w:r w:rsidR="00175A86">
              <w:rPr>
                <w:rFonts w:hint="eastAsia"/>
                <w:kern w:val="0"/>
                <w:sz w:val="20"/>
                <w:szCs w:val="21"/>
                <w14:ligatures w14:val="none"/>
              </w:rPr>
              <w:t>4</w:t>
            </w:r>
          </w:p>
        </w:tc>
        <w:tc>
          <w:tcPr>
            <w:tcW w:w="992" w:type="dxa"/>
            <w:tcBorders>
              <w:top w:val="single" w:sz="4" w:space="0" w:color="7F7F7F"/>
              <w:left w:val="nil"/>
              <w:bottom w:val="single" w:sz="4" w:space="0" w:color="7F7F7F"/>
              <w:right w:val="nil"/>
            </w:tcBorders>
            <w:vAlign w:val="center"/>
          </w:tcPr>
          <w:p w14:paraId="1140AF45"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Nergis (2021) (Nergis, 2021)</w:t>
            </w:r>
          </w:p>
          <w:p w14:paraId="79909260"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Turkey </w:t>
            </w:r>
          </w:p>
        </w:tc>
        <w:tc>
          <w:tcPr>
            <w:tcW w:w="1854" w:type="dxa"/>
            <w:tcBorders>
              <w:top w:val="single" w:sz="4" w:space="0" w:color="7F7F7F"/>
              <w:left w:val="nil"/>
              <w:bottom w:val="single" w:sz="4" w:space="0" w:color="7F7F7F"/>
              <w:right w:val="nil"/>
            </w:tcBorders>
            <w:noWrap/>
            <w:vAlign w:val="center"/>
          </w:tcPr>
          <w:p w14:paraId="3A4C6270"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Can explicit instruction of formulaic sequences enhance L2 oral fluency?</w:t>
            </w:r>
          </w:p>
        </w:tc>
        <w:tc>
          <w:tcPr>
            <w:tcW w:w="2219" w:type="dxa"/>
            <w:tcBorders>
              <w:top w:val="single" w:sz="4" w:space="0" w:color="7F7F7F"/>
              <w:left w:val="nil"/>
              <w:bottom w:val="single" w:sz="4" w:space="0" w:color="7F7F7F"/>
              <w:right w:val="nil"/>
            </w:tcBorders>
            <w:noWrap/>
            <w:vAlign w:val="center"/>
          </w:tcPr>
          <w:p w14:paraId="1F693C61"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Examine the effects of explicit learning of formulaic sequences on advanced EAP learners' L2 utterance fluency.</w:t>
            </w:r>
          </w:p>
        </w:tc>
        <w:tc>
          <w:tcPr>
            <w:tcW w:w="1314" w:type="dxa"/>
            <w:tcBorders>
              <w:top w:val="single" w:sz="4" w:space="0" w:color="7F7F7F"/>
              <w:left w:val="nil"/>
              <w:bottom w:val="single" w:sz="4" w:space="0" w:color="7F7F7F"/>
              <w:right w:val="nil"/>
            </w:tcBorders>
            <w:noWrap/>
            <w:vAlign w:val="center"/>
          </w:tcPr>
          <w:p w14:paraId="233E18FA"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Two groups of freshmen students</w:t>
            </w:r>
          </w:p>
        </w:tc>
        <w:tc>
          <w:tcPr>
            <w:tcW w:w="1418" w:type="dxa"/>
            <w:tcBorders>
              <w:top w:val="single" w:sz="4" w:space="0" w:color="7F7F7F"/>
              <w:left w:val="nil"/>
              <w:bottom w:val="single" w:sz="4" w:space="0" w:color="7F7F7F"/>
              <w:right w:val="nil"/>
            </w:tcBorders>
            <w:noWrap/>
            <w:vAlign w:val="center"/>
          </w:tcPr>
          <w:p w14:paraId="2050EA17"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Experimental study</w:t>
            </w:r>
          </w:p>
        </w:tc>
        <w:tc>
          <w:tcPr>
            <w:tcW w:w="2835" w:type="dxa"/>
            <w:tcBorders>
              <w:top w:val="single" w:sz="4" w:space="0" w:color="7F7F7F"/>
              <w:left w:val="nil"/>
              <w:bottom w:val="single" w:sz="4" w:space="0" w:color="7F7F7F"/>
              <w:right w:val="nil"/>
            </w:tcBorders>
            <w:noWrap/>
            <w:vAlign w:val="center"/>
          </w:tcPr>
          <w:p w14:paraId="5B3141D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For EFL learners, explicit learning and </w:t>
            </w:r>
            <w:proofErr w:type="spellStart"/>
            <w:r>
              <w:rPr>
                <w:kern w:val="0"/>
                <w:sz w:val="20"/>
                <w:szCs w:val="21"/>
                <w14:ligatures w14:val="none"/>
              </w:rPr>
              <w:t>practise</w:t>
            </w:r>
            <w:proofErr w:type="spellEnd"/>
            <w:r>
              <w:rPr>
                <w:kern w:val="0"/>
                <w:sz w:val="20"/>
                <w:szCs w:val="21"/>
                <w14:ligatures w14:val="none"/>
              </w:rPr>
              <w:t xml:space="preserve"> of formulaic language in language instruction is beneficial.</w:t>
            </w:r>
          </w:p>
        </w:tc>
        <w:tc>
          <w:tcPr>
            <w:tcW w:w="896" w:type="dxa"/>
            <w:tcBorders>
              <w:top w:val="single" w:sz="4" w:space="0" w:color="7F7F7F"/>
              <w:left w:val="nil"/>
              <w:bottom w:val="single" w:sz="4" w:space="0" w:color="7F7F7F"/>
              <w:right w:val="nil"/>
            </w:tcBorders>
            <w:noWrap/>
            <w:vAlign w:val="center"/>
          </w:tcPr>
          <w:p w14:paraId="0BB75B2E"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36</w:t>
            </w:r>
          </w:p>
        </w:tc>
      </w:tr>
      <w:tr w:rsidR="00394822" w14:paraId="46FDD297"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4E41211F" w14:textId="7B02D311"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2</w:t>
            </w:r>
            <w:r w:rsidR="00175A86">
              <w:rPr>
                <w:rFonts w:hint="eastAsia"/>
                <w:kern w:val="0"/>
                <w:sz w:val="20"/>
                <w:szCs w:val="21"/>
                <w14:ligatures w14:val="none"/>
              </w:rPr>
              <w:t>5</w:t>
            </w:r>
          </w:p>
        </w:tc>
        <w:tc>
          <w:tcPr>
            <w:tcW w:w="992" w:type="dxa"/>
            <w:tcBorders>
              <w:top w:val="single" w:sz="4" w:space="0" w:color="7F7F7F"/>
              <w:left w:val="nil"/>
              <w:bottom w:val="single" w:sz="4" w:space="0" w:color="7F7F7F"/>
              <w:right w:val="nil"/>
            </w:tcBorders>
            <w:vAlign w:val="center"/>
          </w:tcPr>
          <w:p w14:paraId="33A073A3"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Su et al. (2022) (H. Su &amp; Lu, 2022)</w:t>
            </w:r>
          </w:p>
          <w:p w14:paraId="2D80F1BC"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China</w:t>
            </w:r>
          </w:p>
        </w:tc>
        <w:tc>
          <w:tcPr>
            <w:tcW w:w="1854" w:type="dxa"/>
            <w:tcBorders>
              <w:top w:val="single" w:sz="4" w:space="0" w:color="7F7F7F"/>
              <w:left w:val="nil"/>
              <w:bottom w:val="single" w:sz="4" w:space="0" w:color="7F7F7F"/>
              <w:right w:val="nil"/>
            </w:tcBorders>
            <w:noWrap/>
            <w:vAlign w:val="center"/>
          </w:tcPr>
          <w:p w14:paraId="46C671A5"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Assessing pragmatic performance in advanced L2 academic writing through the lens of local grammars: A case study of 'exemplification'</w:t>
            </w:r>
          </w:p>
        </w:tc>
        <w:tc>
          <w:tcPr>
            <w:tcW w:w="2219" w:type="dxa"/>
            <w:tcBorders>
              <w:top w:val="single" w:sz="4" w:space="0" w:color="7F7F7F"/>
              <w:left w:val="nil"/>
              <w:bottom w:val="single" w:sz="4" w:space="0" w:color="7F7F7F"/>
              <w:right w:val="nil"/>
            </w:tcBorders>
            <w:noWrap/>
            <w:vAlign w:val="center"/>
          </w:tcPr>
          <w:p w14:paraId="46029132"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Investigate the relationship between L2 English writing proficiency and pragmatic exemplification performance.</w:t>
            </w:r>
          </w:p>
        </w:tc>
        <w:tc>
          <w:tcPr>
            <w:tcW w:w="1314" w:type="dxa"/>
            <w:tcBorders>
              <w:top w:val="single" w:sz="4" w:space="0" w:color="7F7F7F"/>
              <w:left w:val="nil"/>
              <w:bottom w:val="single" w:sz="4" w:space="0" w:color="7F7F7F"/>
              <w:right w:val="nil"/>
            </w:tcBorders>
            <w:noWrap/>
            <w:vAlign w:val="center"/>
          </w:tcPr>
          <w:p w14:paraId="6B89053A"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Chinese undergraduate EFL learners, Chinese postgraduate EFL learners, expert writers</w:t>
            </w:r>
          </w:p>
        </w:tc>
        <w:tc>
          <w:tcPr>
            <w:tcW w:w="1418" w:type="dxa"/>
            <w:tcBorders>
              <w:top w:val="single" w:sz="4" w:space="0" w:color="7F7F7F"/>
              <w:left w:val="nil"/>
              <w:bottom w:val="single" w:sz="4" w:space="0" w:color="7F7F7F"/>
              <w:right w:val="nil"/>
            </w:tcBorders>
            <w:noWrap/>
            <w:vAlign w:val="center"/>
          </w:tcPr>
          <w:p w14:paraId="029A68A7"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Case study</w:t>
            </w:r>
          </w:p>
        </w:tc>
        <w:tc>
          <w:tcPr>
            <w:tcW w:w="2835" w:type="dxa"/>
            <w:tcBorders>
              <w:top w:val="single" w:sz="4" w:space="0" w:color="7F7F7F"/>
              <w:left w:val="nil"/>
              <w:bottom w:val="single" w:sz="4" w:space="0" w:color="7F7F7F"/>
              <w:right w:val="nil"/>
            </w:tcBorders>
            <w:noWrap/>
            <w:vAlign w:val="center"/>
          </w:tcPr>
          <w:p w14:paraId="78AD7567"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Proficiency is associated with an increase in the frequency, quantity, strategic use, and variety of exemplificatory markers and local grammar patterns.</w:t>
            </w:r>
          </w:p>
        </w:tc>
        <w:tc>
          <w:tcPr>
            <w:tcW w:w="896" w:type="dxa"/>
            <w:tcBorders>
              <w:top w:val="single" w:sz="4" w:space="0" w:color="7F7F7F"/>
              <w:left w:val="nil"/>
              <w:bottom w:val="single" w:sz="4" w:space="0" w:color="7F7F7F"/>
              <w:right w:val="nil"/>
            </w:tcBorders>
            <w:noWrap/>
            <w:vAlign w:val="center"/>
          </w:tcPr>
          <w:p w14:paraId="317DED1A"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35</w:t>
            </w:r>
          </w:p>
        </w:tc>
      </w:tr>
      <w:tr w:rsidR="00394822" w14:paraId="6627DF4F"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1284C406" w14:textId="580350EA"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lastRenderedPageBreak/>
              <w:t>2</w:t>
            </w:r>
            <w:r w:rsidR="00175A86">
              <w:rPr>
                <w:rFonts w:hint="eastAsia"/>
                <w:kern w:val="0"/>
                <w:sz w:val="20"/>
                <w:szCs w:val="21"/>
                <w14:ligatures w14:val="none"/>
              </w:rPr>
              <w:t>6</w:t>
            </w:r>
          </w:p>
        </w:tc>
        <w:tc>
          <w:tcPr>
            <w:tcW w:w="992" w:type="dxa"/>
            <w:tcBorders>
              <w:top w:val="single" w:sz="4" w:space="0" w:color="7F7F7F"/>
              <w:left w:val="nil"/>
              <w:bottom w:val="single" w:sz="4" w:space="0" w:color="7F7F7F"/>
              <w:right w:val="nil"/>
            </w:tcBorders>
            <w:vAlign w:val="center"/>
          </w:tcPr>
          <w:p w14:paraId="0A60D381"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House et al. (2021) (House et al., 2021)</w:t>
            </w:r>
          </w:p>
          <w:p w14:paraId="3F9EAD9E"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Germany</w:t>
            </w:r>
          </w:p>
        </w:tc>
        <w:tc>
          <w:tcPr>
            <w:tcW w:w="1854" w:type="dxa"/>
            <w:tcBorders>
              <w:top w:val="single" w:sz="4" w:space="0" w:color="7F7F7F"/>
              <w:left w:val="nil"/>
              <w:bottom w:val="single" w:sz="4" w:space="0" w:color="7F7F7F"/>
              <w:right w:val="nil"/>
            </w:tcBorders>
            <w:noWrap/>
            <w:vAlign w:val="center"/>
          </w:tcPr>
          <w:p w14:paraId="45775140"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Altered speech act indication: A problem for foreign language learners?</w:t>
            </w:r>
          </w:p>
        </w:tc>
        <w:tc>
          <w:tcPr>
            <w:tcW w:w="2219" w:type="dxa"/>
            <w:tcBorders>
              <w:top w:val="single" w:sz="4" w:space="0" w:color="7F7F7F"/>
              <w:left w:val="nil"/>
              <w:bottom w:val="single" w:sz="4" w:space="0" w:color="7F7F7F"/>
              <w:right w:val="nil"/>
            </w:tcBorders>
            <w:noWrap/>
            <w:vAlign w:val="center"/>
          </w:tcPr>
          <w:p w14:paraId="0D74EFB3"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Investigate how Chinese EFL learners evaluate altered speech act indications of conventionalized expressions.</w:t>
            </w:r>
          </w:p>
        </w:tc>
        <w:tc>
          <w:tcPr>
            <w:tcW w:w="1314" w:type="dxa"/>
            <w:tcBorders>
              <w:top w:val="single" w:sz="4" w:space="0" w:color="7F7F7F"/>
              <w:left w:val="nil"/>
              <w:bottom w:val="single" w:sz="4" w:space="0" w:color="7F7F7F"/>
              <w:right w:val="nil"/>
            </w:tcBorders>
            <w:noWrap/>
            <w:vAlign w:val="center"/>
          </w:tcPr>
          <w:p w14:paraId="5A1C6BA2"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Chinese learners of English</w:t>
            </w:r>
          </w:p>
        </w:tc>
        <w:tc>
          <w:tcPr>
            <w:tcW w:w="1418" w:type="dxa"/>
            <w:tcBorders>
              <w:top w:val="single" w:sz="4" w:space="0" w:color="7F7F7F"/>
              <w:left w:val="nil"/>
              <w:bottom w:val="single" w:sz="4" w:space="0" w:color="7F7F7F"/>
              <w:right w:val="nil"/>
            </w:tcBorders>
            <w:noWrap/>
            <w:vAlign w:val="center"/>
          </w:tcPr>
          <w:p w14:paraId="0F5A1C3E"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Corpus-based investigation</w:t>
            </w:r>
          </w:p>
        </w:tc>
        <w:tc>
          <w:tcPr>
            <w:tcW w:w="2835" w:type="dxa"/>
            <w:tcBorders>
              <w:top w:val="single" w:sz="4" w:space="0" w:color="7F7F7F"/>
              <w:left w:val="nil"/>
              <w:bottom w:val="single" w:sz="4" w:space="0" w:color="7F7F7F"/>
              <w:right w:val="nil"/>
            </w:tcBorders>
            <w:noWrap/>
            <w:vAlign w:val="center"/>
          </w:tcPr>
          <w:p w14:paraId="0EFA29B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All types of altered speech act indication present problems for Chinese learners of English</w:t>
            </w:r>
          </w:p>
        </w:tc>
        <w:tc>
          <w:tcPr>
            <w:tcW w:w="896" w:type="dxa"/>
            <w:tcBorders>
              <w:top w:val="single" w:sz="4" w:space="0" w:color="7F7F7F"/>
              <w:left w:val="nil"/>
              <w:bottom w:val="single" w:sz="4" w:space="0" w:color="7F7F7F"/>
              <w:right w:val="nil"/>
            </w:tcBorders>
            <w:noWrap/>
            <w:vAlign w:val="center"/>
          </w:tcPr>
          <w:p w14:paraId="2E1E9431"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36</w:t>
            </w:r>
          </w:p>
        </w:tc>
      </w:tr>
      <w:tr w:rsidR="00394822" w14:paraId="24CC1B46"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nil"/>
              <w:left w:val="nil"/>
              <w:bottom w:val="single" w:sz="4" w:space="0" w:color="7F7F7F"/>
              <w:right w:val="nil"/>
            </w:tcBorders>
            <w:noWrap/>
            <w:vAlign w:val="center"/>
          </w:tcPr>
          <w:p w14:paraId="22AECCCB" w14:textId="54ECC926"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2</w:t>
            </w:r>
            <w:r w:rsidR="00175A86">
              <w:rPr>
                <w:rFonts w:hint="eastAsia"/>
                <w:kern w:val="0"/>
                <w:sz w:val="20"/>
                <w:szCs w:val="21"/>
                <w14:ligatures w14:val="none"/>
              </w:rPr>
              <w:t>7</w:t>
            </w:r>
          </w:p>
        </w:tc>
        <w:tc>
          <w:tcPr>
            <w:tcW w:w="992" w:type="dxa"/>
            <w:tcBorders>
              <w:top w:val="nil"/>
              <w:left w:val="nil"/>
              <w:bottom w:val="single" w:sz="4" w:space="0" w:color="7F7F7F"/>
              <w:right w:val="nil"/>
            </w:tcBorders>
            <w:vAlign w:val="center"/>
          </w:tcPr>
          <w:p w14:paraId="26F33B39"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Xiao et al. (2023) (H. Z. Xiao et al., 2023)</w:t>
            </w:r>
          </w:p>
          <w:p w14:paraId="5C33CB61"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China </w:t>
            </w:r>
          </w:p>
        </w:tc>
        <w:tc>
          <w:tcPr>
            <w:tcW w:w="1854" w:type="dxa"/>
            <w:tcBorders>
              <w:top w:val="nil"/>
              <w:left w:val="nil"/>
              <w:bottom w:val="single" w:sz="4" w:space="0" w:color="7F7F7F"/>
              <w:right w:val="nil"/>
            </w:tcBorders>
            <w:noWrap/>
            <w:vAlign w:val="center"/>
          </w:tcPr>
          <w:p w14:paraId="4A0E21A1"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A multidimensional alignment sustainability model for language development: Evidence from L1 and L2 </w:t>
            </w:r>
            <w:proofErr w:type="spellStart"/>
            <w:r>
              <w:rPr>
                <w:kern w:val="0"/>
                <w:sz w:val="20"/>
                <w:szCs w:val="21"/>
                <w14:ligatures w14:val="none"/>
              </w:rPr>
              <w:t>semio</w:t>
            </w:r>
            <w:proofErr w:type="spellEnd"/>
            <w:r>
              <w:rPr>
                <w:kern w:val="0"/>
                <w:sz w:val="20"/>
                <w:szCs w:val="21"/>
                <w14:ligatures w14:val="none"/>
              </w:rPr>
              <w:t xml:space="preserve">-semantic and </w:t>
            </w:r>
            <w:proofErr w:type="spellStart"/>
            <w:r>
              <w:rPr>
                <w:kern w:val="0"/>
                <w:sz w:val="20"/>
                <w:szCs w:val="21"/>
                <w14:ligatures w14:val="none"/>
              </w:rPr>
              <w:t>semio</w:t>
            </w:r>
            <w:proofErr w:type="spellEnd"/>
            <w:r>
              <w:rPr>
                <w:kern w:val="0"/>
                <w:sz w:val="20"/>
                <w:szCs w:val="21"/>
                <w14:ligatures w14:val="none"/>
              </w:rPr>
              <w:t>-pragmatic markers</w:t>
            </w:r>
          </w:p>
        </w:tc>
        <w:tc>
          <w:tcPr>
            <w:tcW w:w="2219" w:type="dxa"/>
            <w:tcBorders>
              <w:top w:val="nil"/>
              <w:left w:val="nil"/>
              <w:bottom w:val="single" w:sz="4" w:space="0" w:color="7F7F7F"/>
              <w:right w:val="nil"/>
            </w:tcBorders>
            <w:noWrap/>
            <w:vAlign w:val="center"/>
          </w:tcPr>
          <w:p w14:paraId="1B2CEBB7"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Investigate language development in the context of the </w:t>
            </w:r>
            <w:proofErr w:type="spellStart"/>
            <w:r>
              <w:rPr>
                <w:kern w:val="0"/>
                <w:sz w:val="20"/>
                <w:szCs w:val="21"/>
                <w14:ligatures w14:val="none"/>
              </w:rPr>
              <w:t>Ecolinguistic</w:t>
            </w:r>
            <w:proofErr w:type="spellEnd"/>
            <w:r>
              <w:rPr>
                <w:kern w:val="0"/>
                <w:sz w:val="20"/>
                <w:szCs w:val="21"/>
                <w14:ligatures w14:val="none"/>
              </w:rPr>
              <w:t xml:space="preserve"> Continuum.</w:t>
            </w:r>
          </w:p>
        </w:tc>
        <w:tc>
          <w:tcPr>
            <w:tcW w:w="1314" w:type="dxa"/>
            <w:tcBorders>
              <w:top w:val="nil"/>
              <w:left w:val="nil"/>
              <w:bottom w:val="single" w:sz="4" w:space="0" w:color="7F7F7F"/>
              <w:right w:val="nil"/>
            </w:tcBorders>
            <w:noWrap/>
            <w:vAlign w:val="center"/>
          </w:tcPr>
          <w:p w14:paraId="255B973C"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L1 (Chinese) and L2 (English) written and spoken corpora-driven data.</w:t>
            </w:r>
          </w:p>
        </w:tc>
        <w:tc>
          <w:tcPr>
            <w:tcW w:w="1418" w:type="dxa"/>
            <w:tcBorders>
              <w:top w:val="nil"/>
              <w:left w:val="nil"/>
              <w:bottom w:val="single" w:sz="4" w:space="0" w:color="7F7F7F"/>
              <w:right w:val="nil"/>
            </w:tcBorders>
            <w:noWrap/>
            <w:vAlign w:val="center"/>
          </w:tcPr>
          <w:p w14:paraId="45C5A4C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Corpus study</w:t>
            </w:r>
          </w:p>
        </w:tc>
        <w:tc>
          <w:tcPr>
            <w:tcW w:w="2835" w:type="dxa"/>
            <w:tcBorders>
              <w:top w:val="nil"/>
              <w:left w:val="nil"/>
              <w:bottom w:val="single" w:sz="4" w:space="0" w:color="7F7F7F"/>
              <w:right w:val="nil"/>
            </w:tcBorders>
            <w:noWrap/>
            <w:vAlign w:val="center"/>
          </w:tcPr>
          <w:p w14:paraId="4A4F20D0"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There are differences in marker use distributions between L1 and L2, indicating multidimensional niches for long-term alignment development.</w:t>
            </w:r>
          </w:p>
        </w:tc>
        <w:tc>
          <w:tcPr>
            <w:tcW w:w="896" w:type="dxa"/>
            <w:tcBorders>
              <w:top w:val="nil"/>
              <w:left w:val="nil"/>
              <w:bottom w:val="single" w:sz="4" w:space="0" w:color="7F7F7F"/>
              <w:right w:val="nil"/>
            </w:tcBorders>
            <w:noWrap/>
            <w:vAlign w:val="center"/>
          </w:tcPr>
          <w:p w14:paraId="58AAA015"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37</w:t>
            </w:r>
          </w:p>
        </w:tc>
      </w:tr>
      <w:tr w:rsidR="00394822" w14:paraId="1A3FA2DD"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453F1782" w14:textId="61013D5E" w:rsidR="00394822" w:rsidRDefault="00175A86" w:rsidP="00394822">
            <w:pPr>
              <w:spacing w:before="100" w:beforeAutospacing="1" w:after="100" w:afterAutospacing="1"/>
              <w:jc w:val="center"/>
              <w:rPr>
                <w:b w:val="0"/>
                <w:bCs w:val="0"/>
                <w:kern w:val="0"/>
                <w:sz w:val="20"/>
                <w:szCs w:val="21"/>
                <w14:ligatures w14:val="none"/>
              </w:rPr>
            </w:pPr>
            <w:r>
              <w:rPr>
                <w:rFonts w:hint="eastAsia"/>
                <w:kern w:val="0"/>
                <w:sz w:val="20"/>
                <w:szCs w:val="21"/>
                <w14:ligatures w14:val="none"/>
              </w:rPr>
              <w:t>28</w:t>
            </w:r>
          </w:p>
        </w:tc>
        <w:tc>
          <w:tcPr>
            <w:tcW w:w="992" w:type="dxa"/>
            <w:tcBorders>
              <w:top w:val="single" w:sz="4" w:space="0" w:color="7F7F7F"/>
              <w:left w:val="nil"/>
              <w:bottom w:val="single" w:sz="4" w:space="0" w:color="7F7F7F"/>
              <w:right w:val="nil"/>
            </w:tcBorders>
            <w:vAlign w:val="center"/>
          </w:tcPr>
          <w:p w14:paraId="2075B038"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proofErr w:type="gramStart"/>
            <w:r>
              <w:rPr>
                <w:kern w:val="0"/>
                <w:sz w:val="20"/>
                <w:szCs w:val="21"/>
                <w14:ligatures w14:val="none"/>
              </w:rPr>
              <w:t>Köylü  et al.</w:t>
            </w:r>
            <w:proofErr w:type="gramEnd"/>
            <w:r>
              <w:rPr>
                <w:kern w:val="0"/>
                <w:sz w:val="20"/>
                <w:szCs w:val="21"/>
                <w14:ligatures w14:val="none"/>
              </w:rPr>
              <w:t xml:space="preserve"> (2023) (Köylü et al., 2023)</w:t>
            </w:r>
          </w:p>
          <w:p w14:paraId="5DF60D9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Switzerland </w:t>
            </w:r>
          </w:p>
        </w:tc>
        <w:tc>
          <w:tcPr>
            <w:tcW w:w="1854" w:type="dxa"/>
            <w:tcBorders>
              <w:top w:val="single" w:sz="4" w:space="0" w:color="7F7F7F"/>
              <w:left w:val="nil"/>
              <w:bottom w:val="single" w:sz="4" w:space="0" w:color="7F7F7F"/>
              <w:right w:val="nil"/>
            </w:tcBorders>
            <w:noWrap/>
            <w:vAlign w:val="center"/>
          </w:tcPr>
          <w:p w14:paraId="43742B01"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A dynamic usage-based analysis of L2 written complexity development of sojourners</w:t>
            </w:r>
          </w:p>
        </w:tc>
        <w:tc>
          <w:tcPr>
            <w:tcW w:w="2219" w:type="dxa"/>
            <w:tcBorders>
              <w:top w:val="single" w:sz="4" w:space="0" w:color="7F7F7F"/>
              <w:left w:val="nil"/>
              <w:bottom w:val="single" w:sz="4" w:space="0" w:color="7F7F7F"/>
              <w:right w:val="nil"/>
            </w:tcBorders>
            <w:noWrap/>
            <w:vAlign w:val="center"/>
          </w:tcPr>
          <w:p w14:paraId="5AA2945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Examine the relationship between time, holistic judgments of proficiency, and the development of syntactic/lexical complexity.</w:t>
            </w:r>
          </w:p>
        </w:tc>
        <w:tc>
          <w:tcPr>
            <w:tcW w:w="1314" w:type="dxa"/>
            <w:tcBorders>
              <w:top w:val="single" w:sz="4" w:space="0" w:color="7F7F7F"/>
              <w:left w:val="nil"/>
              <w:bottom w:val="single" w:sz="4" w:space="0" w:color="7F7F7F"/>
              <w:right w:val="nil"/>
            </w:tcBorders>
            <w:noWrap/>
            <w:vAlign w:val="center"/>
          </w:tcPr>
          <w:p w14:paraId="2A219251"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Group of advanced sojourners during a semester spent abroad.</w:t>
            </w:r>
          </w:p>
        </w:tc>
        <w:tc>
          <w:tcPr>
            <w:tcW w:w="1418" w:type="dxa"/>
            <w:tcBorders>
              <w:top w:val="single" w:sz="4" w:space="0" w:color="7F7F7F"/>
              <w:left w:val="nil"/>
              <w:bottom w:val="single" w:sz="4" w:space="0" w:color="7F7F7F"/>
              <w:right w:val="nil"/>
            </w:tcBorders>
            <w:noWrap/>
            <w:vAlign w:val="center"/>
          </w:tcPr>
          <w:p w14:paraId="64F6F68E"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Content analysis</w:t>
            </w:r>
          </w:p>
        </w:tc>
        <w:tc>
          <w:tcPr>
            <w:tcW w:w="2835" w:type="dxa"/>
            <w:tcBorders>
              <w:top w:val="single" w:sz="4" w:space="0" w:color="7F7F7F"/>
              <w:left w:val="nil"/>
              <w:bottom w:val="single" w:sz="4" w:space="0" w:color="7F7F7F"/>
              <w:right w:val="nil"/>
            </w:tcBorders>
            <w:noWrap/>
            <w:vAlign w:val="center"/>
          </w:tcPr>
          <w:p w14:paraId="715D8A3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The results confirm the significance of random individual variation</w:t>
            </w:r>
          </w:p>
        </w:tc>
        <w:tc>
          <w:tcPr>
            <w:tcW w:w="896" w:type="dxa"/>
            <w:tcBorders>
              <w:top w:val="single" w:sz="4" w:space="0" w:color="7F7F7F"/>
              <w:left w:val="nil"/>
              <w:bottom w:val="single" w:sz="4" w:space="0" w:color="7F7F7F"/>
              <w:right w:val="nil"/>
            </w:tcBorders>
            <w:noWrap/>
            <w:vAlign w:val="center"/>
          </w:tcPr>
          <w:p w14:paraId="2C8C37A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35</w:t>
            </w:r>
          </w:p>
        </w:tc>
      </w:tr>
      <w:tr w:rsidR="00394822" w14:paraId="410A30CB"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1657BDAC" w14:textId="7E08AA41" w:rsidR="00394822" w:rsidRDefault="00175A86" w:rsidP="00394822">
            <w:pPr>
              <w:spacing w:before="100" w:beforeAutospacing="1" w:after="100" w:afterAutospacing="1"/>
              <w:jc w:val="center"/>
              <w:rPr>
                <w:b w:val="0"/>
                <w:bCs w:val="0"/>
                <w:kern w:val="0"/>
                <w:sz w:val="20"/>
                <w:szCs w:val="21"/>
                <w14:ligatures w14:val="none"/>
              </w:rPr>
            </w:pPr>
            <w:r>
              <w:rPr>
                <w:rFonts w:hint="eastAsia"/>
                <w:kern w:val="0"/>
                <w:sz w:val="20"/>
                <w:szCs w:val="21"/>
                <w14:ligatures w14:val="none"/>
              </w:rPr>
              <w:t>29</w:t>
            </w:r>
          </w:p>
        </w:tc>
        <w:tc>
          <w:tcPr>
            <w:tcW w:w="992" w:type="dxa"/>
            <w:tcBorders>
              <w:top w:val="single" w:sz="4" w:space="0" w:color="7F7F7F"/>
              <w:left w:val="nil"/>
              <w:bottom w:val="single" w:sz="4" w:space="0" w:color="7F7F7F"/>
              <w:right w:val="nil"/>
            </w:tcBorders>
            <w:vAlign w:val="center"/>
          </w:tcPr>
          <w:p w14:paraId="3F142A9A"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proofErr w:type="spellStart"/>
            <w:r>
              <w:rPr>
                <w:kern w:val="0"/>
                <w:sz w:val="20"/>
                <w:szCs w:val="21"/>
                <w14:ligatures w14:val="none"/>
              </w:rPr>
              <w:t>Economidou-Kogetsidis</w:t>
            </w:r>
            <w:proofErr w:type="spellEnd"/>
            <w:r>
              <w:rPr>
                <w:kern w:val="0"/>
                <w:sz w:val="20"/>
                <w:szCs w:val="21"/>
                <w14:ligatures w14:val="none"/>
              </w:rPr>
              <w:t xml:space="preserve"> (2023) (</w:t>
            </w:r>
            <w:proofErr w:type="spellStart"/>
            <w:r>
              <w:rPr>
                <w:kern w:val="0"/>
                <w:sz w:val="20"/>
                <w:szCs w:val="21"/>
                <w14:ligatures w14:val="none"/>
              </w:rPr>
              <w:t>Economidou-Kogetsidis</w:t>
            </w:r>
            <w:proofErr w:type="spellEnd"/>
            <w:r>
              <w:rPr>
                <w:kern w:val="0"/>
                <w:sz w:val="20"/>
                <w:szCs w:val="21"/>
                <w14:ligatures w14:val="none"/>
              </w:rPr>
              <w:t>, 2023)</w:t>
            </w:r>
          </w:p>
          <w:p w14:paraId="03B33BDA"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Cyprus</w:t>
            </w:r>
          </w:p>
        </w:tc>
        <w:tc>
          <w:tcPr>
            <w:tcW w:w="1854" w:type="dxa"/>
            <w:tcBorders>
              <w:top w:val="single" w:sz="4" w:space="0" w:color="7F7F7F"/>
              <w:left w:val="nil"/>
              <w:bottom w:val="single" w:sz="4" w:space="0" w:color="7F7F7F"/>
              <w:right w:val="nil"/>
            </w:tcBorders>
            <w:noWrap/>
            <w:vAlign w:val="center"/>
          </w:tcPr>
          <w:p w14:paraId="0E0BCEE0"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 "The language is very formal and appropriate": L2 learners' in/appropriateness evaluations and metapragmatic judgments in student-faculty emails</w:t>
            </w:r>
          </w:p>
        </w:tc>
        <w:tc>
          <w:tcPr>
            <w:tcW w:w="2219" w:type="dxa"/>
            <w:tcBorders>
              <w:top w:val="single" w:sz="4" w:space="0" w:color="7F7F7F"/>
              <w:left w:val="nil"/>
              <w:bottom w:val="single" w:sz="4" w:space="0" w:color="7F7F7F"/>
              <w:right w:val="nil"/>
            </w:tcBorders>
            <w:noWrap/>
            <w:vAlign w:val="center"/>
          </w:tcPr>
          <w:p w14:paraId="760C0F1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Examine the pragmatic judgments and metapragmatic explanations of Greek EFL learners in relation to student-faculty emails.</w:t>
            </w:r>
          </w:p>
        </w:tc>
        <w:tc>
          <w:tcPr>
            <w:tcW w:w="1314" w:type="dxa"/>
            <w:tcBorders>
              <w:top w:val="single" w:sz="4" w:space="0" w:color="7F7F7F"/>
              <w:left w:val="nil"/>
              <w:bottom w:val="single" w:sz="4" w:space="0" w:color="7F7F7F"/>
              <w:right w:val="nil"/>
            </w:tcBorders>
            <w:noWrap/>
            <w:vAlign w:val="center"/>
          </w:tcPr>
          <w:p w14:paraId="47ABA32C"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Greek EFL learners</w:t>
            </w:r>
          </w:p>
        </w:tc>
        <w:tc>
          <w:tcPr>
            <w:tcW w:w="1418" w:type="dxa"/>
            <w:tcBorders>
              <w:top w:val="single" w:sz="4" w:space="0" w:color="7F7F7F"/>
              <w:left w:val="nil"/>
              <w:bottom w:val="single" w:sz="4" w:space="0" w:color="7F7F7F"/>
              <w:right w:val="nil"/>
            </w:tcBorders>
            <w:noWrap/>
            <w:vAlign w:val="center"/>
          </w:tcPr>
          <w:p w14:paraId="1E9FA348"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Mixed-method study</w:t>
            </w:r>
          </w:p>
        </w:tc>
        <w:tc>
          <w:tcPr>
            <w:tcW w:w="2835" w:type="dxa"/>
            <w:tcBorders>
              <w:top w:val="single" w:sz="4" w:space="0" w:color="7F7F7F"/>
              <w:left w:val="nil"/>
              <w:bottom w:val="single" w:sz="4" w:space="0" w:color="7F7F7F"/>
              <w:right w:val="nil"/>
            </w:tcBorders>
            <w:noWrap/>
            <w:vAlign w:val="center"/>
          </w:tcPr>
          <w:p w14:paraId="6D47C1E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In evaluating status-incongruent emails, low </w:t>
            </w:r>
            <w:proofErr w:type="spellStart"/>
            <w:r>
              <w:rPr>
                <w:kern w:val="0"/>
                <w:sz w:val="20"/>
                <w:szCs w:val="21"/>
                <w14:ligatures w14:val="none"/>
              </w:rPr>
              <w:t>sociopragmatic</w:t>
            </w:r>
            <w:proofErr w:type="spellEnd"/>
            <w:r>
              <w:rPr>
                <w:kern w:val="0"/>
                <w:sz w:val="20"/>
                <w:szCs w:val="21"/>
                <w14:ligatures w14:val="none"/>
              </w:rPr>
              <w:t xml:space="preserve"> and </w:t>
            </w:r>
            <w:proofErr w:type="spellStart"/>
            <w:r>
              <w:rPr>
                <w:kern w:val="0"/>
                <w:sz w:val="20"/>
                <w:szCs w:val="21"/>
                <w14:ligatures w14:val="none"/>
              </w:rPr>
              <w:t>pragmalinguistic</w:t>
            </w:r>
            <w:proofErr w:type="spellEnd"/>
            <w:r>
              <w:rPr>
                <w:kern w:val="0"/>
                <w:sz w:val="20"/>
                <w:szCs w:val="21"/>
                <w14:ligatures w14:val="none"/>
              </w:rPr>
              <w:t xml:space="preserve"> awareness was observed.</w:t>
            </w:r>
          </w:p>
        </w:tc>
        <w:tc>
          <w:tcPr>
            <w:tcW w:w="896" w:type="dxa"/>
            <w:tcBorders>
              <w:top w:val="single" w:sz="4" w:space="0" w:color="7F7F7F"/>
              <w:left w:val="nil"/>
              <w:bottom w:val="single" w:sz="4" w:space="0" w:color="7F7F7F"/>
              <w:right w:val="nil"/>
            </w:tcBorders>
            <w:noWrap/>
            <w:vAlign w:val="center"/>
          </w:tcPr>
          <w:p w14:paraId="74E645A1"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36</w:t>
            </w:r>
          </w:p>
        </w:tc>
      </w:tr>
      <w:tr w:rsidR="00394822" w14:paraId="0C884FD7"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nil"/>
              <w:left w:val="nil"/>
              <w:bottom w:val="single" w:sz="4" w:space="0" w:color="7F7F7F"/>
              <w:right w:val="nil"/>
            </w:tcBorders>
            <w:noWrap/>
            <w:vAlign w:val="center"/>
          </w:tcPr>
          <w:p w14:paraId="3EFEA69A" w14:textId="7FCCC920"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3</w:t>
            </w:r>
            <w:r w:rsidR="00175A86">
              <w:rPr>
                <w:rFonts w:hint="eastAsia"/>
                <w:kern w:val="0"/>
                <w:sz w:val="20"/>
                <w:szCs w:val="21"/>
                <w14:ligatures w14:val="none"/>
              </w:rPr>
              <w:t>0</w:t>
            </w:r>
          </w:p>
        </w:tc>
        <w:tc>
          <w:tcPr>
            <w:tcW w:w="992" w:type="dxa"/>
            <w:tcBorders>
              <w:top w:val="nil"/>
              <w:left w:val="nil"/>
              <w:bottom w:val="single" w:sz="4" w:space="0" w:color="7F7F7F"/>
              <w:right w:val="nil"/>
            </w:tcBorders>
            <w:vAlign w:val="center"/>
          </w:tcPr>
          <w:p w14:paraId="4A4A2707"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Dippold (2023) (Dippold, 2023)</w:t>
            </w:r>
          </w:p>
          <w:p w14:paraId="19C8238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United Kingdom</w:t>
            </w:r>
          </w:p>
        </w:tc>
        <w:tc>
          <w:tcPr>
            <w:tcW w:w="1854" w:type="dxa"/>
            <w:tcBorders>
              <w:top w:val="nil"/>
              <w:left w:val="nil"/>
              <w:bottom w:val="single" w:sz="4" w:space="0" w:color="7F7F7F"/>
              <w:right w:val="nil"/>
            </w:tcBorders>
            <w:noWrap/>
            <w:vAlign w:val="center"/>
          </w:tcPr>
          <w:p w14:paraId="2E074EFA"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 "Can I have the scan on Tuesday?" User repair in interaction with a task-oriented chatbot and the question of communication skills for AI</w:t>
            </w:r>
          </w:p>
        </w:tc>
        <w:tc>
          <w:tcPr>
            <w:tcW w:w="2219" w:type="dxa"/>
            <w:tcBorders>
              <w:top w:val="nil"/>
              <w:left w:val="nil"/>
              <w:bottom w:val="single" w:sz="4" w:space="0" w:color="7F7F7F"/>
              <w:right w:val="nil"/>
            </w:tcBorders>
            <w:noWrap/>
            <w:vAlign w:val="center"/>
          </w:tcPr>
          <w:p w14:paraId="696DA65B"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Investigate user repair strategies in interactions with a task-oriented chatbot for scheduling health appointments.</w:t>
            </w:r>
          </w:p>
        </w:tc>
        <w:tc>
          <w:tcPr>
            <w:tcW w:w="1314" w:type="dxa"/>
            <w:tcBorders>
              <w:top w:val="nil"/>
              <w:left w:val="nil"/>
              <w:bottom w:val="single" w:sz="4" w:space="0" w:color="7F7F7F"/>
              <w:right w:val="nil"/>
            </w:tcBorders>
            <w:noWrap/>
            <w:vAlign w:val="center"/>
          </w:tcPr>
          <w:p w14:paraId="2E93F396"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Simulated user interactions with a chatbot.</w:t>
            </w:r>
          </w:p>
        </w:tc>
        <w:tc>
          <w:tcPr>
            <w:tcW w:w="1418" w:type="dxa"/>
            <w:tcBorders>
              <w:top w:val="nil"/>
              <w:left w:val="nil"/>
              <w:bottom w:val="single" w:sz="4" w:space="0" w:color="7F7F7F"/>
              <w:right w:val="nil"/>
            </w:tcBorders>
            <w:noWrap/>
            <w:vAlign w:val="center"/>
          </w:tcPr>
          <w:p w14:paraId="7CF48500"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Qualitative study</w:t>
            </w:r>
          </w:p>
        </w:tc>
        <w:tc>
          <w:tcPr>
            <w:tcW w:w="2835" w:type="dxa"/>
            <w:tcBorders>
              <w:top w:val="nil"/>
              <w:left w:val="nil"/>
              <w:bottom w:val="single" w:sz="4" w:space="0" w:color="7F7F7F"/>
              <w:right w:val="nil"/>
            </w:tcBorders>
            <w:noWrap/>
            <w:vAlign w:val="center"/>
          </w:tcPr>
          <w:p w14:paraId="4B9F4417"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Repair strategies that are frequently used (for example, rephrasing) may not prompt the bot to correctly </w:t>
            </w:r>
            <w:proofErr w:type="spellStart"/>
            <w:r>
              <w:rPr>
                <w:kern w:val="0"/>
                <w:sz w:val="20"/>
                <w:szCs w:val="21"/>
                <w14:ligatures w14:val="none"/>
              </w:rPr>
              <w:t>recognise</w:t>
            </w:r>
            <w:proofErr w:type="spellEnd"/>
            <w:r>
              <w:rPr>
                <w:kern w:val="0"/>
                <w:sz w:val="20"/>
                <w:szCs w:val="21"/>
                <w14:ligatures w14:val="none"/>
              </w:rPr>
              <w:t xml:space="preserve"> intent. Intent recognition is more successful with less commonly used self-repair strategies (e.g., restating the intent).</w:t>
            </w:r>
          </w:p>
        </w:tc>
        <w:tc>
          <w:tcPr>
            <w:tcW w:w="896" w:type="dxa"/>
            <w:tcBorders>
              <w:top w:val="nil"/>
              <w:left w:val="nil"/>
              <w:bottom w:val="single" w:sz="4" w:space="0" w:color="7F7F7F"/>
              <w:right w:val="nil"/>
            </w:tcBorders>
            <w:noWrap/>
            <w:vAlign w:val="center"/>
          </w:tcPr>
          <w:p w14:paraId="38040032"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38</w:t>
            </w:r>
          </w:p>
        </w:tc>
      </w:tr>
      <w:tr w:rsidR="00394822" w14:paraId="397447F2"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646B9E21" w14:textId="120E5CB2" w:rsidR="00394822" w:rsidRDefault="00394822" w:rsidP="00394822">
            <w:pPr>
              <w:spacing w:before="100" w:beforeAutospacing="1" w:after="100" w:afterAutospacing="1"/>
              <w:jc w:val="center"/>
              <w:rPr>
                <w:b w:val="0"/>
                <w:bCs w:val="0"/>
                <w:kern w:val="0"/>
                <w:sz w:val="20"/>
                <w:szCs w:val="21"/>
                <w14:ligatures w14:val="none"/>
              </w:rPr>
            </w:pPr>
            <w:r>
              <w:rPr>
                <w:kern w:val="0"/>
                <w:sz w:val="20"/>
                <w:szCs w:val="21"/>
                <w14:ligatures w14:val="none"/>
              </w:rPr>
              <w:t>3</w:t>
            </w:r>
            <w:r w:rsidR="00175A86">
              <w:rPr>
                <w:rFonts w:hint="eastAsia"/>
                <w:kern w:val="0"/>
                <w:sz w:val="20"/>
                <w:szCs w:val="21"/>
                <w14:ligatures w14:val="none"/>
              </w:rPr>
              <w:t>1</w:t>
            </w:r>
          </w:p>
        </w:tc>
        <w:tc>
          <w:tcPr>
            <w:tcW w:w="992" w:type="dxa"/>
            <w:tcBorders>
              <w:top w:val="single" w:sz="4" w:space="0" w:color="7F7F7F"/>
              <w:left w:val="nil"/>
              <w:bottom w:val="single" w:sz="4" w:space="0" w:color="7F7F7F"/>
              <w:right w:val="nil"/>
            </w:tcBorders>
            <w:vAlign w:val="center"/>
          </w:tcPr>
          <w:p w14:paraId="0F9E4C94"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Myrset (2022) (Myrset, 2022)</w:t>
            </w:r>
          </w:p>
          <w:p w14:paraId="46EC9585"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Norway </w:t>
            </w:r>
          </w:p>
        </w:tc>
        <w:tc>
          <w:tcPr>
            <w:tcW w:w="1854" w:type="dxa"/>
            <w:tcBorders>
              <w:top w:val="single" w:sz="4" w:space="0" w:color="7F7F7F"/>
              <w:left w:val="nil"/>
              <w:bottom w:val="single" w:sz="4" w:space="0" w:color="7F7F7F"/>
              <w:right w:val="nil"/>
            </w:tcBorders>
            <w:noWrap/>
            <w:vAlign w:val="center"/>
          </w:tcPr>
          <w:p w14:paraId="7D30DB4A"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 'You could win </w:t>
            </w:r>
            <w:proofErr w:type="spellStart"/>
            <w:r>
              <w:rPr>
                <w:kern w:val="0"/>
                <w:sz w:val="20"/>
                <w:szCs w:val="21"/>
                <w14:ligatures w14:val="none"/>
              </w:rPr>
              <w:t>Masterchef</w:t>
            </w:r>
            <w:proofErr w:type="spellEnd"/>
            <w:r>
              <w:rPr>
                <w:kern w:val="0"/>
                <w:sz w:val="20"/>
                <w:szCs w:val="21"/>
                <w14:ligatures w14:val="none"/>
              </w:rPr>
              <w:t xml:space="preserve"> with this soup. Can I get some more?' Request production and the impact of instruction on young EFL learners</w:t>
            </w:r>
          </w:p>
        </w:tc>
        <w:tc>
          <w:tcPr>
            <w:tcW w:w="2219" w:type="dxa"/>
            <w:tcBorders>
              <w:top w:val="single" w:sz="4" w:space="0" w:color="7F7F7F"/>
              <w:left w:val="nil"/>
              <w:bottom w:val="single" w:sz="4" w:space="0" w:color="7F7F7F"/>
              <w:right w:val="nil"/>
            </w:tcBorders>
            <w:noWrap/>
            <w:vAlign w:val="center"/>
          </w:tcPr>
          <w:p w14:paraId="5659AD21"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Investigate the effect of concept-based instruction on requests among young English learners (aged 12-13) in a Norwegian primary school.</w:t>
            </w:r>
          </w:p>
        </w:tc>
        <w:tc>
          <w:tcPr>
            <w:tcW w:w="1314" w:type="dxa"/>
            <w:tcBorders>
              <w:top w:val="single" w:sz="4" w:space="0" w:color="7F7F7F"/>
              <w:left w:val="nil"/>
              <w:bottom w:val="single" w:sz="4" w:space="0" w:color="7F7F7F"/>
              <w:right w:val="nil"/>
            </w:tcBorders>
            <w:noWrap/>
            <w:vAlign w:val="center"/>
          </w:tcPr>
          <w:p w14:paraId="49539F95"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Two intact classes of young learners.</w:t>
            </w:r>
          </w:p>
        </w:tc>
        <w:tc>
          <w:tcPr>
            <w:tcW w:w="1418" w:type="dxa"/>
            <w:tcBorders>
              <w:top w:val="single" w:sz="4" w:space="0" w:color="7F7F7F"/>
              <w:left w:val="nil"/>
              <w:bottom w:val="single" w:sz="4" w:space="0" w:color="7F7F7F"/>
              <w:right w:val="nil"/>
            </w:tcBorders>
            <w:noWrap/>
            <w:vAlign w:val="center"/>
          </w:tcPr>
          <w:p w14:paraId="281DF3BE"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Video-prompted oral discourse completion test (VODCT)</w:t>
            </w:r>
          </w:p>
        </w:tc>
        <w:tc>
          <w:tcPr>
            <w:tcW w:w="2835" w:type="dxa"/>
            <w:tcBorders>
              <w:top w:val="single" w:sz="4" w:space="0" w:color="7F7F7F"/>
              <w:left w:val="nil"/>
              <w:bottom w:val="single" w:sz="4" w:space="0" w:color="7F7F7F"/>
              <w:right w:val="nil"/>
            </w:tcBorders>
            <w:noWrap/>
            <w:vAlign w:val="center"/>
          </w:tcPr>
          <w:p w14:paraId="201C86FC"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After instruction, learners' request production showed increased variation and use of modal verbs and supportive moves.</w:t>
            </w:r>
          </w:p>
        </w:tc>
        <w:tc>
          <w:tcPr>
            <w:tcW w:w="896" w:type="dxa"/>
            <w:tcBorders>
              <w:top w:val="single" w:sz="4" w:space="0" w:color="7F7F7F"/>
              <w:left w:val="nil"/>
              <w:bottom w:val="single" w:sz="4" w:space="0" w:color="7F7F7F"/>
              <w:right w:val="nil"/>
            </w:tcBorders>
            <w:noWrap/>
            <w:vAlign w:val="center"/>
          </w:tcPr>
          <w:p w14:paraId="0173258D" w14:textId="77777777" w:rsidR="00394822" w:rsidRDefault="00394822" w:rsidP="0039482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36</w:t>
            </w:r>
          </w:p>
        </w:tc>
      </w:tr>
      <w:tr w:rsidR="00175A86" w14:paraId="6F173615" w14:textId="77777777" w:rsidTr="002F60FB">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6B0ADC7A" w14:textId="51F55CF3" w:rsidR="00175A86" w:rsidRDefault="00175A86" w:rsidP="00175A86">
            <w:pPr>
              <w:spacing w:before="100" w:beforeAutospacing="1" w:after="100" w:afterAutospacing="1"/>
              <w:jc w:val="center"/>
              <w:rPr>
                <w:kern w:val="0"/>
                <w:sz w:val="20"/>
                <w:szCs w:val="21"/>
                <w14:ligatures w14:val="none"/>
              </w:rPr>
            </w:pPr>
            <w:r>
              <w:rPr>
                <w:rFonts w:hint="eastAsia"/>
                <w:kern w:val="0"/>
                <w:sz w:val="20"/>
                <w:szCs w:val="21"/>
                <w14:ligatures w14:val="none"/>
              </w:rPr>
              <w:t>32</w:t>
            </w:r>
          </w:p>
        </w:tc>
        <w:tc>
          <w:tcPr>
            <w:tcW w:w="992" w:type="dxa"/>
            <w:tcBorders>
              <w:top w:val="single" w:sz="4" w:space="0" w:color="7F7F7F"/>
              <w:left w:val="nil"/>
              <w:bottom w:val="single" w:sz="4" w:space="0" w:color="7F7F7F"/>
              <w:right w:val="nil"/>
            </w:tcBorders>
          </w:tcPr>
          <w:p w14:paraId="3BB9EC9C" w14:textId="77777777" w:rsidR="00175A86" w:rsidRDefault="00175A86"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Siddiqa </w:t>
            </w:r>
            <w:r>
              <w:rPr>
                <w:rFonts w:hint="eastAsia"/>
                <w:kern w:val="0"/>
                <w:sz w:val="20"/>
                <w:szCs w:val="21"/>
                <w14:ligatures w14:val="none"/>
              </w:rPr>
              <w:t>and</w:t>
            </w:r>
            <w:r>
              <w:rPr>
                <w:kern w:val="0"/>
                <w:sz w:val="20"/>
                <w:szCs w:val="21"/>
                <w14:ligatures w14:val="none"/>
              </w:rPr>
              <w:t xml:space="preserve"> Whyte (2025) (Siddiqa &amp; Whyte, </w:t>
            </w:r>
            <w:r>
              <w:rPr>
                <w:kern w:val="0"/>
                <w:sz w:val="20"/>
                <w:szCs w:val="21"/>
                <w14:ligatures w14:val="none"/>
              </w:rPr>
              <w:lastRenderedPageBreak/>
              <w:t>2025)</w:t>
            </w:r>
          </w:p>
          <w:p w14:paraId="1AB91CC6" w14:textId="66B6F948" w:rsidR="00175A86" w:rsidRDefault="00175A86"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Switzerland</w:t>
            </w:r>
          </w:p>
        </w:tc>
        <w:tc>
          <w:tcPr>
            <w:tcW w:w="1854" w:type="dxa"/>
            <w:tcBorders>
              <w:top w:val="single" w:sz="4" w:space="0" w:color="7F7F7F"/>
              <w:left w:val="nil"/>
              <w:bottom w:val="single" w:sz="4" w:space="0" w:color="7F7F7F"/>
              <w:right w:val="nil"/>
            </w:tcBorders>
            <w:noWrap/>
          </w:tcPr>
          <w:p w14:paraId="4A91937F" w14:textId="14862C7B" w:rsidR="00175A86" w:rsidRDefault="00175A86"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Classroom learning of English L2 requests: Input and interactional opportunities in French secondary schools</w:t>
            </w:r>
          </w:p>
        </w:tc>
        <w:tc>
          <w:tcPr>
            <w:tcW w:w="2219" w:type="dxa"/>
            <w:tcBorders>
              <w:top w:val="single" w:sz="4" w:space="0" w:color="7F7F7F"/>
              <w:left w:val="nil"/>
              <w:bottom w:val="single" w:sz="4" w:space="0" w:color="7F7F7F"/>
              <w:right w:val="nil"/>
            </w:tcBorders>
            <w:noWrap/>
          </w:tcPr>
          <w:p w14:paraId="4DD4587C" w14:textId="7A651EAE" w:rsidR="00175A86" w:rsidRDefault="00175A86"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Investigate how textbooks, classroom interaction, and teacher beliefs shape French EFL learners' opportunities to acquire L2 requests.</w:t>
            </w:r>
          </w:p>
        </w:tc>
        <w:tc>
          <w:tcPr>
            <w:tcW w:w="1314" w:type="dxa"/>
            <w:tcBorders>
              <w:top w:val="single" w:sz="4" w:space="0" w:color="7F7F7F"/>
              <w:left w:val="nil"/>
              <w:bottom w:val="single" w:sz="4" w:space="0" w:color="7F7F7F"/>
              <w:right w:val="nil"/>
            </w:tcBorders>
            <w:noWrap/>
          </w:tcPr>
          <w:p w14:paraId="665375B8" w14:textId="1456FBAA" w:rsidR="00175A86" w:rsidRDefault="00175A86"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308 French secondary EFL students across 13 classes (Levels 1–3); 10 EFL </w:t>
            </w:r>
            <w:r>
              <w:rPr>
                <w:kern w:val="0"/>
                <w:sz w:val="20"/>
                <w:szCs w:val="21"/>
                <w14:ligatures w14:val="none"/>
              </w:rPr>
              <w:lastRenderedPageBreak/>
              <w:t>teachers</w:t>
            </w:r>
          </w:p>
        </w:tc>
        <w:tc>
          <w:tcPr>
            <w:tcW w:w="1418" w:type="dxa"/>
            <w:tcBorders>
              <w:top w:val="single" w:sz="4" w:space="0" w:color="7F7F7F"/>
              <w:left w:val="nil"/>
              <w:bottom w:val="single" w:sz="4" w:space="0" w:color="7F7F7F"/>
              <w:right w:val="nil"/>
            </w:tcBorders>
            <w:noWrap/>
          </w:tcPr>
          <w:p w14:paraId="2AD80A88" w14:textId="6801655F" w:rsidR="00175A86" w:rsidRDefault="00175A86"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 xml:space="preserve">Cross-sectional study using textbook analysis, classroom observation (39 </w:t>
            </w:r>
            <w:proofErr w:type="spellStart"/>
            <w:r>
              <w:rPr>
                <w:kern w:val="0"/>
                <w:sz w:val="20"/>
                <w:szCs w:val="21"/>
                <w14:ligatures w14:val="none"/>
              </w:rPr>
              <w:t>hrs</w:t>
            </w:r>
            <w:proofErr w:type="spellEnd"/>
            <w:r>
              <w:rPr>
                <w:kern w:val="0"/>
                <w:sz w:val="20"/>
                <w:szCs w:val="21"/>
                <w14:ligatures w14:val="none"/>
              </w:rPr>
              <w:t xml:space="preserve">), and </w:t>
            </w:r>
            <w:r>
              <w:rPr>
                <w:kern w:val="0"/>
                <w:sz w:val="20"/>
                <w:szCs w:val="21"/>
                <w14:ligatures w14:val="none"/>
              </w:rPr>
              <w:lastRenderedPageBreak/>
              <w:t>teacher interviews</w:t>
            </w:r>
          </w:p>
        </w:tc>
        <w:tc>
          <w:tcPr>
            <w:tcW w:w="2835" w:type="dxa"/>
            <w:tcBorders>
              <w:top w:val="single" w:sz="4" w:space="0" w:color="7F7F7F"/>
              <w:left w:val="nil"/>
              <w:bottom w:val="single" w:sz="4" w:space="0" w:color="7F7F7F"/>
              <w:right w:val="nil"/>
            </w:tcBorders>
            <w:noWrap/>
          </w:tcPr>
          <w:p w14:paraId="3D18D275" w14:textId="189AEBB2" w:rsidR="00175A86" w:rsidRDefault="00175A86"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Textbooks and classroom input offered limited pragmatic support; teacher beliefs and practices influenced learner opportunities for L2 requests; pragmatic development chances were minimal across levels.</w:t>
            </w:r>
          </w:p>
        </w:tc>
        <w:tc>
          <w:tcPr>
            <w:tcW w:w="896" w:type="dxa"/>
            <w:tcBorders>
              <w:top w:val="single" w:sz="4" w:space="0" w:color="7F7F7F"/>
              <w:left w:val="nil"/>
              <w:bottom w:val="single" w:sz="4" w:space="0" w:color="7F7F7F"/>
              <w:right w:val="nil"/>
            </w:tcBorders>
            <w:noWrap/>
          </w:tcPr>
          <w:p w14:paraId="7C4E9E2E" w14:textId="0A50BAA6" w:rsidR="00175A86" w:rsidRDefault="00175A86"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36</w:t>
            </w:r>
          </w:p>
        </w:tc>
      </w:tr>
      <w:tr w:rsidR="00175A86" w14:paraId="627BF5FD" w14:textId="77777777" w:rsidTr="002F60FB">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0051E73F" w14:textId="2C4A172D" w:rsidR="00175A86" w:rsidRDefault="00175A86" w:rsidP="00175A86">
            <w:pPr>
              <w:spacing w:before="100" w:beforeAutospacing="1" w:after="100" w:afterAutospacing="1"/>
              <w:jc w:val="center"/>
              <w:rPr>
                <w:kern w:val="0"/>
                <w:sz w:val="20"/>
                <w:szCs w:val="21"/>
                <w14:ligatures w14:val="none"/>
              </w:rPr>
            </w:pPr>
            <w:r>
              <w:rPr>
                <w:rFonts w:hint="eastAsia"/>
                <w:kern w:val="0"/>
                <w:sz w:val="20"/>
                <w:szCs w:val="21"/>
                <w14:ligatures w14:val="none"/>
              </w:rPr>
              <w:t>33</w:t>
            </w:r>
          </w:p>
        </w:tc>
        <w:tc>
          <w:tcPr>
            <w:tcW w:w="992" w:type="dxa"/>
            <w:tcBorders>
              <w:top w:val="single" w:sz="4" w:space="0" w:color="7F7F7F"/>
              <w:left w:val="nil"/>
              <w:bottom w:val="single" w:sz="4" w:space="0" w:color="7F7F7F"/>
              <w:right w:val="nil"/>
            </w:tcBorders>
          </w:tcPr>
          <w:p w14:paraId="34481A01" w14:textId="0D7E2722" w:rsidR="00175A86" w:rsidRDefault="00FE21CF"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sidRPr="00FE21CF">
              <w:rPr>
                <w:rFonts w:hint="eastAsia"/>
                <w:kern w:val="0"/>
                <w:sz w:val="20"/>
                <w:szCs w:val="21"/>
                <w14:ligatures w14:val="none"/>
              </w:rPr>
              <w:t xml:space="preserve">Derakhshan </w:t>
            </w:r>
            <w:r>
              <w:rPr>
                <w:rFonts w:hint="eastAsia"/>
                <w:kern w:val="0"/>
                <w:sz w:val="20"/>
                <w:szCs w:val="21"/>
                <w14:ligatures w14:val="none"/>
              </w:rPr>
              <w:t>and</w:t>
            </w:r>
            <w:r w:rsidRPr="00FE21CF">
              <w:rPr>
                <w:rFonts w:hint="eastAsia"/>
                <w:kern w:val="0"/>
                <w:sz w:val="20"/>
                <w:szCs w:val="21"/>
                <w14:ligatures w14:val="none"/>
              </w:rPr>
              <w:t xml:space="preserve"> Bai </w:t>
            </w:r>
            <w:r>
              <w:rPr>
                <w:rFonts w:hint="eastAsia"/>
                <w:kern w:val="0"/>
                <w:sz w:val="20"/>
                <w:szCs w:val="21"/>
                <w14:ligatures w14:val="none"/>
              </w:rPr>
              <w:t>(</w:t>
            </w:r>
            <w:r w:rsidRPr="00FE21CF">
              <w:rPr>
                <w:rFonts w:hint="eastAsia"/>
                <w:kern w:val="0"/>
                <w:sz w:val="20"/>
                <w:szCs w:val="21"/>
                <w14:ligatures w14:val="none"/>
              </w:rPr>
              <w:t>2025)</w:t>
            </w:r>
            <w:r>
              <w:rPr>
                <w:rFonts w:hint="eastAsia"/>
                <w:kern w:val="0"/>
                <w:sz w:val="20"/>
                <w:szCs w:val="21"/>
                <w14:ligatures w14:val="none"/>
              </w:rPr>
              <w:t xml:space="preserve"> </w:t>
            </w:r>
            <w:r>
              <w:rPr>
                <w:kern w:val="0"/>
                <w:sz w:val="20"/>
                <w:szCs w:val="21"/>
                <w14:ligatures w14:val="none"/>
              </w:rPr>
              <w:fldChar w:fldCharType="begin" w:fldLock="1"/>
            </w:r>
            <w:r w:rsidR="006D0207">
              <w:rPr>
                <w:kern w:val="0"/>
                <w:sz w:val="20"/>
                <w:szCs w:val="21"/>
                <w14:ligatures w14:val="none"/>
              </w:rPr>
              <w:instrText>ADDIN CSL_CITATION {"citationItems":[{"id":"ITEM-1","itemData":{"DOI":"https://doi.org/10.1016/j.system.2025.103605","ISSN":"0346-251X","abstract":"Learning English as a foreign language (EFL) has been substantiated to be highly emotional and emotion-laden. In many cases, the affective pressures of the field make EFL learners vulnerable to many issues and practices. However, to date, research on postgraduate EFL students' emotional vulnerabilities and associated regulatory strategies has been overlooked. The scope of literature lacks research that enlists the common sources, manifestations, and regulation strategies of second/foreign language (L2) emotional vulnerabilities. To fill these gaps, this study interviewed 20 Chinese postgraduate EFL students to showcase their perceptions, experiences, and regulatory strategies when facing emotional vulnerabilities. The findings indicated that the Chinese postgraduates displayed their emotional vulnerabilities differently by using ‘negative emotional responses,’ ‘seeking help from others,’ ‘facial expressions,’ ‘suppression,’ and ‘avoidance’ of emotional vulnerabilities. Moreover, it was demonstrated that the participants had employed a set of ‘antecedent-focused’ and ‘response-focused’ regulation strategies to cope with their emotional vulnerabilities in L2 learning. The findings are discussed, and implications for theory and practice are presented for EFL students, teachers, teacher educators, and policy-makers to situate emotionality at the center of their practice.","author":[{"dropping-particle":"","family":"Derakhshan","given":"Ali","non-dropping-particle":"","parse-names":false,"suffix":""},{"dropping-particle":"","family":"Bai","given":"Barry","non-dropping-particle":"","parse-names":false,"suffix":""}],"container-title":"System","id":"ITEM-1","issued":{"date-parts":[["2025"]]},"page":"103605","title":"Postgraduate Chinese EFL learners’ emotional vulnerability displays and regulation strategies","type":"article-journal","volume":"129"},"uris":["http://www.mendeley.com/documents/?uuid=07b3d8ce-bfd9-45cb-a6e3-592288ba1c43"]}],"mendeley":{"formattedCitation":"(Derakhshan &amp; Bai, 2025)","plainTextFormattedCitation":"(Derakhshan &amp; Bai, 2025)","previouslyFormattedCitation":"(Derakhshan &amp; Bai, 2025)"},"properties":{"noteIndex":0},"schema":"https://github.com/citation-style-language/schema/raw/master/csl-citation.json"}</w:instrText>
            </w:r>
            <w:r>
              <w:rPr>
                <w:kern w:val="0"/>
                <w:sz w:val="20"/>
                <w:szCs w:val="21"/>
                <w14:ligatures w14:val="none"/>
              </w:rPr>
              <w:fldChar w:fldCharType="separate"/>
            </w:r>
            <w:r w:rsidRPr="00FE21CF">
              <w:rPr>
                <w:noProof/>
                <w:kern w:val="0"/>
                <w:sz w:val="20"/>
                <w:szCs w:val="21"/>
                <w14:ligatures w14:val="none"/>
              </w:rPr>
              <w:t>(Derakhshan &amp; Bai, 2025)</w:t>
            </w:r>
            <w:r>
              <w:rPr>
                <w:kern w:val="0"/>
                <w:sz w:val="20"/>
                <w:szCs w:val="21"/>
                <w14:ligatures w14:val="none"/>
              </w:rPr>
              <w:fldChar w:fldCharType="end"/>
            </w:r>
          </w:p>
          <w:p w14:paraId="612106AB" w14:textId="60ED9B7B" w:rsidR="00FE21CF" w:rsidRDefault="00FE21CF"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Iran</w:t>
            </w:r>
          </w:p>
        </w:tc>
        <w:tc>
          <w:tcPr>
            <w:tcW w:w="1854" w:type="dxa"/>
            <w:tcBorders>
              <w:top w:val="single" w:sz="4" w:space="0" w:color="7F7F7F"/>
              <w:left w:val="nil"/>
              <w:bottom w:val="single" w:sz="4" w:space="0" w:color="7F7F7F"/>
              <w:right w:val="nil"/>
            </w:tcBorders>
            <w:noWrap/>
          </w:tcPr>
          <w:p w14:paraId="4B09C376" w14:textId="7DA4C656" w:rsidR="00175A86" w:rsidRDefault="00FE21CF"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sidRPr="00FE21CF">
              <w:rPr>
                <w:rFonts w:hint="eastAsia"/>
                <w:kern w:val="0"/>
                <w:sz w:val="20"/>
                <w:szCs w:val="21"/>
                <w14:ligatures w14:val="none"/>
              </w:rPr>
              <w:t>Postgraduate Chinese EFL learners</w:t>
            </w:r>
            <w:r>
              <w:rPr>
                <w:rFonts w:hint="eastAsia"/>
                <w:kern w:val="0"/>
                <w:sz w:val="20"/>
                <w:szCs w:val="21"/>
                <w14:ligatures w14:val="none"/>
              </w:rPr>
              <w:t>'</w:t>
            </w:r>
            <w:r w:rsidRPr="00FE21CF">
              <w:rPr>
                <w:rFonts w:hint="eastAsia"/>
                <w:kern w:val="0"/>
                <w:sz w:val="20"/>
                <w:szCs w:val="21"/>
                <w14:ligatures w14:val="none"/>
              </w:rPr>
              <w:t xml:space="preserve"> emotional vulnerability displays and regulation strategies</w:t>
            </w:r>
          </w:p>
        </w:tc>
        <w:tc>
          <w:tcPr>
            <w:tcW w:w="2219" w:type="dxa"/>
            <w:tcBorders>
              <w:top w:val="single" w:sz="4" w:space="0" w:color="7F7F7F"/>
              <w:left w:val="nil"/>
              <w:bottom w:val="single" w:sz="4" w:space="0" w:color="7F7F7F"/>
              <w:right w:val="nil"/>
            </w:tcBorders>
            <w:noWrap/>
          </w:tcPr>
          <w:p w14:paraId="509C58F6" w14:textId="08C141E6" w:rsidR="00175A86" w:rsidRDefault="00FE21CF"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E</w:t>
            </w:r>
            <w:r w:rsidRPr="00FE21CF">
              <w:rPr>
                <w:rFonts w:hint="eastAsia"/>
                <w:kern w:val="0"/>
                <w:sz w:val="20"/>
                <w:szCs w:val="21"/>
                <w14:ligatures w14:val="none"/>
              </w:rPr>
              <w:t>xplore Chinese postgraduate EFL students</w:t>
            </w:r>
            <w:r>
              <w:rPr>
                <w:rFonts w:hint="eastAsia"/>
                <w:kern w:val="0"/>
                <w:sz w:val="20"/>
                <w:szCs w:val="21"/>
                <w14:ligatures w14:val="none"/>
              </w:rPr>
              <w:t>'</w:t>
            </w:r>
            <w:r w:rsidRPr="00FE21CF">
              <w:rPr>
                <w:rFonts w:hint="eastAsia"/>
                <w:kern w:val="0"/>
                <w:sz w:val="20"/>
                <w:szCs w:val="21"/>
                <w14:ligatures w14:val="none"/>
              </w:rPr>
              <w:t xml:space="preserve"> emotional vulnerabilities and the strategies they use to regulate these emotions in second language learning.</w:t>
            </w:r>
          </w:p>
        </w:tc>
        <w:tc>
          <w:tcPr>
            <w:tcW w:w="1314" w:type="dxa"/>
            <w:tcBorders>
              <w:top w:val="single" w:sz="4" w:space="0" w:color="7F7F7F"/>
              <w:left w:val="nil"/>
              <w:bottom w:val="single" w:sz="4" w:space="0" w:color="7F7F7F"/>
              <w:right w:val="nil"/>
            </w:tcBorders>
            <w:noWrap/>
          </w:tcPr>
          <w:p w14:paraId="190DC011" w14:textId="0E442B5E" w:rsidR="00175A86" w:rsidRPr="00FE21CF" w:rsidRDefault="00FE21CF"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sidRPr="00FE21CF">
              <w:rPr>
                <w:rFonts w:hint="eastAsia"/>
                <w:kern w:val="0"/>
                <w:sz w:val="20"/>
                <w:szCs w:val="21"/>
                <w14:ligatures w14:val="none"/>
              </w:rPr>
              <w:t>20 Chinese postgraduate EFL students</w:t>
            </w:r>
          </w:p>
        </w:tc>
        <w:tc>
          <w:tcPr>
            <w:tcW w:w="1418" w:type="dxa"/>
            <w:tcBorders>
              <w:top w:val="single" w:sz="4" w:space="0" w:color="7F7F7F"/>
              <w:left w:val="nil"/>
              <w:bottom w:val="single" w:sz="4" w:space="0" w:color="7F7F7F"/>
              <w:right w:val="nil"/>
            </w:tcBorders>
            <w:noWrap/>
          </w:tcPr>
          <w:p w14:paraId="3F8E18D4" w14:textId="2259DCFB" w:rsidR="00175A86" w:rsidRDefault="00FE21CF"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Q</w:t>
            </w:r>
            <w:r w:rsidRPr="00FE21CF">
              <w:rPr>
                <w:rFonts w:hint="eastAsia"/>
                <w:kern w:val="0"/>
                <w:sz w:val="20"/>
                <w:szCs w:val="21"/>
                <w14:ligatures w14:val="none"/>
              </w:rPr>
              <w:t>ualitative interview-based design</w:t>
            </w:r>
          </w:p>
        </w:tc>
        <w:tc>
          <w:tcPr>
            <w:tcW w:w="2835" w:type="dxa"/>
            <w:tcBorders>
              <w:top w:val="single" w:sz="4" w:space="0" w:color="7F7F7F"/>
              <w:left w:val="nil"/>
              <w:bottom w:val="single" w:sz="4" w:space="0" w:color="7F7F7F"/>
              <w:right w:val="nil"/>
            </w:tcBorders>
            <w:noWrap/>
          </w:tcPr>
          <w:p w14:paraId="495B4FE3" w14:textId="19006DFC" w:rsidR="00175A86" w:rsidRDefault="00FE21CF" w:rsidP="00FE21C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sidRPr="00FE21CF">
              <w:rPr>
                <w:rFonts w:hint="eastAsia"/>
                <w:kern w:val="0"/>
                <w:sz w:val="20"/>
                <w:szCs w:val="21"/>
                <w14:ligatures w14:val="none"/>
              </w:rPr>
              <w:t>Students exhibited emotional vulnerabilities through negative responses, facial expressions, suppression, help-seeking, and avoidance, and used both antecedent-focused and response-focused strategies to regulate these experiences.</w:t>
            </w:r>
          </w:p>
        </w:tc>
        <w:tc>
          <w:tcPr>
            <w:tcW w:w="896" w:type="dxa"/>
            <w:tcBorders>
              <w:top w:val="single" w:sz="4" w:space="0" w:color="7F7F7F"/>
              <w:left w:val="nil"/>
              <w:bottom w:val="single" w:sz="4" w:space="0" w:color="7F7F7F"/>
              <w:right w:val="nil"/>
            </w:tcBorders>
            <w:noWrap/>
          </w:tcPr>
          <w:p w14:paraId="4F148D42" w14:textId="42ACDBE2" w:rsidR="00175A86" w:rsidRDefault="00FE21CF"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37</w:t>
            </w:r>
          </w:p>
        </w:tc>
      </w:tr>
      <w:tr w:rsidR="00175A86" w14:paraId="7E4CEBD7" w14:textId="77777777" w:rsidTr="002F60FB">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641B571F" w14:textId="099C7B7A" w:rsidR="00175A86" w:rsidRDefault="00175A86" w:rsidP="00175A86">
            <w:pPr>
              <w:spacing w:before="100" w:beforeAutospacing="1" w:after="100" w:afterAutospacing="1"/>
              <w:jc w:val="center"/>
              <w:rPr>
                <w:kern w:val="0"/>
                <w:sz w:val="20"/>
                <w:szCs w:val="21"/>
                <w14:ligatures w14:val="none"/>
              </w:rPr>
            </w:pPr>
            <w:r>
              <w:rPr>
                <w:rFonts w:hint="eastAsia"/>
                <w:kern w:val="0"/>
                <w:sz w:val="20"/>
                <w:szCs w:val="21"/>
                <w14:ligatures w14:val="none"/>
              </w:rPr>
              <w:t>34</w:t>
            </w:r>
          </w:p>
        </w:tc>
        <w:tc>
          <w:tcPr>
            <w:tcW w:w="992" w:type="dxa"/>
            <w:tcBorders>
              <w:top w:val="single" w:sz="4" w:space="0" w:color="7F7F7F"/>
              <w:left w:val="nil"/>
              <w:bottom w:val="single" w:sz="4" w:space="0" w:color="7F7F7F"/>
              <w:right w:val="nil"/>
            </w:tcBorders>
          </w:tcPr>
          <w:p w14:paraId="3B09B47A" w14:textId="77777777" w:rsidR="00175A86" w:rsidRDefault="00175A86"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Glaser </w:t>
            </w:r>
            <w:r>
              <w:rPr>
                <w:rFonts w:hint="eastAsia"/>
                <w:kern w:val="0"/>
                <w:sz w:val="20"/>
                <w:szCs w:val="21"/>
                <w14:ligatures w14:val="none"/>
              </w:rPr>
              <w:t>and</w:t>
            </w:r>
            <w:r>
              <w:rPr>
                <w:kern w:val="0"/>
                <w:sz w:val="20"/>
                <w:szCs w:val="21"/>
                <w14:ligatures w14:val="none"/>
              </w:rPr>
              <w:t xml:space="preserve"> Martínez-Flor (2025) (Glaser &amp; Martínez-Flor, 2025)</w:t>
            </w:r>
          </w:p>
          <w:p w14:paraId="07EA19F4" w14:textId="7E5D8016" w:rsidR="00175A86" w:rsidRDefault="00175A86"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Germany</w:t>
            </w:r>
          </w:p>
        </w:tc>
        <w:tc>
          <w:tcPr>
            <w:tcW w:w="1854" w:type="dxa"/>
            <w:tcBorders>
              <w:top w:val="single" w:sz="4" w:space="0" w:color="7F7F7F"/>
              <w:left w:val="nil"/>
              <w:bottom w:val="single" w:sz="4" w:space="0" w:color="7F7F7F"/>
              <w:right w:val="nil"/>
            </w:tcBorders>
            <w:noWrap/>
          </w:tcPr>
          <w:p w14:paraId="3AF26960" w14:textId="6407CF0A" w:rsidR="00175A86" w:rsidRDefault="00175A86"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Tracing a pre-service primary English teacher's development in teaching L2 pragmatics</w:t>
            </w:r>
          </w:p>
        </w:tc>
        <w:tc>
          <w:tcPr>
            <w:tcW w:w="2219" w:type="dxa"/>
            <w:tcBorders>
              <w:top w:val="single" w:sz="4" w:space="0" w:color="7F7F7F"/>
              <w:left w:val="nil"/>
              <w:bottom w:val="single" w:sz="4" w:space="0" w:color="7F7F7F"/>
              <w:right w:val="nil"/>
            </w:tcBorders>
            <w:noWrap/>
          </w:tcPr>
          <w:p w14:paraId="00C16983" w14:textId="1A9EA700" w:rsidR="00175A86" w:rsidRDefault="00175A86"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Examine knowledge, beliefs, and challenges of a pre-service teacher during pragmatics instruction in a primary EFL context.</w:t>
            </w:r>
          </w:p>
        </w:tc>
        <w:tc>
          <w:tcPr>
            <w:tcW w:w="1314" w:type="dxa"/>
            <w:tcBorders>
              <w:top w:val="single" w:sz="4" w:space="0" w:color="7F7F7F"/>
              <w:left w:val="nil"/>
              <w:bottom w:val="single" w:sz="4" w:space="0" w:color="7F7F7F"/>
              <w:right w:val="nil"/>
            </w:tcBorders>
            <w:noWrap/>
          </w:tcPr>
          <w:p w14:paraId="16F96DB5" w14:textId="537961D9" w:rsidR="00175A86" w:rsidRDefault="00175A86"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1 German pre-service primary teacher ("Laura"); two Grade 4 classes (aged 9–11) in Germany</w:t>
            </w:r>
          </w:p>
        </w:tc>
        <w:tc>
          <w:tcPr>
            <w:tcW w:w="1418" w:type="dxa"/>
            <w:tcBorders>
              <w:top w:val="single" w:sz="4" w:space="0" w:color="7F7F7F"/>
              <w:left w:val="nil"/>
              <w:bottom w:val="single" w:sz="4" w:space="0" w:color="7F7F7F"/>
              <w:right w:val="nil"/>
            </w:tcBorders>
            <w:noWrap/>
          </w:tcPr>
          <w:p w14:paraId="79F2652F" w14:textId="72AB9A2B" w:rsidR="00175A86" w:rsidRDefault="00175A86"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Design-Based Research project with two teaching cycles; four semi-structured interviews; thematic analysis</w:t>
            </w:r>
          </w:p>
        </w:tc>
        <w:tc>
          <w:tcPr>
            <w:tcW w:w="2835" w:type="dxa"/>
            <w:tcBorders>
              <w:top w:val="single" w:sz="4" w:space="0" w:color="7F7F7F"/>
              <w:left w:val="nil"/>
              <w:bottom w:val="single" w:sz="4" w:space="0" w:color="7F7F7F"/>
              <w:right w:val="nil"/>
            </w:tcBorders>
            <w:noWrap/>
          </w:tcPr>
          <w:p w14:paraId="6320BCC3" w14:textId="3C4669BE" w:rsidR="00175A86" w:rsidRDefault="00175A86"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Teacher showed gains in pedagogical content knowledge, confidence, and more positive attitudes toward L2 pragmatics teaching; highlighted the need for practical models and improved instruction-giving.</w:t>
            </w:r>
          </w:p>
        </w:tc>
        <w:tc>
          <w:tcPr>
            <w:tcW w:w="896" w:type="dxa"/>
            <w:tcBorders>
              <w:top w:val="single" w:sz="4" w:space="0" w:color="7F7F7F"/>
              <w:left w:val="nil"/>
              <w:bottom w:val="single" w:sz="4" w:space="0" w:color="7F7F7F"/>
              <w:right w:val="nil"/>
            </w:tcBorders>
            <w:noWrap/>
          </w:tcPr>
          <w:p w14:paraId="79F670A9" w14:textId="74537D41" w:rsidR="00175A86" w:rsidRDefault="00175A86" w:rsidP="00175A8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35</w:t>
            </w:r>
          </w:p>
        </w:tc>
      </w:tr>
      <w:tr w:rsidR="001272BC" w14:paraId="077A6874" w14:textId="77777777" w:rsidTr="006E1D8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70B90695" w14:textId="42C8DFEC" w:rsidR="001272BC" w:rsidRDefault="001272BC" w:rsidP="001272BC">
            <w:pPr>
              <w:spacing w:before="100" w:beforeAutospacing="1" w:after="100" w:afterAutospacing="1"/>
              <w:jc w:val="center"/>
              <w:rPr>
                <w:kern w:val="0"/>
                <w:sz w:val="20"/>
                <w:szCs w:val="21"/>
                <w14:ligatures w14:val="none"/>
              </w:rPr>
            </w:pPr>
            <w:r>
              <w:rPr>
                <w:rFonts w:hint="eastAsia"/>
                <w:kern w:val="0"/>
                <w:sz w:val="20"/>
                <w:szCs w:val="21"/>
                <w14:ligatures w14:val="none"/>
              </w:rPr>
              <w:t>35</w:t>
            </w:r>
          </w:p>
        </w:tc>
        <w:tc>
          <w:tcPr>
            <w:tcW w:w="992" w:type="dxa"/>
            <w:tcBorders>
              <w:top w:val="single" w:sz="4" w:space="0" w:color="7F7F7F"/>
              <w:left w:val="nil"/>
              <w:bottom w:val="single" w:sz="4" w:space="0" w:color="7F7F7F"/>
              <w:right w:val="nil"/>
            </w:tcBorders>
          </w:tcPr>
          <w:p w14:paraId="188216F8" w14:textId="77777777"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Wu </w:t>
            </w:r>
            <w:r>
              <w:rPr>
                <w:rFonts w:hint="eastAsia"/>
                <w:kern w:val="0"/>
                <w:sz w:val="20"/>
                <w:szCs w:val="21"/>
                <w14:ligatures w14:val="none"/>
              </w:rPr>
              <w:t>and</w:t>
            </w:r>
            <w:r>
              <w:rPr>
                <w:kern w:val="0"/>
                <w:sz w:val="20"/>
                <w:szCs w:val="21"/>
                <w14:ligatures w14:val="none"/>
              </w:rPr>
              <w:t xml:space="preserve"> Roever (2025) (Wu &amp; Roever, 2025b)</w:t>
            </w:r>
          </w:p>
          <w:p w14:paraId="053E7BBE" w14:textId="51B7F32C" w:rsidR="001272BC" w:rsidRDefault="001272BC" w:rsidP="001272BC">
            <w:pPr>
              <w:spacing w:before="100" w:beforeAutospacing="1" w:after="100" w:afterAutospacing="1"/>
              <w:ind w:left="100" w:hangingChars="50" w:hanging="100"/>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Germany</w:t>
            </w:r>
          </w:p>
        </w:tc>
        <w:tc>
          <w:tcPr>
            <w:tcW w:w="1854" w:type="dxa"/>
            <w:tcBorders>
              <w:top w:val="single" w:sz="4" w:space="0" w:color="7F7F7F"/>
              <w:left w:val="nil"/>
              <w:bottom w:val="single" w:sz="4" w:space="0" w:color="7F7F7F"/>
              <w:right w:val="nil"/>
            </w:tcBorders>
            <w:noWrap/>
          </w:tcPr>
          <w:p w14:paraId="491DD402" w14:textId="18F8B8FA"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Data from role plays and elicited conversations: L2 interactional competence</w:t>
            </w:r>
          </w:p>
        </w:tc>
        <w:tc>
          <w:tcPr>
            <w:tcW w:w="2219" w:type="dxa"/>
            <w:tcBorders>
              <w:top w:val="single" w:sz="4" w:space="0" w:color="7F7F7F"/>
              <w:left w:val="nil"/>
              <w:bottom w:val="single" w:sz="4" w:space="0" w:color="7F7F7F"/>
              <w:right w:val="nil"/>
            </w:tcBorders>
            <w:noWrap/>
          </w:tcPr>
          <w:p w14:paraId="185B1C1B" w14:textId="18DD0811"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Compare role plays and elicited conversations in capturing features of L2 interactional competence.</w:t>
            </w:r>
          </w:p>
        </w:tc>
        <w:tc>
          <w:tcPr>
            <w:tcW w:w="1314" w:type="dxa"/>
            <w:tcBorders>
              <w:top w:val="single" w:sz="4" w:space="0" w:color="7F7F7F"/>
              <w:left w:val="nil"/>
              <w:bottom w:val="single" w:sz="4" w:space="0" w:color="7F7F7F"/>
              <w:right w:val="nil"/>
            </w:tcBorders>
            <w:noWrap/>
          </w:tcPr>
          <w:p w14:paraId="7A52074E" w14:textId="728B4552"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54 L2 Chinese learners (21 nationalities) + 12 Chinese L1 speakers</w:t>
            </w:r>
          </w:p>
        </w:tc>
        <w:tc>
          <w:tcPr>
            <w:tcW w:w="1418" w:type="dxa"/>
            <w:tcBorders>
              <w:top w:val="single" w:sz="4" w:space="0" w:color="7F7F7F"/>
              <w:left w:val="nil"/>
              <w:bottom w:val="single" w:sz="4" w:space="0" w:color="7F7F7F"/>
              <w:right w:val="nil"/>
            </w:tcBorders>
            <w:noWrap/>
          </w:tcPr>
          <w:p w14:paraId="37EF30D3" w14:textId="63EF5020"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Mixed-methods study using conversation analysis of role plays and elicited conversations</w:t>
            </w:r>
          </w:p>
        </w:tc>
        <w:tc>
          <w:tcPr>
            <w:tcW w:w="2835" w:type="dxa"/>
            <w:tcBorders>
              <w:top w:val="single" w:sz="4" w:space="0" w:color="7F7F7F"/>
              <w:left w:val="nil"/>
              <w:bottom w:val="single" w:sz="4" w:space="0" w:color="7F7F7F"/>
              <w:right w:val="nil"/>
            </w:tcBorders>
            <w:noWrap/>
          </w:tcPr>
          <w:p w14:paraId="6E30E14C" w14:textId="6EE1C6D8"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Role plays better captured dispreferred actions (e.g., requests, refusals); elicited conversations better captured topic management; both methods are complementary but non-interchangeable.</w:t>
            </w:r>
          </w:p>
        </w:tc>
        <w:tc>
          <w:tcPr>
            <w:tcW w:w="896" w:type="dxa"/>
            <w:tcBorders>
              <w:top w:val="single" w:sz="4" w:space="0" w:color="7F7F7F"/>
              <w:left w:val="nil"/>
              <w:bottom w:val="single" w:sz="4" w:space="0" w:color="7F7F7F"/>
              <w:right w:val="nil"/>
            </w:tcBorders>
            <w:noWrap/>
          </w:tcPr>
          <w:p w14:paraId="644007DC" w14:textId="669649E6"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36</w:t>
            </w:r>
          </w:p>
        </w:tc>
      </w:tr>
      <w:tr w:rsidR="001272BC" w14:paraId="7DAF64A5" w14:textId="77777777" w:rsidTr="006E1D8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491D6649" w14:textId="5A1765BD" w:rsidR="001272BC" w:rsidRDefault="001272BC" w:rsidP="001272BC">
            <w:pPr>
              <w:spacing w:before="100" w:beforeAutospacing="1" w:after="100" w:afterAutospacing="1"/>
              <w:jc w:val="center"/>
              <w:rPr>
                <w:kern w:val="0"/>
                <w:sz w:val="20"/>
                <w:szCs w:val="21"/>
                <w14:ligatures w14:val="none"/>
              </w:rPr>
            </w:pPr>
            <w:r>
              <w:rPr>
                <w:rFonts w:hint="eastAsia"/>
                <w:kern w:val="0"/>
                <w:sz w:val="20"/>
                <w:szCs w:val="21"/>
                <w14:ligatures w14:val="none"/>
              </w:rPr>
              <w:t>36</w:t>
            </w:r>
          </w:p>
        </w:tc>
        <w:tc>
          <w:tcPr>
            <w:tcW w:w="992" w:type="dxa"/>
            <w:tcBorders>
              <w:top w:val="single" w:sz="4" w:space="0" w:color="7F7F7F"/>
              <w:left w:val="nil"/>
              <w:bottom w:val="single" w:sz="4" w:space="0" w:color="7F7F7F"/>
              <w:right w:val="nil"/>
            </w:tcBorders>
          </w:tcPr>
          <w:p w14:paraId="23EDDB21" w14:textId="77777777"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Yan Cong (2024) [90]</w:t>
            </w:r>
          </w:p>
          <w:p w14:paraId="07E9E45A" w14:textId="76FC350F"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United States</w:t>
            </w:r>
          </w:p>
        </w:tc>
        <w:tc>
          <w:tcPr>
            <w:tcW w:w="1854" w:type="dxa"/>
            <w:tcBorders>
              <w:top w:val="single" w:sz="4" w:space="0" w:color="7F7F7F"/>
              <w:left w:val="nil"/>
              <w:bottom w:val="single" w:sz="4" w:space="0" w:color="7F7F7F"/>
              <w:right w:val="nil"/>
            </w:tcBorders>
            <w:noWrap/>
          </w:tcPr>
          <w:p w14:paraId="32E9FE67" w14:textId="448C89DE"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Demystifying large language models in second language development research</w:t>
            </w:r>
          </w:p>
        </w:tc>
        <w:tc>
          <w:tcPr>
            <w:tcW w:w="2219" w:type="dxa"/>
            <w:tcBorders>
              <w:top w:val="single" w:sz="4" w:space="0" w:color="7F7F7F"/>
              <w:left w:val="nil"/>
              <w:bottom w:val="single" w:sz="4" w:space="0" w:color="7F7F7F"/>
              <w:right w:val="nil"/>
            </w:tcBorders>
            <w:noWrap/>
          </w:tcPr>
          <w:p w14:paraId="55D1879D" w14:textId="5E91E895"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Explore LLM-Surprisal as an index for L2 English writing development and assessment.</w:t>
            </w:r>
          </w:p>
        </w:tc>
        <w:tc>
          <w:tcPr>
            <w:tcW w:w="1314" w:type="dxa"/>
            <w:tcBorders>
              <w:top w:val="single" w:sz="4" w:space="0" w:color="7F7F7F"/>
              <w:left w:val="nil"/>
              <w:bottom w:val="single" w:sz="4" w:space="0" w:color="7F7F7F"/>
              <w:right w:val="nil"/>
            </w:tcBorders>
            <w:noWrap/>
          </w:tcPr>
          <w:p w14:paraId="624C75D6" w14:textId="1E947B4A"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297 Chinese L2 English learners</w:t>
            </w:r>
          </w:p>
        </w:tc>
        <w:tc>
          <w:tcPr>
            <w:tcW w:w="1418" w:type="dxa"/>
            <w:tcBorders>
              <w:top w:val="single" w:sz="4" w:space="0" w:color="7F7F7F"/>
              <w:left w:val="nil"/>
              <w:bottom w:val="single" w:sz="4" w:space="0" w:color="7F7F7F"/>
              <w:right w:val="nil"/>
            </w:tcBorders>
            <w:noWrap/>
          </w:tcPr>
          <w:p w14:paraId="2A5190D9" w14:textId="414A9395"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Quantitative computational study </w:t>
            </w:r>
          </w:p>
        </w:tc>
        <w:tc>
          <w:tcPr>
            <w:tcW w:w="2835" w:type="dxa"/>
            <w:tcBorders>
              <w:top w:val="single" w:sz="4" w:space="0" w:color="7F7F7F"/>
              <w:left w:val="nil"/>
              <w:bottom w:val="single" w:sz="4" w:space="0" w:color="7F7F7F"/>
              <w:right w:val="nil"/>
            </w:tcBorders>
            <w:noWrap/>
          </w:tcPr>
          <w:p w14:paraId="162EA336" w14:textId="650CA2D4"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LLM-Surprisal effectively detected L2 writing, indexed proficiency stages, and supplemented classic NLP indices; Surprisal reflects interplay between lexical diversity and syntactic complexity in L2 development.</w:t>
            </w:r>
          </w:p>
        </w:tc>
        <w:tc>
          <w:tcPr>
            <w:tcW w:w="896" w:type="dxa"/>
            <w:tcBorders>
              <w:top w:val="single" w:sz="4" w:space="0" w:color="7F7F7F"/>
              <w:left w:val="nil"/>
              <w:bottom w:val="single" w:sz="4" w:space="0" w:color="7F7F7F"/>
              <w:right w:val="nil"/>
            </w:tcBorders>
            <w:noWrap/>
          </w:tcPr>
          <w:p w14:paraId="163801F2" w14:textId="30CF87D7"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36</w:t>
            </w:r>
          </w:p>
        </w:tc>
      </w:tr>
      <w:tr w:rsidR="001272BC" w14:paraId="260B40F2" w14:textId="77777777" w:rsidTr="00890CB3">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4F8F1EB1" w14:textId="327311A6" w:rsidR="001272BC" w:rsidRDefault="001272BC" w:rsidP="001272BC">
            <w:pPr>
              <w:spacing w:before="100" w:beforeAutospacing="1" w:after="100" w:afterAutospacing="1"/>
              <w:jc w:val="center"/>
              <w:rPr>
                <w:kern w:val="0"/>
                <w:sz w:val="20"/>
                <w:szCs w:val="21"/>
                <w14:ligatures w14:val="none"/>
              </w:rPr>
            </w:pPr>
            <w:r>
              <w:rPr>
                <w:rFonts w:hint="eastAsia"/>
                <w:kern w:val="0"/>
                <w:sz w:val="20"/>
                <w:szCs w:val="21"/>
                <w14:ligatures w14:val="none"/>
              </w:rPr>
              <w:t>37</w:t>
            </w:r>
          </w:p>
        </w:tc>
        <w:tc>
          <w:tcPr>
            <w:tcW w:w="992" w:type="dxa"/>
            <w:tcBorders>
              <w:top w:val="single" w:sz="4" w:space="0" w:color="7F7F7F"/>
              <w:left w:val="nil"/>
              <w:bottom w:val="single" w:sz="4" w:space="0" w:color="7F7F7F"/>
              <w:right w:val="nil"/>
            </w:tcBorders>
            <w:vAlign w:val="center"/>
          </w:tcPr>
          <w:p w14:paraId="577F2520" w14:textId="77777777"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Rafiq </w:t>
            </w:r>
            <w:r>
              <w:rPr>
                <w:rFonts w:hint="eastAsia"/>
                <w:kern w:val="0"/>
                <w:sz w:val="20"/>
                <w:szCs w:val="21"/>
                <w14:ligatures w14:val="none"/>
              </w:rPr>
              <w:t>and</w:t>
            </w:r>
            <w:r>
              <w:rPr>
                <w:kern w:val="0"/>
                <w:sz w:val="20"/>
                <w:szCs w:val="21"/>
                <w14:ligatures w14:val="none"/>
              </w:rPr>
              <w:t xml:space="preserve"> Yavuz (2024) (Rafiq &amp; Yavuz, 2024)</w:t>
            </w:r>
          </w:p>
          <w:p w14:paraId="409946E4" w14:textId="43C03197"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Turkey</w:t>
            </w:r>
          </w:p>
        </w:tc>
        <w:tc>
          <w:tcPr>
            <w:tcW w:w="1854" w:type="dxa"/>
            <w:tcBorders>
              <w:top w:val="single" w:sz="4" w:space="0" w:color="7F7F7F"/>
              <w:left w:val="nil"/>
              <w:bottom w:val="single" w:sz="4" w:space="0" w:color="7F7F7F"/>
              <w:right w:val="nil"/>
            </w:tcBorders>
            <w:noWrap/>
          </w:tcPr>
          <w:p w14:paraId="53416375" w14:textId="3F3B3616"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 xml:space="preserve">The </w:t>
            </w:r>
            <w:r>
              <w:rPr>
                <w:kern w:val="0"/>
                <w:sz w:val="20"/>
                <w:szCs w:val="21"/>
                <w14:ligatures w14:val="none"/>
              </w:rPr>
              <w:t>Effectiveness of online pragmatic training on essential speech acts</w:t>
            </w:r>
          </w:p>
        </w:tc>
        <w:tc>
          <w:tcPr>
            <w:tcW w:w="2219" w:type="dxa"/>
            <w:tcBorders>
              <w:top w:val="single" w:sz="4" w:space="0" w:color="7F7F7F"/>
              <w:left w:val="nil"/>
              <w:bottom w:val="single" w:sz="4" w:space="0" w:color="7F7F7F"/>
              <w:right w:val="nil"/>
            </w:tcBorders>
            <w:noWrap/>
          </w:tcPr>
          <w:p w14:paraId="0E91560D" w14:textId="5D96C7BA"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Investigate if online implicit/explicit pragmatic training improves ESL learners' pragmatic competence.</w:t>
            </w:r>
          </w:p>
        </w:tc>
        <w:tc>
          <w:tcPr>
            <w:tcW w:w="1314" w:type="dxa"/>
            <w:tcBorders>
              <w:top w:val="single" w:sz="4" w:space="0" w:color="7F7F7F"/>
              <w:left w:val="nil"/>
              <w:bottom w:val="single" w:sz="4" w:space="0" w:color="7F7F7F"/>
              <w:right w:val="nil"/>
            </w:tcBorders>
            <w:noWrap/>
          </w:tcPr>
          <w:p w14:paraId="789EDC54" w14:textId="7C790D53"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60 Pakistani university students, randomized into implicit, explicit, and control groups</w:t>
            </w:r>
          </w:p>
        </w:tc>
        <w:tc>
          <w:tcPr>
            <w:tcW w:w="1418" w:type="dxa"/>
            <w:tcBorders>
              <w:top w:val="single" w:sz="4" w:space="0" w:color="7F7F7F"/>
              <w:left w:val="nil"/>
              <w:bottom w:val="single" w:sz="4" w:space="0" w:color="7F7F7F"/>
              <w:right w:val="nil"/>
            </w:tcBorders>
            <w:noWrap/>
          </w:tcPr>
          <w:p w14:paraId="017777C8" w14:textId="4B01126D"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Randomized experimental design with pre- and post-DCT tests; online sessions via Google Meet</w:t>
            </w:r>
          </w:p>
        </w:tc>
        <w:tc>
          <w:tcPr>
            <w:tcW w:w="2835" w:type="dxa"/>
            <w:tcBorders>
              <w:top w:val="single" w:sz="4" w:space="0" w:color="7F7F7F"/>
              <w:left w:val="nil"/>
              <w:bottom w:val="single" w:sz="4" w:space="0" w:color="7F7F7F"/>
              <w:right w:val="nil"/>
            </w:tcBorders>
            <w:noWrap/>
          </w:tcPr>
          <w:p w14:paraId="5F3AF178" w14:textId="032CC162"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Both training types improved pragmatic competence significantly vs control; explicit group showed larger effect size, though no significant difference between groups.</w:t>
            </w:r>
          </w:p>
        </w:tc>
        <w:tc>
          <w:tcPr>
            <w:tcW w:w="896" w:type="dxa"/>
            <w:tcBorders>
              <w:top w:val="single" w:sz="4" w:space="0" w:color="7F7F7F"/>
              <w:left w:val="nil"/>
              <w:bottom w:val="single" w:sz="4" w:space="0" w:color="7F7F7F"/>
              <w:right w:val="nil"/>
            </w:tcBorders>
            <w:noWrap/>
          </w:tcPr>
          <w:p w14:paraId="734E832D" w14:textId="670381A6"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37</w:t>
            </w:r>
          </w:p>
        </w:tc>
      </w:tr>
      <w:tr w:rsidR="001272BC" w14:paraId="40FD3FCC" w14:textId="77777777" w:rsidTr="00890CB3">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078FE3D2" w14:textId="6A695B00" w:rsidR="001272BC" w:rsidRDefault="001272BC" w:rsidP="001272BC">
            <w:pPr>
              <w:spacing w:before="100" w:beforeAutospacing="1" w:after="100" w:afterAutospacing="1"/>
              <w:jc w:val="center"/>
              <w:rPr>
                <w:kern w:val="0"/>
                <w:sz w:val="20"/>
                <w:szCs w:val="21"/>
                <w14:ligatures w14:val="none"/>
              </w:rPr>
            </w:pPr>
            <w:r>
              <w:rPr>
                <w:rFonts w:hint="eastAsia"/>
                <w:kern w:val="0"/>
                <w:sz w:val="20"/>
                <w:szCs w:val="21"/>
                <w14:ligatures w14:val="none"/>
              </w:rPr>
              <w:t>38</w:t>
            </w:r>
          </w:p>
        </w:tc>
        <w:tc>
          <w:tcPr>
            <w:tcW w:w="992" w:type="dxa"/>
            <w:tcBorders>
              <w:top w:val="single" w:sz="4" w:space="0" w:color="7F7F7F"/>
              <w:left w:val="nil"/>
              <w:bottom w:val="single" w:sz="4" w:space="0" w:color="7F7F7F"/>
              <w:right w:val="nil"/>
            </w:tcBorders>
            <w:vAlign w:val="center"/>
          </w:tcPr>
          <w:p w14:paraId="09891A09" w14:textId="77777777"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Luo </w:t>
            </w:r>
            <w:r>
              <w:rPr>
                <w:rFonts w:hint="eastAsia"/>
                <w:kern w:val="0"/>
                <w:sz w:val="20"/>
                <w:szCs w:val="21"/>
                <w14:ligatures w14:val="none"/>
              </w:rPr>
              <w:t>and</w:t>
            </w:r>
            <w:r>
              <w:rPr>
                <w:kern w:val="0"/>
                <w:sz w:val="20"/>
                <w:szCs w:val="21"/>
                <w14:ligatures w14:val="none"/>
              </w:rPr>
              <w:t xml:space="preserve"> Derakhshan (2024) (Luo &amp; Derakhshan, 2024)</w:t>
            </w:r>
          </w:p>
          <w:p w14:paraId="3623B01A" w14:textId="6BB86FAF"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China</w:t>
            </w:r>
          </w:p>
        </w:tc>
        <w:tc>
          <w:tcPr>
            <w:tcW w:w="1854" w:type="dxa"/>
            <w:tcBorders>
              <w:top w:val="single" w:sz="4" w:space="0" w:color="7F7F7F"/>
              <w:left w:val="nil"/>
              <w:bottom w:val="single" w:sz="4" w:space="0" w:color="7F7F7F"/>
              <w:right w:val="nil"/>
            </w:tcBorders>
            <w:noWrap/>
          </w:tcPr>
          <w:p w14:paraId="1227B3DC" w14:textId="1DA1710E"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Examining the role of c</w:t>
            </w:r>
            <w:r>
              <w:rPr>
                <w:kern w:val="0"/>
                <w:sz w:val="20"/>
                <w:szCs w:val="21"/>
                <w14:ligatures w14:val="none"/>
              </w:rPr>
              <w:t>lassroom climate, teacher-student relationships, and EFL students' perceived learning outcomes</w:t>
            </w:r>
          </w:p>
        </w:tc>
        <w:tc>
          <w:tcPr>
            <w:tcW w:w="2219" w:type="dxa"/>
            <w:tcBorders>
              <w:top w:val="single" w:sz="4" w:space="0" w:color="7F7F7F"/>
              <w:left w:val="nil"/>
              <w:bottom w:val="single" w:sz="4" w:space="0" w:color="7F7F7F"/>
              <w:right w:val="nil"/>
            </w:tcBorders>
            <w:noWrap/>
          </w:tcPr>
          <w:p w14:paraId="182BAD4E" w14:textId="557AEFE4"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Explore the associations and predictive roles of classroom climate and teacher-student relationship on Chinese EFL students' perceived learning outcomes.</w:t>
            </w:r>
          </w:p>
        </w:tc>
        <w:tc>
          <w:tcPr>
            <w:tcW w:w="1314" w:type="dxa"/>
            <w:tcBorders>
              <w:top w:val="single" w:sz="4" w:space="0" w:color="7F7F7F"/>
              <w:left w:val="nil"/>
              <w:bottom w:val="single" w:sz="4" w:space="0" w:color="7F7F7F"/>
              <w:right w:val="nil"/>
            </w:tcBorders>
            <w:noWrap/>
          </w:tcPr>
          <w:p w14:paraId="5EA44D85" w14:textId="6851D471"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506 Chinese EFL students (ages 16–22+) from high school to university</w:t>
            </w:r>
          </w:p>
        </w:tc>
        <w:tc>
          <w:tcPr>
            <w:tcW w:w="1418" w:type="dxa"/>
            <w:tcBorders>
              <w:top w:val="single" w:sz="4" w:space="0" w:color="7F7F7F"/>
              <w:left w:val="nil"/>
              <w:bottom w:val="single" w:sz="4" w:space="0" w:color="7F7F7F"/>
              <w:right w:val="nil"/>
            </w:tcBorders>
            <w:noWrap/>
          </w:tcPr>
          <w:p w14:paraId="603ECC65" w14:textId="264FF25B"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Quantitative survey using questionnaires and SEM analysis</w:t>
            </w:r>
          </w:p>
        </w:tc>
        <w:tc>
          <w:tcPr>
            <w:tcW w:w="2835" w:type="dxa"/>
            <w:tcBorders>
              <w:top w:val="single" w:sz="4" w:space="0" w:color="7F7F7F"/>
              <w:left w:val="nil"/>
              <w:bottom w:val="single" w:sz="4" w:space="0" w:color="7F7F7F"/>
              <w:right w:val="nil"/>
            </w:tcBorders>
            <w:noWrap/>
          </w:tcPr>
          <w:p w14:paraId="643419CD" w14:textId="641157D6"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Positive classroom climate and teacher-student relationships significantly predicted 39.8% of perceived learning outcomes; both factors jointly contributed to better learning experiences.</w:t>
            </w:r>
          </w:p>
        </w:tc>
        <w:tc>
          <w:tcPr>
            <w:tcW w:w="896" w:type="dxa"/>
            <w:tcBorders>
              <w:top w:val="single" w:sz="4" w:space="0" w:color="7F7F7F"/>
              <w:left w:val="nil"/>
              <w:bottom w:val="single" w:sz="4" w:space="0" w:color="7F7F7F"/>
              <w:right w:val="nil"/>
            </w:tcBorders>
            <w:noWrap/>
          </w:tcPr>
          <w:p w14:paraId="3DCEC8E1" w14:textId="0863913A"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38</w:t>
            </w:r>
          </w:p>
        </w:tc>
      </w:tr>
      <w:tr w:rsidR="001272BC" w14:paraId="4A66F312" w14:textId="77777777" w:rsidTr="00890CB3">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30085DD5" w14:textId="78BF16A8" w:rsidR="001272BC" w:rsidRDefault="001272BC" w:rsidP="001272BC">
            <w:pPr>
              <w:spacing w:before="100" w:beforeAutospacing="1" w:after="100" w:afterAutospacing="1"/>
              <w:jc w:val="center"/>
              <w:rPr>
                <w:kern w:val="0"/>
                <w:sz w:val="20"/>
                <w:szCs w:val="21"/>
                <w14:ligatures w14:val="none"/>
              </w:rPr>
            </w:pPr>
            <w:r>
              <w:rPr>
                <w:rFonts w:hint="eastAsia"/>
                <w:kern w:val="0"/>
                <w:sz w:val="20"/>
                <w:szCs w:val="21"/>
                <w14:ligatures w14:val="none"/>
              </w:rPr>
              <w:lastRenderedPageBreak/>
              <w:t>39</w:t>
            </w:r>
          </w:p>
        </w:tc>
        <w:tc>
          <w:tcPr>
            <w:tcW w:w="992" w:type="dxa"/>
            <w:tcBorders>
              <w:top w:val="single" w:sz="4" w:space="0" w:color="7F7F7F"/>
              <w:left w:val="nil"/>
              <w:bottom w:val="single" w:sz="4" w:space="0" w:color="7F7F7F"/>
              <w:right w:val="nil"/>
            </w:tcBorders>
            <w:vAlign w:val="center"/>
          </w:tcPr>
          <w:p w14:paraId="18F42EF5" w14:textId="77777777"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 xml:space="preserve">Wang et al. </w:t>
            </w:r>
            <w:r>
              <w:rPr>
                <w:kern w:val="0"/>
                <w:sz w:val="20"/>
                <w:szCs w:val="21"/>
                <w14:ligatures w14:val="none"/>
              </w:rPr>
              <w:t>(2024) (Wang et al., 2024)</w:t>
            </w:r>
          </w:p>
          <w:p w14:paraId="4C047E8F" w14:textId="6ABA3190"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China</w:t>
            </w:r>
          </w:p>
        </w:tc>
        <w:tc>
          <w:tcPr>
            <w:tcW w:w="1854" w:type="dxa"/>
            <w:tcBorders>
              <w:top w:val="single" w:sz="4" w:space="0" w:color="7F7F7F"/>
              <w:left w:val="nil"/>
              <w:bottom w:val="single" w:sz="4" w:space="0" w:color="7F7F7F"/>
              <w:right w:val="nil"/>
            </w:tcBorders>
            <w:noWrap/>
          </w:tcPr>
          <w:p w14:paraId="6378070B" w14:textId="040C42E0"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Exploring Chinese and Iranian EAP students' oral communication apprehension in English</w:t>
            </w:r>
          </w:p>
        </w:tc>
        <w:tc>
          <w:tcPr>
            <w:tcW w:w="2219" w:type="dxa"/>
            <w:tcBorders>
              <w:top w:val="single" w:sz="4" w:space="0" w:color="7F7F7F"/>
              <w:left w:val="nil"/>
              <w:bottom w:val="single" w:sz="4" w:space="0" w:color="7F7F7F"/>
              <w:right w:val="nil"/>
            </w:tcBorders>
            <w:noWrap/>
          </w:tcPr>
          <w:p w14:paraId="0EB31BB3" w14:textId="656E2B84"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Examine levels, causes, and coping strategies of oral communication apprehension (OCA) among Chinese and Iranian EAP students.</w:t>
            </w:r>
          </w:p>
        </w:tc>
        <w:tc>
          <w:tcPr>
            <w:tcW w:w="1314" w:type="dxa"/>
            <w:tcBorders>
              <w:top w:val="single" w:sz="4" w:space="0" w:color="7F7F7F"/>
              <w:left w:val="nil"/>
              <w:bottom w:val="single" w:sz="4" w:space="0" w:color="7F7F7F"/>
              <w:right w:val="nil"/>
            </w:tcBorders>
            <w:noWrap/>
          </w:tcPr>
          <w:p w14:paraId="083A4852" w14:textId="4E88643C"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1618 EAP students (China: 1015; Iran: 603) from various universities</w:t>
            </w:r>
          </w:p>
        </w:tc>
        <w:tc>
          <w:tcPr>
            <w:tcW w:w="1418" w:type="dxa"/>
            <w:tcBorders>
              <w:top w:val="single" w:sz="4" w:space="0" w:color="7F7F7F"/>
              <w:left w:val="nil"/>
              <w:bottom w:val="single" w:sz="4" w:space="0" w:color="7F7F7F"/>
              <w:right w:val="nil"/>
            </w:tcBorders>
            <w:noWrap/>
          </w:tcPr>
          <w:p w14:paraId="3EF51E4C" w14:textId="617A203F"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Cross-cultural mixed-methods study using questionnaires and semi-structured interviews</w:t>
            </w:r>
          </w:p>
        </w:tc>
        <w:tc>
          <w:tcPr>
            <w:tcW w:w="2835" w:type="dxa"/>
            <w:tcBorders>
              <w:top w:val="single" w:sz="4" w:space="0" w:color="7F7F7F"/>
              <w:left w:val="nil"/>
              <w:bottom w:val="single" w:sz="4" w:space="0" w:color="7F7F7F"/>
              <w:right w:val="nil"/>
            </w:tcBorders>
            <w:noWrap/>
          </w:tcPr>
          <w:p w14:paraId="5C981F67" w14:textId="2533F18C"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Chinese students had higher overall OCA; cultural differences influenced causes and coping strategies; both groups highlighted instructional and psychological factors.</w:t>
            </w:r>
          </w:p>
        </w:tc>
        <w:tc>
          <w:tcPr>
            <w:tcW w:w="896" w:type="dxa"/>
            <w:tcBorders>
              <w:top w:val="single" w:sz="4" w:space="0" w:color="7F7F7F"/>
              <w:left w:val="nil"/>
              <w:bottom w:val="single" w:sz="4" w:space="0" w:color="7F7F7F"/>
              <w:right w:val="nil"/>
            </w:tcBorders>
            <w:noWrap/>
          </w:tcPr>
          <w:p w14:paraId="52F98B6F" w14:textId="54C64779" w:rsidR="001272BC" w:rsidRDefault="001272BC" w:rsidP="001272B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37</w:t>
            </w:r>
          </w:p>
        </w:tc>
      </w:tr>
      <w:tr w:rsidR="007A22F1" w14:paraId="7134FD51" w14:textId="77777777" w:rsidTr="00890CB3">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41D2E8FA" w14:textId="71248218" w:rsidR="007A22F1" w:rsidRDefault="007A22F1" w:rsidP="007A22F1">
            <w:pPr>
              <w:spacing w:before="100" w:beforeAutospacing="1" w:after="100" w:afterAutospacing="1"/>
              <w:jc w:val="center"/>
              <w:rPr>
                <w:kern w:val="0"/>
                <w:sz w:val="20"/>
                <w:szCs w:val="21"/>
                <w14:ligatures w14:val="none"/>
              </w:rPr>
            </w:pPr>
            <w:r>
              <w:rPr>
                <w:rFonts w:hint="eastAsia"/>
                <w:kern w:val="0"/>
                <w:sz w:val="20"/>
                <w:szCs w:val="21"/>
                <w14:ligatures w14:val="none"/>
              </w:rPr>
              <w:t>40</w:t>
            </w:r>
          </w:p>
        </w:tc>
        <w:tc>
          <w:tcPr>
            <w:tcW w:w="992" w:type="dxa"/>
            <w:tcBorders>
              <w:top w:val="single" w:sz="4" w:space="0" w:color="7F7F7F"/>
              <w:left w:val="nil"/>
              <w:bottom w:val="single" w:sz="4" w:space="0" w:color="7F7F7F"/>
              <w:right w:val="nil"/>
            </w:tcBorders>
            <w:vAlign w:val="center"/>
          </w:tcPr>
          <w:p w14:paraId="676C0662" w14:textId="77777777" w:rsidR="007A22F1" w:rsidRDefault="007A22F1" w:rsidP="007A22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proofErr w:type="spellStart"/>
            <w:r>
              <w:rPr>
                <w:kern w:val="0"/>
                <w:sz w:val="20"/>
                <w:szCs w:val="21"/>
                <w14:ligatures w14:val="none"/>
              </w:rPr>
              <w:t>Suwignyo</w:t>
            </w:r>
            <w:proofErr w:type="spellEnd"/>
            <w:r>
              <w:rPr>
                <w:kern w:val="0"/>
                <w:sz w:val="20"/>
                <w:szCs w:val="21"/>
                <w14:ligatures w14:val="none"/>
              </w:rPr>
              <w:t xml:space="preserve"> et al. (2024) (</w:t>
            </w:r>
            <w:proofErr w:type="spellStart"/>
            <w:r>
              <w:rPr>
                <w:kern w:val="0"/>
                <w:sz w:val="20"/>
                <w:szCs w:val="21"/>
                <w14:ligatures w14:val="none"/>
              </w:rPr>
              <w:t>Suwignyo</w:t>
            </w:r>
            <w:proofErr w:type="spellEnd"/>
            <w:r>
              <w:rPr>
                <w:kern w:val="0"/>
                <w:sz w:val="20"/>
                <w:szCs w:val="21"/>
                <w14:ligatures w14:val="none"/>
              </w:rPr>
              <w:t xml:space="preserve"> et al., 2024)</w:t>
            </w:r>
          </w:p>
          <w:p w14:paraId="5340A506" w14:textId="363DDBA2" w:rsidR="007A22F1" w:rsidRDefault="007A22F1" w:rsidP="007A22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Indonesia</w:t>
            </w:r>
          </w:p>
        </w:tc>
        <w:tc>
          <w:tcPr>
            <w:tcW w:w="1854" w:type="dxa"/>
            <w:tcBorders>
              <w:top w:val="single" w:sz="4" w:space="0" w:color="7F7F7F"/>
              <w:left w:val="nil"/>
              <w:bottom w:val="single" w:sz="4" w:space="0" w:color="7F7F7F"/>
              <w:right w:val="nil"/>
            </w:tcBorders>
            <w:noWrap/>
          </w:tcPr>
          <w:p w14:paraId="7207A7BA" w14:textId="7E1F9D41" w:rsidR="007A22F1" w:rsidRDefault="007A22F1" w:rsidP="007A22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Interlanguage impoliteness in criticism by Javanese-background English learners</w:t>
            </w:r>
          </w:p>
        </w:tc>
        <w:tc>
          <w:tcPr>
            <w:tcW w:w="2219" w:type="dxa"/>
            <w:tcBorders>
              <w:top w:val="single" w:sz="4" w:space="0" w:color="7F7F7F"/>
              <w:left w:val="nil"/>
              <w:bottom w:val="single" w:sz="4" w:space="0" w:color="7F7F7F"/>
              <w:right w:val="nil"/>
            </w:tcBorders>
            <w:noWrap/>
          </w:tcPr>
          <w:p w14:paraId="2ABA6E87" w14:textId="1DE0CACA" w:rsidR="007A22F1" w:rsidRDefault="007A22F1" w:rsidP="007A22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Examine impoliteness use across social status and distance among Javanese-background English learners.</w:t>
            </w:r>
          </w:p>
        </w:tc>
        <w:tc>
          <w:tcPr>
            <w:tcW w:w="1314" w:type="dxa"/>
            <w:tcBorders>
              <w:top w:val="single" w:sz="4" w:space="0" w:color="7F7F7F"/>
              <w:left w:val="nil"/>
              <w:bottom w:val="single" w:sz="4" w:space="0" w:color="7F7F7F"/>
              <w:right w:val="nil"/>
            </w:tcBorders>
            <w:noWrap/>
          </w:tcPr>
          <w:p w14:paraId="4D2EF082" w14:textId="53D06ABE" w:rsidR="007A22F1" w:rsidRDefault="007A22F1" w:rsidP="007A22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40 Indonesian EFL learners (7th semester, intermediate-upper)</w:t>
            </w:r>
          </w:p>
        </w:tc>
        <w:tc>
          <w:tcPr>
            <w:tcW w:w="1418" w:type="dxa"/>
            <w:tcBorders>
              <w:top w:val="single" w:sz="4" w:space="0" w:color="7F7F7F"/>
              <w:left w:val="nil"/>
              <w:bottom w:val="single" w:sz="4" w:space="0" w:color="7F7F7F"/>
              <w:right w:val="nil"/>
            </w:tcBorders>
            <w:noWrap/>
          </w:tcPr>
          <w:p w14:paraId="1CCD7F4C" w14:textId="7D9BE02C" w:rsidR="007A22F1" w:rsidRDefault="007A22F1" w:rsidP="007A22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Mixed-methods: role-play tasks + Culpeper's taxonomy + chi-square analysis</w:t>
            </w:r>
          </w:p>
        </w:tc>
        <w:tc>
          <w:tcPr>
            <w:tcW w:w="2835" w:type="dxa"/>
            <w:tcBorders>
              <w:top w:val="single" w:sz="4" w:space="0" w:color="7F7F7F"/>
              <w:left w:val="nil"/>
              <w:bottom w:val="single" w:sz="4" w:space="0" w:color="7F7F7F"/>
              <w:right w:val="nil"/>
            </w:tcBorders>
            <w:noWrap/>
          </w:tcPr>
          <w:p w14:paraId="129958CF" w14:textId="5FF4006D" w:rsidR="007A22F1" w:rsidRDefault="007A22F1" w:rsidP="007A22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Negative impoliteness dominated; social status affected impoliteness in familiar but not unfamiliar relationships; high intonation linked to impoliteness.</w:t>
            </w:r>
          </w:p>
        </w:tc>
        <w:tc>
          <w:tcPr>
            <w:tcW w:w="896" w:type="dxa"/>
            <w:tcBorders>
              <w:top w:val="single" w:sz="4" w:space="0" w:color="7F7F7F"/>
              <w:left w:val="nil"/>
              <w:bottom w:val="single" w:sz="4" w:space="0" w:color="7F7F7F"/>
              <w:right w:val="nil"/>
            </w:tcBorders>
            <w:noWrap/>
          </w:tcPr>
          <w:p w14:paraId="1FF0BAA5" w14:textId="2EC14CF6" w:rsidR="007A22F1" w:rsidRDefault="007A22F1" w:rsidP="007A22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36</w:t>
            </w:r>
          </w:p>
        </w:tc>
      </w:tr>
      <w:tr w:rsidR="00AE71F1" w14:paraId="1C974880" w14:textId="77777777" w:rsidTr="00890CB3">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3F25184A" w14:textId="10B4389A" w:rsidR="00AE71F1" w:rsidRDefault="00AE71F1" w:rsidP="00AE71F1">
            <w:pPr>
              <w:spacing w:before="100" w:beforeAutospacing="1" w:after="100" w:afterAutospacing="1"/>
              <w:jc w:val="center"/>
              <w:rPr>
                <w:kern w:val="0"/>
                <w:sz w:val="20"/>
                <w:szCs w:val="21"/>
                <w14:ligatures w14:val="none"/>
              </w:rPr>
            </w:pPr>
            <w:r>
              <w:rPr>
                <w:rFonts w:hint="eastAsia"/>
                <w:kern w:val="0"/>
                <w:sz w:val="20"/>
                <w:szCs w:val="21"/>
                <w14:ligatures w14:val="none"/>
              </w:rPr>
              <w:t>41</w:t>
            </w:r>
          </w:p>
        </w:tc>
        <w:tc>
          <w:tcPr>
            <w:tcW w:w="992" w:type="dxa"/>
            <w:tcBorders>
              <w:top w:val="single" w:sz="4" w:space="0" w:color="7F7F7F"/>
              <w:left w:val="nil"/>
              <w:bottom w:val="single" w:sz="4" w:space="0" w:color="7F7F7F"/>
              <w:right w:val="nil"/>
            </w:tcBorders>
            <w:vAlign w:val="center"/>
          </w:tcPr>
          <w:p w14:paraId="73958A9D"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Derakhshan et al. (2024) </w:t>
            </w:r>
          </w:p>
          <w:p w14:paraId="4AF3A531"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(Derakhshan et al., 2024)</w:t>
            </w:r>
          </w:p>
          <w:p w14:paraId="0D219937" w14:textId="001521E5"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Iran</w:t>
            </w:r>
          </w:p>
        </w:tc>
        <w:tc>
          <w:tcPr>
            <w:tcW w:w="1854" w:type="dxa"/>
            <w:tcBorders>
              <w:top w:val="single" w:sz="4" w:space="0" w:color="7F7F7F"/>
              <w:left w:val="nil"/>
              <w:bottom w:val="single" w:sz="4" w:space="0" w:color="7F7F7F"/>
              <w:right w:val="nil"/>
            </w:tcBorders>
            <w:noWrap/>
          </w:tcPr>
          <w:p w14:paraId="5CFF8DA6" w14:textId="45C2008B"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Is game-based language learning general or specific-oriented? Exploring the applicability of mobile virtual realities to medical English education in the Middle East</w:t>
            </w:r>
          </w:p>
        </w:tc>
        <w:tc>
          <w:tcPr>
            <w:tcW w:w="2219" w:type="dxa"/>
            <w:tcBorders>
              <w:top w:val="single" w:sz="4" w:space="0" w:color="7F7F7F"/>
              <w:left w:val="nil"/>
              <w:bottom w:val="single" w:sz="4" w:space="0" w:color="7F7F7F"/>
              <w:right w:val="nil"/>
            </w:tcBorders>
            <w:noWrap/>
          </w:tcPr>
          <w:p w14:paraId="52E9FBC2" w14:textId="3E9BB0BC"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Investigate whether mobile VR-based educational games enhance general English and English for Medical and Academic Purposes (EMAP) productive skills among medical students in Middle Eastern universities.</w:t>
            </w:r>
          </w:p>
        </w:tc>
        <w:tc>
          <w:tcPr>
            <w:tcW w:w="1314" w:type="dxa"/>
            <w:tcBorders>
              <w:top w:val="single" w:sz="4" w:space="0" w:color="7F7F7F"/>
              <w:left w:val="nil"/>
              <w:bottom w:val="single" w:sz="4" w:space="0" w:color="7F7F7F"/>
              <w:right w:val="nil"/>
            </w:tcBorders>
            <w:noWrap/>
          </w:tcPr>
          <w:p w14:paraId="756C353D" w14:textId="75D7F469"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673 general English students and 522 EMAP students from Isfahan University of Medical Sciences; aged 19–21</w:t>
            </w:r>
          </w:p>
        </w:tc>
        <w:tc>
          <w:tcPr>
            <w:tcW w:w="1418" w:type="dxa"/>
            <w:tcBorders>
              <w:top w:val="single" w:sz="4" w:space="0" w:color="7F7F7F"/>
              <w:left w:val="nil"/>
              <w:bottom w:val="single" w:sz="4" w:space="0" w:color="7F7F7F"/>
              <w:right w:val="nil"/>
            </w:tcBorders>
            <w:noWrap/>
          </w:tcPr>
          <w:p w14:paraId="5343575A" w14:textId="78C8515C"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Quasi-experimental parallel design with stratified randomization and repeated-measures ANOVA.</w:t>
            </w:r>
          </w:p>
        </w:tc>
        <w:tc>
          <w:tcPr>
            <w:tcW w:w="2835" w:type="dxa"/>
            <w:tcBorders>
              <w:top w:val="single" w:sz="4" w:space="0" w:color="7F7F7F"/>
              <w:left w:val="nil"/>
              <w:bottom w:val="single" w:sz="4" w:space="0" w:color="7F7F7F"/>
              <w:right w:val="nil"/>
            </w:tcBorders>
            <w:noWrap/>
          </w:tcPr>
          <w:p w14:paraId="597AEAA4" w14:textId="37E621F2"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Mobile VRs significantly improved EMAP speaking and writing skills more than general English skills; mobile VRs provided more authentic, lifelike environments for learning medical English communication compared to traditional online modules.</w:t>
            </w:r>
          </w:p>
        </w:tc>
        <w:tc>
          <w:tcPr>
            <w:tcW w:w="896" w:type="dxa"/>
            <w:tcBorders>
              <w:top w:val="single" w:sz="4" w:space="0" w:color="7F7F7F"/>
              <w:left w:val="nil"/>
              <w:bottom w:val="single" w:sz="4" w:space="0" w:color="7F7F7F"/>
              <w:right w:val="nil"/>
            </w:tcBorders>
            <w:noWrap/>
          </w:tcPr>
          <w:p w14:paraId="5B887257" w14:textId="12B10D92"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37</w:t>
            </w:r>
          </w:p>
        </w:tc>
      </w:tr>
      <w:tr w:rsidR="00AE71F1" w14:paraId="0FECE2EF" w14:textId="77777777" w:rsidTr="00890CB3">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7F69693D" w14:textId="306FC9EC" w:rsidR="00AE71F1" w:rsidRDefault="00AE71F1" w:rsidP="00AE71F1">
            <w:pPr>
              <w:spacing w:before="100" w:beforeAutospacing="1" w:after="100" w:afterAutospacing="1"/>
              <w:jc w:val="center"/>
              <w:rPr>
                <w:kern w:val="0"/>
                <w:sz w:val="20"/>
                <w:szCs w:val="21"/>
                <w14:ligatures w14:val="none"/>
              </w:rPr>
            </w:pPr>
            <w:r>
              <w:rPr>
                <w:rFonts w:hint="eastAsia"/>
                <w:kern w:val="0"/>
                <w:sz w:val="20"/>
                <w:szCs w:val="21"/>
                <w14:ligatures w14:val="none"/>
              </w:rPr>
              <w:t>42</w:t>
            </w:r>
          </w:p>
        </w:tc>
        <w:tc>
          <w:tcPr>
            <w:tcW w:w="992" w:type="dxa"/>
            <w:tcBorders>
              <w:top w:val="single" w:sz="4" w:space="0" w:color="7F7F7F"/>
              <w:left w:val="nil"/>
              <w:bottom w:val="single" w:sz="4" w:space="0" w:color="7F7F7F"/>
              <w:right w:val="nil"/>
            </w:tcBorders>
            <w:vAlign w:val="center"/>
          </w:tcPr>
          <w:p w14:paraId="461BCA6D"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Xu et al. (2024) (J. Xu et al., 2024)</w:t>
            </w:r>
          </w:p>
          <w:p w14:paraId="09F745EB" w14:textId="333185F9"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UK</w:t>
            </w:r>
          </w:p>
        </w:tc>
        <w:tc>
          <w:tcPr>
            <w:tcW w:w="1854" w:type="dxa"/>
            <w:tcBorders>
              <w:top w:val="single" w:sz="4" w:space="0" w:color="7F7F7F"/>
              <w:left w:val="nil"/>
              <w:bottom w:val="single" w:sz="4" w:space="0" w:color="7F7F7F"/>
              <w:right w:val="nil"/>
            </w:tcBorders>
            <w:noWrap/>
          </w:tcPr>
          <w:p w14:paraId="6E420C7A" w14:textId="0DED7B26"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Task-based pronunciation teaching: Lack of auditory precision but not memory hinders learning</w:t>
            </w:r>
          </w:p>
        </w:tc>
        <w:tc>
          <w:tcPr>
            <w:tcW w:w="2219" w:type="dxa"/>
            <w:tcBorders>
              <w:top w:val="single" w:sz="4" w:space="0" w:color="7F7F7F"/>
              <w:left w:val="nil"/>
              <w:bottom w:val="single" w:sz="4" w:space="0" w:color="7F7F7F"/>
              <w:right w:val="nil"/>
            </w:tcBorders>
            <w:noWrap/>
          </w:tcPr>
          <w:p w14:paraId="76E5A8CA" w14:textId="6A9A248A"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Examine how individual differences in auditory processing and working memory affect the effectiveness of task-based pronunciation teaching (TBPT) on vowel perception among Chinese EFL learners.</w:t>
            </w:r>
          </w:p>
        </w:tc>
        <w:tc>
          <w:tcPr>
            <w:tcW w:w="1314" w:type="dxa"/>
            <w:tcBorders>
              <w:top w:val="single" w:sz="4" w:space="0" w:color="7F7F7F"/>
              <w:left w:val="nil"/>
              <w:bottom w:val="single" w:sz="4" w:space="0" w:color="7F7F7F"/>
              <w:right w:val="nil"/>
            </w:tcBorders>
            <w:noWrap/>
          </w:tcPr>
          <w:p w14:paraId="638952FA" w14:textId="3678A3C4"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70 young </w:t>
            </w:r>
            <w:proofErr w:type="gramStart"/>
            <w:r>
              <w:rPr>
                <w:kern w:val="0"/>
                <w:sz w:val="20"/>
                <w:szCs w:val="21"/>
                <w14:ligatures w14:val="none"/>
              </w:rPr>
              <w:t>adult</w:t>
            </w:r>
            <w:proofErr w:type="gramEnd"/>
            <w:r>
              <w:rPr>
                <w:kern w:val="0"/>
                <w:sz w:val="20"/>
                <w:szCs w:val="21"/>
                <w14:ligatures w14:val="none"/>
              </w:rPr>
              <w:t xml:space="preserve"> Chinese EFL learners (50 experimental, 20 control) from Fujian Province</w:t>
            </w:r>
          </w:p>
        </w:tc>
        <w:tc>
          <w:tcPr>
            <w:tcW w:w="1418" w:type="dxa"/>
            <w:tcBorders>
              <w:top w:val="single" w:sz="4" w:space="0" w:color="7F7F7F"/>
              <w:left w:val="nil"/>
              <w:bottom w:val="single" w:sz="4" w:space="0" w:color="7F7F7F"/>
              <w:right w:val="nil"/>
            </w:tcBorders>
            <w:noWrap/>
          </w:tcPr>
          <w:p w14:paraId="26413BEE" w14:textId="4D2F63AE"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Quasi-experimental study with pre- and post-tests (forced-choice identification task)</w:t>
            </w:r>
          </w:p>
        </w:tc>
        <w:tc>
          <w:tcPr>
            <w:tcW w:w="2835" w:type="dxa"/>
            <w:tcBorders>
              <w:top w:val="single" w:sz="4" w:space="0" w:color="7F7F7F"/>
              <w:left w:val="nil"/>
              <w:bottom w:val="single" w:sz="4" w:space="0" w:color="7F7F7F"/>
              <w:right w:val="nil"/>
            </w:tcBorders>
            <w:noWrap/>
          </w:tcPr>
          <w:p w14:paraId="2FA4DDA6" w14:textId="2E0FDD02"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TBPT led to significant improvements in vowel perception (~10% gains); auditory processing (AP) significantly mediated learning outcomes, but working memory (WM) did not; learners with normative AP benefited more than those with low AP.</w:t>
            </w:r>
          </w:p>
        </w:tc>
        <w:tc>
          <w:tcPr>
            <w:tcW w:w="896" w:type="dxa"/>
            <w:tcBorders>
              <w:top w:val="single" w:sz="4" w:space="0" w:color="7F7F7F"/>
              <w:left w:val="nil"/>
              <w:bottom w:val="single" w:sz="4" w:space="0" w:color="7F7F7F"/>
              <w:right w:val="nil"/>
            </w:tcBorders>
            <w:noWrap/>
          </w:tcPr>
          <w:p w14:paraId="62D7E805" w14:textId="319E648D"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37</w:t>
            </w:r>
          </w:p>
        </w:tc>
      </w:tr>
      <w:tr w:rsidR="00AE71F1" w14:paraId="41DC07D8" w14:textId="77777777" w:rsidTr="009253B8">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247D7C98" w14:textId="0DCBA184" w:rsidR="00AE71F1" w:rsidRDefault="00AE71F1" w:rsidP="00AE71F1">
            <w:pPr>
              <w:spacing w:before="100" w:beforeAutospacing="1" w:after="100" w:afterAutospacing="1"/>
              <w:jc w:val="center"/>
              <w:rPr>
                <w:kern w:val="0"/>
                <w:sz w:val="20"/>
                <w:szCs w:val="21"/>
                <w14:ligatures w14:val="none"/>
              </w:rPr>
            </w:pPr>
            <w:r>
              <w:rPr>
                <w:rFonts w:hint="eastAsia"/>
                <w:kern w:val="0"/>
                <w:sz w:val="20"/>
                <w:szCs w:val="21"/>
                <w14:ligatures w14:val="none"/>
              </w:rPr>
              <w:t>43</w:t>
            </w:r>
          </w:p>
        </w:tc>
        <w:tc>
          <w:tcPr>
            <w:tcW w:w="992" w:type="dxa"/>
            <w:tcBorders>
              <w:top w:val="single" w:sz="4" w:space="0" w:color="7F7F7F"/>
              <w:left w:val="nil"/>
              <w:bottom w:val="single" w:sz="4" w:space="0" w:color="7F7F7F"/>
              <w:right w:val="nil"/>
            </w:tcBorders>
            <w:vAlign w:val="center"/>
          </w:tcPr>
          <w:p w14:paraId="069FD280"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Behzad </w:t>
            </w:r>
            <w:proofErr w:type="spellStart"/>
            <w:r>
              <w:rPr>
                <w:kern w:val="0"/>
                <w:sz w:val="20"/>
                <w:szCs w:val="21"/>
                <w14:ligatures w14:val="none"/>
              </w:rPr>
              <w:t>Pourgharib</w:t>
            </w:r>
            <w:proofErr w:type="spellEnd"/>
            <w:r>
              <w:rPr>
                <w:kern w:val="0"/>
                <w:sz w:val="20"/>
                <w:szCs w:val="21"/>
                <w14:ligatures w14:val="none"/>
              </w:rPr>
              <w:t xml:space="preserve"> </w:t>
            </w:r>
            <w:r>
              <w:rPr>
                <w:rFonts w:hint="eastAsia"/>
                <w:kern w:val="0"/>
                <w:sz w:val="20"/>
                <w:szCs w:val="21"/>
                <w14:ligatures w14:val="none"/>
              </w:rPr>
              <w:t>and</w:t>
            </w:r>
            <w:r>
              <w:rPr>
                <w:kern w:val="0"/>
                <w:sz w:val="20"/>
                <w:szCs w:val="21"/>
                <w14:ligatures w14:val="none"/>
              </w:rPr>
              <w:t xml:space="preserve"> Farzaneh </w:t>
            </w:r>
            <w:proofErr w:type="spellStart"/>
            <w:r>
              <w:rPr>
                <w:kern w:val="0"/>
                <w:sz w:val="20"/>
                <w:szCs w:val="21"/>
                <w14:ligatures w14:val="none"/>
              </w:rPr>
              <w:t>Shakki</w:t>
            </w:r>
            <w:proofErr w:type="spellEnd"/>
            <w:r>
              <w:rPr>
                <w:kern w:val="0"/>
                <w:sz w:val="20"/>
                <w:szCs w:val="21"/>
                <w14:ligatures w14:val="none"/>
              </w:rPr>
              <w:t xml:space="preserve"> (2024) (</w:t>
            </w:r>
            <w:proofErr w:type="spellStart"/>
            <w:r>
              <w:rPr>
                <w:kern w:val="0"/>
                <w:sz w:val="20"/>
                <w:szCs w:val="21"/>
                <w14:ligatures w14:val="none"/>
              </w:rPr>
              <w:t>Pourgharib</w:t>
            </w:r>
            <w:proofErr w:type="spellEnd"/>
            <w:r>
              <w:rPr>
                <w:kern w:val="0"/>
                <w:sz w:val="20"/>
                <w:szCs w:val="21"/>
                <w14:ligatures w14:val="none"/>
              </w:rPr>
              <w:t xml:space="preserve"> &amp; </w:t>
            </w:r>
            <w:proofErr w:type="spellStart"/>
            <w:r>
              <w:rPr>
                <w:kern w:val="0"/>
                <w:sz w:val="20"/>
                <w:szCs w:val="21"/>
                <w14:ligatures w14:val="none"/>
              </w:rPr>
              <w:t>Shakki</w:t>
            </w:r>
            <w:proofErr w:type="spellEnd"/>
            <w:r>
              <w:rPr>
                <w:kern w:val="0"/>
                <w:sz w:val="20"/>
                <w:szCs w:val="21"/>
                <w14:ligatures w14:val="none"/>
              </w:rPr>
              <w:t>, 2024)</w:t>
            </w:r>
          </w:p>
          <w:p w14:paraId="7D219467" w14:textId="3C5B25FB"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Iran</w:t>
            </w:r>
          </w:p>
        </w:tc>
        <w:tc>
          <w:tcPr>
            <w:tcW w:w="1854" w:type="dxa"/>
            <w:tcBorders>
              <w:top w:val="single" w:sz="4" w:space="0" w:color="7F7F7F"/>
              <w:left w:val="nil"/>
              <w:bottom w:val="single" w:sz="4" w:space="0" w:color="7F7F7F"/>
              <w:right w:val="nil"/>
            </w:tcBorders>
            <w:noWrap/>
          </w:tcPr>
          <w:p w14:paraId="0C4734AC" w14:textId="0FCCF1D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The interplay between English teachers' rapport and immediacy and the students' academic motivation</w:t>
            </w:r>
          </w:p>
        </w:tc>
        <w:tc>
          <w:tcPr>
            <w:tcW w:w="2219" w:type="dxa"/>
            <w:tcBorders>
              <w:top w:val="single" w:sz="4" w:space="0" w:color="7F7F7F"/>
              <w:left w:val="nil"/>
              <w:bottom w:val="single" w:sz="4" w:space="0" w:color="7F7F7F"/>
              <w:right w:val="nil"/>
            </w:tcBorders>
            <w:noWrap/>
          </w:tcPr>
          <w:p w14:paraId="22BC6AB3" w14:textId="44668EE9"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Investigate how English teachers' rapport and immediacy behaviors affect EFL students' academic motivation, and whether gender differences exist.</w:t>
            </w:r>
          </w:p>
        </w:tc>
        <w:tc>
          <w:tcPr>
            <w:tcW w:w="1314" w:type="dxa"/>
            <w:tcBorders>
              <w:top w:val="single" w:sz="4" w:space="0" w:color="7F7F7F"/>
              <w:left w:val="nil"/>
              <w:bottom w:val="single" w:sz="4" w:space="0" w:color="7F7F7F"/>
              <w:right w:val="nil"/>
            </w:tcBorders>
            <w:noWrap/>
          </w:tcPr>
          <w:p w14:paraId="3156220E" w14:textId="2D855743"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504 Iranian EFL learners, aged 18–23, from university-level English courses</w:t>
            </w:r>
          </w:p>
        </w:tc>
        <w:tc>
          <w:tcPr>
            <w:tcW w:w="1418" w:type="dxa"/>
            <w:tcBorders>
              <w:top w:val="single" w:sz="4" w:space="0" w:color="7F7F7F"/>
              <w:left w:val="nil"/>
              <w:bottom w:val="single" w:sz="4" w:space="0" w:color="7F7F7F"/>
              <w:right w:val="nil"/>
            </w:tcBorders>
            <w:noWrap/>
          </w:tcPr>
          <w:p w14:paraId="5065426F" w14:textId="6F717E4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Quantitative study with questionnaires and SEM analysis.</w:t>
            </w:r>
          </w:p>
        </w:tc>
        <w:tc>
          <w:tcPr>
            <w:tcW w:w="2835" w:type="dxa"/>
            <w:tcBorders>
              <w:top w:val="single" w:sz="4" w:space="0" w:color="7F7F7F"/>
              <w:left w:val="nil"/>
              <w:bottom w:val="single" w:sz="4" w:space="0" w:color="7F7F7F"/>
              <w:right w:val="nil"/>
            </w:tcBorders>
            <w:noWrap/>
          </w:tcPr>
          <w:p w14:paraId="57B283E0" w14:textId="70065AEF"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Teachers' rapport/immediacy strongly predicted students' motivation (57% variance explained); gender effects negligible.</w:t>
            </w:r>
          </w:p>
        </w:tc>
        <w:tc>
          <w:tcPr>
            <w:tcW w:w="896" w:type="dxa"/>
            <w:tcBorders>
              <w:top w:val="single" w:sz="4" w:space="0" w:color="7F7F7F"/>
              <w:left w:val="nil"/>
              <w:bottom w:val="single" w:sz="4" w:space="0" w:color="7F7F7F"/>
              <w:right w:val="nil"/>
            </w:tcBorders>
            <w:noWrap/>
            <w:vAlign w:val="center"/>
          </w:tcPr>
          <w:p w14:paraId="767A0343" w14:textId="3EDB6774"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36</w:t>
            </w:r>
          </w:p>
        </w:tc>
      </w:tr>
      <w:tr w:rsidR="00AE71F1" w14:paraId="256ECC98" w14:textId="77777777" w:rsidTr="009253B8">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47B1568C" w14:textId="20DAAFAA" w:rsidR="00AE71F1" w:rsidRDefault="00AE71F1" w:rsidP="00AE71F1">
            <w:pPr>
              <w:spacing w:before="100" w:beforeAutospacing="1" w:after="100" w:afterAutospacing="1"/>
              <w:jc w:val="center"/>
              <w:rPr>
                <w:kern w:val="0"/>
                <w:sz w:val="20"/>
                <w:szCs w:val="21"/>
                <w14:ligatures w14:val="none"/>
              </w:rPr>
            </w:pPr>
            <w:r>
              <w:rPr>
                <w:rFonts w:hint="eastAsia"/>
                <w:kern w:val="0"/>
                <w:sz w:val="20"/>
                <w:szCs w:val="21"/>
                <w14:ligatures w14:val="none"/>
              </w:rPr>
              <w:t>44</w:t>
            </w:r>
          </w:p>
        </w:tc>
        <w:tc>
          <w:tcPr>
            <w:tcW w:w="992" w:type="dxa"/>
            <w:tcBorders>
              <w:top w:val="single" w:sz="4" w:space="0" w:color="7F7F7F"/>
              <w:left w:val="nil"/>
              <w:bottom w:val="single" w:sz="4" w:space="0" w:color="7F7F7F"/>
              <w:right w:val="nil"/>
            </w:tcBorders>
            <w:vAlign w:val="center"/>
          </w:tcPr>
          <w:p w14:paraId="7952074E" w14:textId="2EE2A91D"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Carmen Pérez-</w:t>
            </w:r>
            <w:proofErr w:type="spellStart"/>
            <w:r>
              <w:rPr>
                <w:kern w:val="0"/>
                <w:sz w:val="20"/>
                <w:szCs w:val="21"/>
                <w14:ligatures w14:val="none"/>
              </w:rPr>
              <w:t>Llantada</w:t>
            </w:r>
            <w:proofErr w:type="spellEnd"/>
            <w:r>
              <w:rPr>
                <w:kern w:val="0"/>
                <w:sz w:val="20"/>
                <w:szCs w:val="21"/>
                <w14:ligatures w14:val="none"/>
              </w:rPr>
              <w:t xml:space="preserve"> (2024) (Pérez-</w:t>
            </w:r>
            <w:proofErr w:type="spellStart"/>
            <w:r>
              <w:rPr>
                <w:kern w:val="0"/>
                <w:sz w:val="20"/>
                <w:szCs w:val="21"/>
                <w14:ligatures w14:val="none"/>
              </w:rPr>
              <w:t>Llantada</w:t>
            </w:r>
            <w:proofErr w:type="spellEnd"/>
            <w:r>
              <w:rPr>
                <w:kern w:val="0"/>
                <w:sz w:val="20"/>
                <w:szCs w:val="21"/>
                <w14:ligatures w14:val="none"/>
              </w:rPr>
              <w:t>, 2024) Spain</w:t>
            </w:r>
          </w:p>
        </w:tc>
        <w:tc>
          <w:tcPr>
            <w:tcW w:w="1854" w:type="dxa"/>
            <w:tcBorders>
              <w:top w:val="single" w:sz="4" w:space="0" w:color="7F7F7F"/>
              <w:left w:val="nil"/>
              <w:bottom w:val="single" w:sz="4" w:space="0" w:color="7F7F7F"/>
              <w:right w:val="nil"/>
            </w:tcBorders>
            <w:noWrap/>
          </w:tcPr>
          <w:p w14:paraId="5AEF425B" w14:textId="487E7CA0"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Approaching digital genre composing through reflective pedagogical praxis</w:t>
            </w:r>
          </w:p>
        </w:tc>
        <w:tc>
          <w:tcPr>
            <w:tcW w:w="2219" w:type="dxa"/>
            <w:tcBorders>
              <w:top w:val="single" w:sz="4" w:space="0" w:color="7F7F7F"/>
              <w:left w:val="nil"/>
              <w:bottom w:val="single" w:sz="4" w:space="0" w:color="7F7F7F"/>
              <w:right w:val="nil"/>
            </w:tcBorders>
            <w:noWrap/>
          </w:tcPr>
          <w:p w14:paraId="27D18330" w14:textId="377FDDB8"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Critically reflect on teaching digital genre composing for professional and public science communication.</w:t>
            </w:r>
          </w:p>
        </w:tc>
        <w:tc>
          <w:tcPr>
            <w:tcW w:w="1314" w:type="dxa"/>
            <w:tcBorders>
              <w:top w:val="single" w:sz="4" w:space="0" w:color="7F7F7F"/>
              <w:left w:val="nil"/>
              <w:bottom w:val="single" w:sz="4" w:space="0" w:color="7F7F7F"/>
              <w:right w:val="nil"/>
            </w:tcBorders>
            <w:noWrap/>
          </w:tcPr>
          <w:p w14:paraId="2BA29205" w14:textId="3F699C48"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12 STEM researchers from University of Zaragoza</w:t>
            </w:r>
          </w:p>
        </w:tc>
        <w:tc>
          <w:tcPr>
            <w:tcW w:w="1418" w:type="dxa"/>
            <w:tcBorders>
              <w:top w:val="single" w:sz="4" w:space="0" w:color="7F7F7F"/>
              <w:left w:val="nil"/>
              <w:bottom w:val="single" w:sz="4" w:space="0" w:color="7F7F7F"/>
              <w:right w:val="nil"/>
            </w:tcBorders>
            <w:noWrap/>
          </w:tcPr>
          <w:p w14:paraId="16C88B88" w14:textId="519D5816"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Exploratory case study using genre-based pedagogical framework and qualitative text analysis</w:t>
            </w:r>
          </w:p>
        </w:tc>
        <w:tc>
          <w:tcPr>
            <w:tcW w:w="2835" w:type="dxa"/>
            <w:tcBorders>
              <w:top w:val="single" w:sz="4" w:space="0" w:color="7F7F7F"/>
              <w:left w:val="nil"/>
              <w:bottom w:val="single" w:sz="4" w:space="0" w:color="7F7F7F"/>
              <w:right w:val="nil"/>
            </w:tcBorders>
            <w:noWrap/>
          </w:tcPr>
          <w:p w14:paraId="269D9F59" w14:textId="1C492D58"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Raising students' genre awareness helped in composing digital genres. Students could recontextualize scientific content but struggled with simplifying language for broader audiences. Explicit instruction in </w:t>
            </w:r>
            <w:proofErr w:type="spellStart"/>
            <w:r>
              <w:rPr>
                <w:kern w:val="0"/>
                <w:sz w:val="20"/>
                <w:szCs w:val="21"/>
                <w14:ligatures w14:val="none"/>
              </w:rPr>
              <w:t>metageneric</w:t>
            </w:r>
            <w:proofErr w:type="spellEnd"/>
            <w:r>
              <w:rPr>
                <w:kern w:val="0"/>
                <w:sz w:val="20"/>
                <w:szCs w:val="21"/>
                <w14:ligatures w14:val="none"/>
              </w:rPr>
              <w:t xml:space="preserve"> strategies recommended.</w:t>
            </w:r>
          </w:p>
        </w:tc>
        <w:tc>
          <w:tcPr>
            <w:tcW w:w="896" w:type="dxa"/>
            <w:tcBorders>
              <w:top w:val="single" w:sz="4" w:space="0" w:color="7F7F7F"/>
              <w:left w:val="nil"/>
              <w:bottom w:val="single" w:sz="4" w:space="0" w:color="7F7F7F"/>
              <w:right w:val="nil"/>
            </w:tcBorders>
            <w:noWrap/>
            <w:vAlign w:val="center"/>
          </w:tcPr>
          <w:p w14:paraId="07F6E2FE" w14:textId="3E5D4B48"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38</w:t>
            </w:r>
          </w:p>
        </w:tc>
      </w:tr>
      <w:tr w:rsidR="00AE71F1" w14:paraId="04D2C8ED" w14:textId="77777777" w:rsidTr="00161819">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09F46E37" w14:textId="44426D34" w:rsidR="00AE71F1" w:rsidRDefault="00AE71F1" w:rsidP="00AE71F1">
            <w:pPr>
              <w:spacing w:before="100" w:beforeAutospacing="1" w:after="100" w:afterAutospacing="1"/>
              <w:jc w:val="center"/>
              <w:rPr>
                <w:kern w:val="0"/>
                <w:sz w:val="20"/>
                <w:szCs w:val="21"/>
                <w14:ligatures w14:val="none"/>
              </w:rPr>
            </w:pPr>
            <w:r>
              <w:rPr>
                <w:rFonts w:hint="eastAsia"/>
                <w:kern w:val="0"/>
                <w:sz w:val="20"/>
                <w:szCs w:val="21"/>
                <w14:ligatures w14:val="none"/>
              </w:rPr>
              <w:t>45</w:t>
            </w:r>
          </w:p>
        </w:tc>
        <w:tc>
          <w:tcPr>
            <w:tcW w:w="992" w:type="dxa"/>
            <w:tcBorders>
              <w:top w:val="single" w:sz="4" w:space="0" w:color="7F7F7F"/>
              <w:left w:val="nil"/>
              <w:bottom w:val="single" w:sz="4" w:space="0" w:color="7F7F7F"/>
              <w:right w:val="nil"/>
            </w:tcBorders>
            <w:vAlign w:val="center"/>
          </w:tcPr>
          <w:p w14:paraId="25A7BBE8" w14:textId="4ECF03F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Su </w:t>
            </w:r>
            <w:r>
              <w:rPr>
                <w:rFonts w:hint="eastAsia"/>
                <w:kern w:val="0"/>
                <w:sz w:val="20"/>
                <w:szCs w:val="21"/>
                <w14:ligatures w14:val="none"/>
              </w:rPr>
              <w:t>and</w:t>
            </w:r>
            <w:r>
              <w:rPr>
                <w:kern w:val="0"/>
                <w:sz w:val="20"/>
                <w:szCs w:val="21"/>
                <w14:ligatures w14:val="none"/>
              </w:rPr>
              <w:t xml:space="preserve"> Chen </w:t>
            </w:r>
            <w:r>
              <w:rPr>
                <w:kern w:val="0"/>
                <w:sz w:val="20"/>
                <w:szCs w:val="21"/>
                <w14:ligatures w14:val="none"/>
              </w:rPr>
              <w:lastRenderedPageBreak/>
              <w:t>(2024)</w:t>
            </w:r>
            <w:r w:rsidR="00DC7EAB">
              <w:rPr>
                <w:rFonts w:hint="eastAsia"/>
                <w:kern w:val="0"/>
                <w:sz w:val="20"/>
                <w:szCs w:val="21"/>
                <w14:ligatures w14:val="none"/>
              </w:rPr>
              <w:t xml:space="preserve"> </w:t>
            </w:r>
            <w:r>
              <w:rPr>
                <w:kern w:val="0"/>
                <w:sz w:val="20"/>
                <w:szCs w:val="21"/>
                <w14:ligatures w14:val="none"/>
              </w:rPr>
              <w:t>(Su &amp; Chen, 2024)</w:t>
            </w:r>
          </w:p>
          <w:p w14:paraId="0134F6BF" w14:textId="2EE06C2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United States</w:t>
            </w:r>
          </w:p>
        </w:tc>
        <w:tc>
          <w:tcPr>
            <w:tcW w:w="1854" w:type="dxa"/>
            <w:tcBorders>
              <w:top w:val="single" w:sz="4" w:space="0" w:color="7F7F7F"/>
              <w:left w:val="nil"/>
              <w:bottom w:val="single" w:sz="4" w:space="0" w:color="7F7F7F"/>
              <w:right w:val="nil"/>
            </w:tcBorders>
            <w:noWrap/>
            <w:vAlign w:val="center"/>
          </w:tcPr>
          <w:p w14:paraId="67EAAACB" w14:textId="72A1E8D6"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 xml:space="preserve">Examining refusal and acceptance </w:t>
            </w:r>
            <w:r>
              <w:rPr>
                <w:kern w:val="0"/>
                <w:sz w:val="20"/>
                <w:szCs w:val="21"/>
                <w14:ligatures w14:val="none"/>
              </w:rPr>
              <w:lastRenderedPageBreak/>
              <w:t>sequences employing a data-driven binary rating approach</w:t>
            </w:r>
          </w:p>
        </w:tc>
        <w:tc>
          <w:tcPr>
            <w:tcW w:w="2219" w:type="dxa"/>
            <w:tcBorders>
              <w:top w:val="single" w:sz="4" w:space="0" w:color="7F7F7F"/>
              <w:left w:val="nil"/>
              <w:bottom w:val="single" w:sz="4" w:space="0" w:color="7F7F7F"/>
              <w:right w:val="nil"/>
            </w:tcBorders>
            <w:noWrap/>
          </w:tcPr>
          <w:p w14:paraId="30A70A6F" w14:textId="486E3D52"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 xml:space="preserve">Develop a data-driven binary rating rubric to </w:t>
            </w:r>
            <w:r>
              <w:rPr>
                <w:kern w:val="0"/>
                <w:sz w:val="20"/>
                <w:szCs w:val="21"/>
                <w14:ligatures w14:val="none"/>
              </w:rPr>
              <w:lastRenderedPageBreak/>
              <w:t>assess roleplay-elicited pragmatic performance in L2 Chinese, focusing on refusal and acceptance sequences.</w:t>
            </w:r>
          </w:p>
        </w:tc>
        <w:tc>
          <w:tcPr>
            <w:tcW w:w="1314" w:type="dxa"/>
            <w:tcBorders>
              <w:top w:val="single" w:sz="4" w:space="0" w:color="7F7F7F"/>
              <w:left w:val="nil"/>
              <w:bottom w:val="single" w:sz="4" w:space="0" w:color="7F7F7F"/>
              <w:right w:val="nil"/>
            </w:tcBorders>
            <w:noWrap/>
          </w:tcPr>
          <w:p w14:paraId="13481DB7" w14:textId="48335C10"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 xml:space="preserve">54 L2 Chinese </w:t>
            </w:r>
            <w:r>
              <w:rPr>
                <w:kern w:val="0"/>
                <w:sz w:val="20"/>
                <w:szCs w:val="21"/>
                <w14:ligatures w14:val="none"/>
              </w:rPr>
              <w:lastRenderedPageBreak/>
              <w:t>learners (Low-Intermediate, High-Intermediate, Advanced) + 22 native speakers</w:t>
            </w:r>
          </w:p>
        </w:tc>
        <w:tc>
          <w:tcPr>
            <w:tcW w:w="1418" w:type="dxa"/>
            <w:tcBorders>
              <w:top w:val="single" w:sz="4" w:space="0" w:color="7F7F7F"/>
              <w:left w:val="nil"/>
              <w:bottom w:val="single" w:sz="4" w:space="0" w:color="7F7F7F"/>
              <w:right w:val="nil"/>
            </w:tcBorders>
            <w:noWrap/>
          </w:tcPr>
          <w:p w14:paraId="50A8C3B4" w14:textId="755FB384"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Analytic discourse-</w:t>
            </w:r>
            <w:r>
              <w:rPr>
                <w:kern w:val="0"/>
                <w:sz w:val="20"/>
                <w:szCs w:val="21"/>
                <w14:ligatures w14:val="none"/>
              </w:rPr>
              <w:lastRenderedPageBreak/>
              <w:t>based study with roleplay tasks and binary rubric scoring</w:t>
            </w:r>
          </w:p>
        </w:tc>
        <w:tc>
          <w:tcPr>
            <w:tcW w:w="2835" w:type="dxa"/>
            <w:tcBorders>
              <w:top w:val="single" w:sz="4" w:space="0" w:color="7F7F7F"/>
              <w:left w:val="nil"/>
              <w:bottom w:val="single" w:sz="4" w:space="0" w:color="7F7F7F"/>
              <w:right w:val="nil"/>
            </w:tcBorders>
            <w:noWrap/>
          </w:tcPr>
          <w:p w14:paraId="7568C281" w14:textId="7376C9C2"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 xml:space="preserve">Lower proficiency learners struggled more with refusing </w:t>
            </w:r>
            <w:r>
              <w:rPr>
                <w:kern w:val="0"/>
                <w:sz w:val="20"/>
                <w:szCs w:val="21"/>
                <w14:ligatures w14:val="none"/>
              </w:rPr>
              <w:lastRenderedPageBreak/>
              <w:t>return-for-favor intentions; higher proficiency associated with better sequential organization. Rubric showed high reliability and practicality.</w:t>
            </w:r>
          </w:p>
        </w:tc>
        <w:tc>
          <w:tcPr>
            <w:tcW w:w="896" w:type="dxa"/>
            <w:tcBorders>
              <w:top w:val="single" w:sz="4" w:space="0" w:color="7F7F7F"/>
              <w:left w:val="nil"/>
              <w:bottom w:val="single" w:sz="4" w:space="0" w:color="7F7F7F"/>
              <w:right w:val="nil"/>
            </w:tcBorders>
            <w:noWrap/>
          </w:tcPr>
          <w:p w14:paraId="4EFAC134" w14:textId="2F270C9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37</w:t>
            </w:r>
          </w:p>
        </w:tc>
      </w:tr>
      <w:tr w:rsidR="00AE71F1" w14:paraId="139B1012" w14:textId="77777777" w:rsidTr="0086560B">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4C88E413" w14:textId="09A39A42" w:rsidR="00AE71F1" w:rsidRDefault="00AE71F1" w:rsidP="00AE71F1">
            <w:pPr>
              <w:spacing w:before="100" w:beforeAutospacing="1" w:after="100" w:afterAutospacing="1"/>
              <w:jc w:val="center"/>
              <w:rPr>
                <w:kern w:val="0"/>
                <w:sz w:val="20"/>
                <w:szCs w:val="21"/>
                <w14:ligatures w14:val="none"/>
              </w:rPr>
            </w:pPr>
            <w:r>
              <w:rPr>
                <w:rFonts w:hint="eastAsia"/>
                <w:kern w:val="0"/>
                <w:sz w:val="20"/>
                <w:szCs w:val="21"/>
                <w14:ligatures w14:val="none"/>
              </w:rPr>
              <w:t>46</w:t>
            </w:r>
          </w:p>
        </w:tc>
        <w:tc>
          <w:tcPr>
            <w:tcW w:w="992" w:type="dxa"/>
            <w:tcBorders>
              <w:top w:val="single" w:sz="4" w:space="0" w:color="7F7F7F"/>
              <w:left w:val="nil"/>
              <w:bottom w:val="single" w:sz="4" w:space="0" w:color="7F7F7F"/>
              <w:right w:val="nil"/>
            </w:tcBorders>
            <w:vAlign w:val="center"/>
          </w:tcPr>
          <w:p w14:paraId="39078A27"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proofErr w:type="spellStart"/>
            <w:r>
              <w:rPr>
                <w:kern w:val="0"/>
                <w:sz w:val="20"/>
                <w:szCs w:val="21"/>
                <w14:ligatures w14:val="none"/>
              </w:rPr>
              <w:t>Khazaie</w:t>
            </w:r>
            <w:proofErr w:type="spellEnd"/>
            <w:r>
              <w:rPr>
                <w:kern w:val="0"/>
                <w:sz w:val="20"/>
                <w:szCs w:val="21"/>
                <w14:ligatures w14:val="none"/>
              </w:rPr>
              <w:t xml:space="preserve"> &amp; Derakhshan (2024) (</w:t>
            </w:r>
            <w:proofErr w:type="spellStart"/>
            <w:r>
              <w:rPr>
                <w:kern w:val="0"/>
                <w:sz w:val="20"/>
                <w:szCs w:val="21"/>
                <w14:ligatures w14:val="none"/>
              </w:rPr>
              <w:t>Khazaie</w:t>
            </w:r>
            <w:proofErr w:type="spellEnd"/>
            <w:r>
              <w:rPr>
                <w:kern w:val="0"/>
                <w:sz w:val="20"/>
                <w:szCs w:val="21"/>
                <w14:ligatures w14:val="none"/>
              </w:rPr>
              <w:t xml:space="preserve"> &amp; Derakhshan, 2024)</w:t>
            </w:r>
          </w:p>
          <w:p w14:paraId="3AA282C5" w14:textId="714BBBA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Iran</w:t>
            </w:r>
          </w:p>
        </w:tc>
        <w:tc>
          <w:tcPr>
            <w:tcW w:w="1854" w:type="dxa"/>
            <w:tcBorders>
              <w:top w:val="single" w:sz="4" w:space="0" w:color="7F7F7F"/>
              <w:left w:val="nil"/>
              <w:bottom w:val="single" w:sz="4" w:space="0" w:color="7F7F7F"/>
              <w:right w:val="nil"/>
            </w:tcBorders>
            <w:noWrap/>
            <w:vAlign w:val="center"/>
          </w:tcPr>
          <w:p w14:paraId="077F9F8E" w14:textId="016AEC6F"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Extending embodied cognition through robot's augmented reality in English for medical purposes classrooms</w:t>
            </w:r>
          </w:p>
        </w:tc>
        <w:tc>
          <w:tcPr>
            <w:tcW w:w="2219" w:type="dxa"/>
            <w:tcBorders>
              <w:top w:val="single" w:sz="4" w:space="0" w:color="7F7F7F"/>
              <w:left w:val="nil"/>
              <w:bottom w:val="single" w:sz="4" w:space="0" w:color="7F7F7F"/>
              <w:right w:val="nil"/>
            </w:tcBorders>
            <w:noWrap/>
            <w:vAlign w:val="center"/>
          </w:tcPr>
          <w:p w14:paraId="4618B1D9" w14:textId="7DFD0E0D"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Investigate the effect of robot's augmented reality on Saudi EFL learners' embodied cognition and comprehension in English for Medical Purposes classrooms.</w:t>
            </w:r>
          </w:p>
        </w:tc>
        <w:tc>
          <w:tcPr>
            <w:tcW w:w="1314" w:type="dxa"/>
            <w:tcBorders>
              <w:top w:val="single" w:sz="4" w:space="0" w:color="7F7F7F"/>
              <w:left w:val="nil"/>
              <w:bottom w:val="single" w:sz="4" w:space="0" w:color="7F7F7F"/>
              <w:right w:val="nil"/>
            </w:tcBorders>
            <w:noWrap/>
            <w:vAlign w:val="center"/>
          </w:tcPr>
          <w:p w14:paraId="3C6BB291" w14:textId="7010FD9C"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526 Saudi EFL students from Isfahan University of Medical Sciences, divided into control and experimental groups</w:t>
            </w:r>
          </w:p>
        </w:tc>
        <w:tc>
          <w:tcPr>
            <w:tcW w:w="1418" w:type="dxa"/>
            <w:tcBorders>
              <w:top w:val="single" w:sz="4" w:space="0" w:color="7F7F7F"/>
              <w:left w:val="nil"/>
              <w:bottom w:val="single" w:sz="4" w:space="0" w:color="7F7F7F"/>
              <w:right w:val="nil"/>
            </w:tcBorders>
            <w:noWrap/>
            <w:vAlign w:val="center"/>
          </w:tcPr>
          <w:p w14:paraId="0AAE2B43" w14:textId="56DE3CD6"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Quasi-experimental study with flipped classroom approach</w:t>
            </w:r>
          </w:p>
        </w:tc>
        <w:tc>
          <w:tcPr>
            <w:tcW w:w="2835" w:type="dxa"/>
            <w:tcBorders>
              <w:top w:val="single" w:sz="4" w:space="0" w:color="7F7F7F"/>
              <w:left w:val="nil"/>
              <w:bottom w:val="single" w:sz="4" w:space="0" w:color="7F7F7F"/>
              <w:right w:val="nil"/>
            </w:tcBorders>
            <w:noWrap/>
            <w:vAlign w:val="center"/>
          </w:tcPr>
          <w:p w14:paraId="56BE60DC" w14:textId="26D0BEA0"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Students using robot's AR achieved significantly higher comprehension scores in English for Medical Purposes listening and reading tasks than control and robot-only groups</w:t>
            </w:r>
          </w:p>
        </w:tc>
        <w:tc>
          <w:tcPr>
            <w:tcW w:w="896" w:type="dxa"/>
            <w:tcBorders>
              <w:top w:val="single" w:sz="4" w:space="0" w:color="7F7F7F"/>
              <w:left w:val="nil"/>
              <w:bottom w:val="single" w:sz="4" w:space="0" w:color="7F7F7F"/>
              <w:right w:val="nil"/>
            </w:tcBorders>
            <w:noWrap/>
            <w:vAlign w:val="center"/>
          </w:tcPr>
          <w:p w14:paraId="6096C89D" w14:textId="312DD4A5"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36</w:t>
            </w:r>
          </w:p>
        </w:tc>
      </w:tr>
      <w:tr w:rsidR="00AE71F1" w14:paraId="7D65EC18" w14:textId="77777777" w:rsidTr="0086560B">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4ED3B487" w14:textId="2F882DCB" w:rsidR="00AE71F1" w:rsidRDefault="00AE71F1" w:rsidP="00AE71F1">
            <w:pPr>
              <w:spacing w:before="100" w:beforeAutospacing="1" w:after="100" w:afterAutospacing="1"/>
              <w:jc w:val="center"/>
              <w:rPr>
                <w:kern w:val="0"/>
                <w:sz w:val="20"/>
                <w:szCs w:val="21"/>
                <w14:ligatures w14:val="none"/>
              </w:rPr>
            </w:pPr>
            <w:r>
              <w:rPr>
                <w:rFonts w:hint="eastAsia"/>
                <w:kern w:val="0"/>
                <w:sz w:val="20"/>
                <w:szCs w:val="21"/>
                <w14:ligatures w14:val="none"/>
              </w:rPr>
              <w:t>47</w:t>
            </w:r>
          </w:p>
        </w:tc>
        <w:tc>
          <w:tcPr>
            <w:tcW w:w="992" w:type="dxa"/>
            <w:tcBorders>
              <w:top w:val="single" w:sz="4" w:space="0" w:color="7F7F7F"/>
              <w:left w:val="nil"/>
              <w:bottom w:val="single" w:sz="4" w:space="0" w:color="7F7F7F"/>
              <w:right w:val="nil"/>
            </w:tcBorders>
            <w:vAlign w:val="center"/>
          </w:tcPr>
          <w:p w14:paraId="28D38AE7" w14:textId="77777777" w:rsidR="00AE71F1" w:rsidRDefault="00AE71F1" w:rsidP="00AE71F1">
            <w:pPr>
              <w:spacing w:before="100" w:beforeAutospacing="1" w:after="100" w:afterAutospacing="1"/>
              <w:ind w:left="100" w:hangingChars="50" w:hanging="100"/>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proofErr w:type="spellStart"/>
            <w:r>
              <w:rPr>
                <w:kern w:val="0"/>
                <w:sz w:val="20"/>
                <w:szCs w:val="21"/>
                <w14:ligatures w14:val="none"/>
              </w:rPr>
              <w:t>Alshraah</w:t>
            </w:r>
            <w:proofErr w:type="spellEnd"/>
            <w:r>
              <w:rPr>
                <w:kern w:val="0"/>
                <w:sz w:val="20"/>
                <w:szCs w:val="21"/>
                <w14:ligatures w14:val="none"/>
              </w:rPr>
              <w:t xml:space="preserve"> et al. (2024) (</w:t>
            </w:r>
            <w:proofErr w:type="spellStart"/>
            <w:r>
              <w:rPr>
                <w:kern w:val="0"/>
                <w:sz w:val="20"/>
                <w:szCs w:val="21"/>
                <w14:ligatures w14:val="none"/>
              </w:rPr>
              <w:t>Alshraah</w:t>
            </w:r>
            <w:proofErr w:type="spellEnd"/>
            <w:r>
              <w:rPr>
                <w:kern w:val="0"/>
                <w:sz w:val="20"/>
                <w:szCs w:val="21"/>
                <w14:ligatures w14:val="none"/>
              </w:rPr>
              <w:t xml:space="preserve"> et al., 2024)</w:t>
            </w:r>
          </w:p>
          <w:p w14:paraId="2AC176C9" w14:textId="56849842"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Saudi Arabia</w:t>
            </w:r>
          </w:p>
        </w:tc>
        <w:tc>
          <w:tcPr>
            <w:tcW w:w="1854" w:type="dxa"/>
            <w:tcBorders>
              <w:top w:val="single" w:sz="4" w:space="0" w:color="7F7F7F"/>
              <w:left w:val="nil"/>
              <w:bottom w:val="single" w:sz="4" w:space="0" w:color="7F7F7F"/>
              <w:right w:val="nil"/>
            </w:tcBorders>
            <w:noWrap/>
            <w:vAlign w:val="center"/>
          </w:tcPr>
          <w:p w14:paraId="5AF6CB65" w14:textId="37D1FBBC"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Pragmatic Realization in Exploiting Request Expressions: A Study of Language Proficiency and Social Context among Saudi EFL Learners</w:t>
            </w:r>
          </w:p>
        </w:tc>
        <w:tc>
          <w:tcPr>
            <w:tcW w:w="2219" w:type="dxa"/>
            <w:tcBorders>
              <w:top w:val="single" w:sz="4" w:space="0" w:color="7F7F7F"/>
              <w:left w:val="nil"/>
              <w:bottom w:val="single" w:sz="4" w:space="0" w:color="7F7F7F"/>
              <w:right w:val="nil"/>
            </w:tcBorders>
            <w:noWrap/>
            <w:vAlign w:val="center"/>
          </w:tcPr>
          <w:p w14:paraId="48E5BB61" w14:textId="0DB33A62"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Investigate the impact of language proficiency and social context on Saudi EFL learners' pragmatic realization of request strategies.</w:t>
            </w:r>
          </w:p>
        </w:tc>
        <w:tc>
          <w:tcPr>
            <w:tcW w:w="1314" w:type="dxa"/>
            <w:tcBorders>
              <w:top w:val="single" w:sz="4" w:space="0" w:color="7F7F7F"/>
              <w:left w:val="nil"/>
              <w:bottom w:val="single" w:sz="4" w:space="0" w:color="7F7F7F"/>
              <w:right w:val="nil"/>
            </w:tcBorders>
            <w:noWrap/>
            <w:vAlign w:val="center"/>
          </w:tcPr>
          <w:p w14:paraId="30526257" w14:textId="2FD38856"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98 first-year Saudi EFL students (50 High Achievers, 48 Low Achievers)</w:t>
            </w:r>
          </w:p>
        </w:tc>
        <w:tc>
          <w:tcPr>
            <w:tcW w:w="1418" w:type="dxa"/>
            <w:tcBorders>
              <w:top w:val="single" w:sz="4" w:space="0" w:color="7F7F7F"/>
              <w:left w:val="nil"/>
              <w:bottom w:val="single" w:sz="4" w:space="0" w:color="7F7F7F"/>
              <w:right w:val="nil"/>
            </w:tcBorders>
            <w:noWrap/>
            <w:vAlign w:val="center"/>
          </w:tcPr>
          <w:p w14:paraId="63935EDF" w14:textId="612210B3"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Cross-sectional study using Discourse Completion Test (DCT) and Scale-Response Questionnaire (SRQ)</w:t>
            </w:r>
          </w:p>
        </w:tc>
        <w:tc>
          <w:tcPr>
            <w:tcW w:w="2835" w:type="dxa"/>
            <w:tcBorders>
              <w:top w:val="single" w:sz="4" w:space="0" w:color="7F7F7F"/>
              <w:left w:val="nil"/>
              <w:bottom w:val="single" w:sz="4" w:space="0" w:color="7F7F7F"/>
              <w:right w:val="nil"/>
            </w:tcBorders>
            <w:noWrap/>
            <w:vAlign w:val="center"/>
          </w:tcPr>
          <w:p w14:paraId="27AB84DA" w14:textId="72E78B79"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High achievers showed significantly greater pragmatic competence and more use of mitigated and polite request strategies compared to low achievers. Language proficiency is positively linked to better pragmatic realization.</w:t>
            </w:r>
          </w:p>
        </w:tc>
        <w:tc>
          <w:tcPr>
            <w:tcW w:w="896" w:type="dxa"/>
            <w:tcBorders>
              <w:top w:val="single" w:sz="4" w:space="0" w:color="7F7F7F"/>
              <w:left w:val="nil"/>
              <w:bottom w:val="single" w:sz="4" w:space="0" w:color="7F7F7F"/>
              <w:right w:val="nil"/>
            </w:tcBorders>
            <w:noWrap/>
            <w:vAlign w:val="center"/>
          </w:tcPr>
          <w:p w14:paraId="7A1471FD" w14:textId="37DEA91A"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35</w:t>
            </w:r>
          </w:p>
        </w:tc>
      </w:tr>
      <w:tr w:rsidR="00AE71F1" w14:paraId="736D113F" w14:textId="77777777" w:rsidTr="00976221">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0365EDE4" w14:textId="1AB13B2D" w:rsidR="00AE71F1" w:rsidRDefault="00AE71F1" w:rsidP="00AE71F1">
            <w:pPr>
              <w:spacing w:before="100" w:beforeAutospacing="1" w:after="100" w:afterAutospacing="1"/>
              <w:jc w:val="center"/>
              <w:rPr>
                <w:kern w:val="0"/>
                <w:sz w:val="20"/>
                <w:szCs w:val="21"/>
                <w14:ligatures w14:val="none"/>
              </w:rPr>
            </w:pPr>
            <w:r>
              <w:rPr>
                <w:rFonts w:hint="eastAsia"/>
                <w:kern w:val="0"/>
                <w:sz w:val="20"/>
                <w:szCs w:val="21"/>
                <w14:ligatures w14:val="none"/>
              </w:rPr>
              <w:t>48</w:t>
            </w:r>
          </w:p>
        </w:tc>
        <w:tc>
          <w:tcPr>
            <w:tcW w:w="992" w:type="dxa"/>
            <w:tcBorders>
              <w:top w:val="nil"/>
              <w:left w:val="nil"/>
              <w:bottom w:val="single" w:sz="4" w:space="0" w:color="7F7F7F"/>
              <w:right w:val="nil"/>
            </w:tcBorders>
            <w:vAlign w:val="center"/>
          </w:tcPr>
          <w:p w14:paraId="4BCCC29F" w14:textId="77777777" w:rsidR="00AE71F1" w:rsidRP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proofErr w:type="gramStart"/>
            <w:r w:rsidRPr="00AE71F1">
              <w:rPr>
                <w:kern w:val="0"/>
                <w:sz w:val="20"/>
                <w:szCs w:val="21"/>
                <w14:ligatures w14:val="none"/>
              </w:rPr>
              <w:t xml:space="preserve">Tajeddin </w:t>
            </w:r>
            <w:r w:rsidRPr="00AE71F1">
              <w:rPr>
                <w:kern w:val="0"/>
                <w:sz w:val="24"/>
                <w:szCs w:val="24"/>
                <w14:ligatures w14:val="none"/>
              </w:rPr>
              <w:t xml:space="preserve"> </w:t>
            </w:r>
            <w:r w:rsidRPr="00AE71F1">
              <w:rPr>
                <w:rFonts w:hint="eastAsia"/>
                <w:kern w:val="0"/>
                <w:sz w:val="24"/>
                <w:szCs w:val="24"/>
                <w14:ligatures w14:val="none"/>
              </w:rPr>
              <w:t>and</w:t>
            </w:r>
            <w:proofErr w:type="gramEnd"/>
            <w:r w:rsidRPr="00AE71F1">
              <w:rPr>
                <w:rFonts w:hint="eastAsia"/>
                <w:kern w:val="0"/>
                <w:sz w:val="24"/>
                <w:szCs w:val="24"/>
                <w14:ligatures w14:val="none"/>
              </w:rPr>
              <w:t xml:space="preserve"> </w:t>
            </w:r>
            <w:proofErr w:type="spellStart"/>
            <w:r w:rsidRPr="00AE71F1">
              <w:rPr>
                <w:kern w:val="0"/>
                <w:sz w:val="20"/>
                <w:szCs w:val="21"/>
                <w14:ligatures w14:val="none"/>
              </w:rPr>
              <w:t>Bagherkazemi</w:t>
            </w:r>
            <w:proofErr w:type="spellEnd"/>
            <w:r w:rsidRPr="00AE71F1">
              <w:rPr>
                <w:kern w:val="0"/>
                <w:sz w:val="20"/>
                <w:szCs w:val="21"/>
                <w14:ligatures w14:val="none"/>
              </w:rPr>
              <w:t xml:space="preserve"> (2021) (Tajeddin &amp; </w:t>
            </w:r>
            <w:proofErr w:type="spellStart"/>
            <w:r w:rsidRPr="00AE71F1">
              <w:rPr>
                <w:kern w:val="0"/>
                <w:sz w:val="20"/>
                <w:szCs w:val="21"/>
                <w14:ligatures w14:val="none"/>
              </w:rPr>
              <w:t>Bagherkazemi</w:t>
            </w:r>
            <w:proofErr w:type="spellEnd"/>
            <w:r w:rsidRPr="00AE71F1">
              <w:rPr>
                <w:kern w:val="0"/>
                <w:sz w:val="20"/>
                <w:szCs w:val="21"/>
                <w14:ligatures w14:val="none"/>
              </w:rPr>
              <w:t>, 2021)</w:t>
            </w:r>
          </w:p>
          <w:p w14:paraId="7863F6C7" w14:textId="09532F52" w:rsidR="00AE71F1" w:rsidRDefault="00AE71F1" w:rsidP="00AE71F1">
            <w:pPr>
              <w:spacing w:before="100" w:beforeAutospacing="1" w:after="100" w:afterAutospacing="1"/>
              <w:ind w:left="100" w:hangingChars="50" w:hanging="100"/>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Iran </w:t>
            </w:r>
          </w:p>
        </w:tc>
        <w:tc>
          <w:tcPr>
            <w:tcW w:w="1854" w:type="dxa"/>
            <w:tcBorders>
              <w:top w:val="nil"/>
              <w:left w:val="nil"/>
              <w:bottom w:val="single" w:sz="4" w:space="0" w:color="7F7F7F"/>
              <w:right w:val="nil"/>
            </w:tcBorders>
            <w:noWrap/>
            <w:vAlign w:val="center"/>
          </w:tcPr>
          <w:p w14:paraId="2DFF1DEA" w14:textId="574B234C"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Implicit and Explicit Pragmatic Learning Strategies: Their Factorial Structure and Relationship with Speech Act Knowledge</w:t>
            </w:r>
          </w:p>
        </w:tc>
        <w:tc>
          <w:tcPr>
            <w:tcW w:w="2219" w:type="dxa"/>
            <w:tcBorders>
              <w:top w:val="nil"/>
              <w:left w:val="nil"/>
              <w:bottom w:val="single" w:sz="4" w:space="0" w:color="7F7F7F"/>
              <w:right w:val="nil"/>
            </w:tcBorders>
            <w:noWrap/>
            <w:vAlign w:val="center"/>
          </w:tcPr>
          <w:p w14:paraId="2F2B69F5" w14:textId="7895F186"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Create a pragmatic learning strategy inventory (PRALSI) and investigate its relationship with knowledge of speech acts.</w:t>
            </w:r>
          </w:p>
        </w:tc>
        <w:tc>
          <w:tcPr>
            <w:tcW w:w="1314" w:type="dxa"/>
            <w:tcBorders>
              <w:top w:val="nil"/>
              <w:left w:val="nil"/>
              <w:bottom w:val="single" w:sz="4" w:space="0" w:color="7F7F7F"/>
              <w:right w:val="nil"/>
            </w:tcBorders>
            <w:noWrap/>
            <w:vAlign w:val="center"/>
          </w:tcPr>
          <w:p w14:paraId="2F8CAE94" w14:textId="2B5F967F"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245 Iranian English-major undergraduates</w:t>
            </w:r>
          </w:p>
        </w:tc>
        <w:tc>
          <w:tcPr>
            <w:tcW w:w="1418" w:type="dxa"/>
            <w:tcBorders>
              <w:top w:val="nil"/>
              <w:left w:val="nil"/>
              <w:bottom w:val="single" w:sz="4" w:space="0" w:color="7F7F7F"/>
              <w:right w:val="nil"/>
            </w:tcBorders>
            <w:noWrap/>
            <w:vAlign w:val="center"/>
          </w:tcPr>
          <w:p w14:paraId="43121DAF" w14:textId="0D1D4082"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Mixed study</w:t>
            </w:r>
          </w:p>
        </w:tc>
        <w:tc>
          <w:tcPr>
            <w:tcW w:w="2835" w:type="dxa"/>
            <w:tcBorders>
              <w:top w:val="nil"/>
              <w:left w:val="nil"/>
              <w:bottom w:val="single" w:sz="4" w:space="0" w:color="7F7F7F"/>
              <w:right w:val="nil"/>
            </w:tcBorders>
            <w:noWrap/>
            <w:vAlign w:val="center"/>
          </w:tcPr>
          <w:p w14:paraId="2909AC13" w14:textId="364081CF"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The findings shed light on the implications of the implicit/explicit learning dichotomy for pragmatic development and strategy use, as well as the potentially greater advantage explicit strategies may provide for pragmatic knowledge.</w:t>
            </w:r>
          </w:p>
        </w:tc>
        <w:tc>
          <w:tcPr>
            <w:tcW w:w="896" w:type="dxa"/>
            <w:tcBorders>
              <w:top w:val="nil"/>
              <w:left w:val="nil"/>
              <w:bottom w:val="single" w:sz="4" w:space="0" w:color="7F7F7F"/>
              <w:right w:val="nil"/>
            </w:tcBorders>
            <w:noWrap/>
            <w:vAlign w:val="center"/>
          </w:tcPr>
          <w:p w14:paraId="731B2526" w14:textId="63C0C015"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37</w:t>
            </w:r>
          </w:p>
        </w:tc>
      </w:tr>
      <w:tr w:rsidR="006D0207" w14:paraId="435051E4" w14:textId="77777777" w:rsidTr="00976221">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5713AF17" w14:textId="0D0563E6" w:rsidR="006D0207" w:rsidRDefault="006D0207" w:rsidP="00AE71F1">
            <w:pPr>
              <w:spacing w:before="100" w:beforeAutospacing="1" w:after="100" w:afterAutospacing="1"/>
              <w:jc w:val="center"/>
              <w:rPr>
                <w:kern w:val="0"/>
                <w:sz w:val="20"/>
                <w:szCs w:val="21"/>
                <w14:ligatures w14:val="none"/>
              </w:rPr>
            </w:pPr>
            <w:r>
              <w:rPr>
                <w:rFonts w:hint="eastAsia"/>
                <w:kern w:val="0"/>
                <w:sz w:val="20"/>
                <w:szCs w:val="21"/>
                <w14:ligatures w14:val="none"/>
              </w:rPr>
              <w:t>49</w:t>
            </w:r>
          </w:p>
        </w:tc>
        <w:tc>
          <w:tcPr>
            <w:tcW w:w="992" w:type="dxa"/>
            <w:tcBorders>
              <w:top w:val="nil"/>
              <w:left w:val="nil"/>
              <w:bottom w:val="single" w:sz="4" w:space="0" w:color="7F7F7F"/>
              <w:right w:val="nil"/>
            </w:tcBorders>
            <w:vAlign w:val="center"/>
          </w:tcPr>
          <w:p w14:paraId="06571925" w14:textId="77777777" w:rsidR="006D0207" w:rsidRDefault="006D0207" w:rsidP="006D0207">
            <w:pPr>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sidRPr="006D0207">
              <w:rPr>
                <w:rFonts w:hint="eastAsia"/>
                <w:kern w:val="0"/>
                <w:sz w:val="20"/>
                <w:szCs w:val="21"/>
                <w14:ligatures w14:val="none"/>
              </w:rPr>
              <w:t>Yuliani et al.</w:t>
            </w:r>
            <w:r>
              <w:rPr>
                <w:rFonts w:hint="eastAsia"/>
                <w:kern w:val="0"/>
                <w:sz w:val="20"/>
                <w:szCs w:val="21"/>
                <w14:ligatures w14:val="none"/>
              </w:rPr>
              <w:t xml:space="preserve"> (</w:t>
            </w:r>
            <w:r w:rsidRPr="006D0207">
              <w:rPr>
                <w:rFonts w:hint="eastAsia"/>
                <w:kern w:val="0"/>
                <w:sz w:val="20"/>
                <w:szCs w:val="21"/>
                <w14:ligatures w14:val="none"/>
              </w:rPr>
              <w:t>2023)</w:t>
            </w:r>
          </w:p>
          <w:p w14:paraId="132463D5" w14:textId="77777777" w:rsidR="006D0207" w:rsidRDefault="006D0207" w:rsidP="006D0207">
            <w:pPr>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fldChar w:fldCharType="begin" w:fldLock="1"/>
            </w:r>
            <w:r>
              <w:rPr>
                <w:kern w:val="0"/>
                <w:sz w:val="20"/>
                <w:szCs w:val="21"/>
                <w14:ligatures w14:val="none"/>
              </w:rPr>
              <w:instrText>ADDIN CSL_CITATION {"citationItems":[{"id":"ITEM-1","itemData":{"DOI":"10.11591/edulearn.v17i2.20438","ISSN":"23029277","abstract":"One crucial skill to master by university students related to academic writing activity is paraphrasing skill. However, in Indonesian context, the university students still find paraphrasing challenging. Therefore, this study is intended to explore the use of read, reread, list, compose (RRLC) strategy to enhace the students’ paraphrasing skill in a college context. This study utilizes a qualitative case study design where the data were obtained through observation. The study revealed that RRLC stages can be implemented in learning activity. It engaged the students in activating their prior knowledge, doing an independent reading, discussing, and sharing their understanding about the text before paraphrasing. It assisted them to have better comprehension of the text to be paraphrased. In addition, during the implementation of composing stage in guided practice, the students’ paraphrased works indicated that the students were able to create sentences in different structures—active or passive constructions, use the synonyms, and retain the original meaning. These three skills helped them reduce the similiarity of their paraphrased works from the original version. This study recommends that RRLC strategy be implemented in teaching paraphrasing at college or lower level with some adjustments to meet the students’ basic English skill.","author":[{"dropping-particle":"","family":"Yuliani","given":"Tatin","non-dropping-particle":"","parse-names":false,"suffix":""},{"dropping-particle":"","family":"Kurniawati","given":"Nia","non-dropping-particle":"","parse-names":false,"suffix":""},{"dropping-particle":"","family":"Siswayani","given":"Predari","non-dropping-particle":"","parse-names":false,"suffix":""}],"container-title":"Journal of Education and Learning","id":"ITEM-1","issue":"2","issued":{"date-parts":[["2023"]]},"page":"195-205","title":"Engaging Indonesian students in “read, reread, list, compose” strategy to enhance paraphrasing skill","type":"article-journal","volume":"17"},"uris":["http://www.mendeley.com/documents/?uuid=85806798-3e45-422f-b3bb-77b543747713"]}],"mendeley":{"formattedCitation":"(Yuliani et al., 2023)","plainTextFormattedCitation":"(Yuliani et al., 2023)"},"properties":{"noteIndex":0},"schema":"https://github.com/citation-style-language/schema/raw/master/csl-citation.json"}</w:instrText>
            </w:r>
            <w:r>
              <w:rPr>
                <w:kern w:val="0"/>
                <w:sz w:val="20"/>
                <w:szCs w:val="21"/>
                <w14:ligatures w14:val="none"/>
              </w:rPr>
              <w:fldChar w:fldCharType="separate"/>
            </w:r>
            <w:r w:rsidRPr="006D0207">
              <w:rPr>
                <w:noProof/>
                <w:kern w:val="0"/>
                <w:sz w:val="20"/>
                <w:szCs w:val="21"/>
                <w14:ligatures w14:val="none"/>
              </w:rPr>
              <w:t>(Yuliani et al., 2023)</w:t>
            </w:r>
            <w:r>
              <w:rPr>
                <w:kern w:val="0"/>
                <w:sz w:val="20"/>
                <w:szCs w:val="21"/>
                <w14:ligatures w14:val="none"/>
              </w:rPr>
              <w:fldChar w:fldCharType="end"/>
            </w:r>
          </w:p>
          <w:p w14:paraId="2930DFCC" w14:textId="1613DAAB" w:rsidR="006D0207" w:rsidRPr="006D0207" w:rsidRDefault="006D0207" w:rsidP="006D0207">
            <w:pPr>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Indonesia</w:t>
            </w:r>
          </w:p>
        </w:tc>
        <w:tc>
          <w:tcPr>
            <w:tcW w:w="1854" w:type="dxa"/>
            <w:tcBorders>
              <w:top w:val="nil"/>
              <w:left w:val="nil"/>
              <w:bottom w:val="single" w:sz="4" w:space="0" w:color="7F7F7F"/>
              <w:right w:val="nil"/>
            </w:tcBorders>
            <w:noWrap/>
            <w:vAlign w:val="center"/>
          </w:tcPr>
          <w:p w14:paraId="530651CD" w14:textId="0D12AE15" w:rsidR="006D0207" w:rsidRPr="006D0207" w:rsidRDefault="006D0207" w:rsidP="006D0207">
            <w:pPr>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sidRPr="006D0207">
              <w:rPr>
                <w:rFonts w:hint="eastAsia"/>
                <w:kern w:val="0"/>
                <w:sz w:val="20"/>
                <w:szCs w:val="21"/>
                <w14:ligatures w14:val="none"/>
              </w:rPr>
              <w:t xml:space="preserve">Engaging Indonesian students in </w:t>
            </w:r>
            <w:r>
              <w:rPr>
                <w:rFonts w:hint="eastAsia"/>
                <w:kern w:val="0"/>
                <w:sz w:val="20"/>
                <w:szCs w:val="21"/>
                <w14:ligatures w14:val="none"/>
              </w:rPr>
              <w:t>"</w:t>
            </w:r>
            <w:r w:rsidRPr="006D0207">
              <w:rPr>
                <w:rFonts w:hint="eastAsia"/>
                <w:kern w:val="0"/>
                <w:sz w:val="20"/>
                <w:szCs w:val="21"/>
                <w14:ligatures w14:val="none"/>
              </w:rPr>
              <w:t>read, reread, list, compose</w:t>
            </w:r>
            <w:r>
              <w:rPr>
                <w:rFonts w:hint="eastAsia"/>
                <w:kern w:val="0"/>
                <w:sz w:val="20"/>
                <w:szCs w:val="21"/>
                <w14:ligatures w14:val="none"/>
              </w:rPr>
              <w:t>"</w:t>
            </w:r>
            <w:r w:rsidRPr="006D0207">
              <w:rPr>
                <w:rFonts w:hint="eastAsia"/>
                <w:kern w:val="0"/>
                <w:sz w:val="20"/>
                <w:szCs w:val="21"/>
                <w14:ligatures w14:val="none"/>
              </w:rPr>
              <w:t xml:space="preserve"> strategy to enhance paraphrasing skill </w:t>
            </w:r>
          </w:p>
        </w:tc>
        <w:tc>
          <w:tcPr>
            <w:tcW w:w="2219" w:type="dxa"/>
            <w:tcBorders>
              <w:top w:val="nil"/>
              <w:left w:val="nil"/>
              <w:bottom w:val="single" w:sz="4" w:space="0" w:color="7F7F7F"/>
              <w:right w:val="nil"/>
            </w:tcBorders>
            <w:noWrap/>
            <w:vAlign w:val="center"/>
          </w:tcPr>
          <w:p w14:paraId="347D0442" w14:textId="2DD377BB" w:rsidR="006D0207" w:rsidRDefault="006D0207"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E</w:t>
            </w:r>
            <w:r w:rsidRPr="006D0207">
              <w:rPr>
                <w:rFonts w:hint="eastAsia"/>
                <w:kern w:val="0"/>
                <w:sz w:val="20"/>
                <w:szCs w:val="21"/>
                <w14:ligatures w14:val="none"/>
              </w:rPr>
              <w:t xml:space="preserve">xplore the effectiveness of the Read, Reread, List, </w:t>
            </w:r>
            <w:proofErr w:type="gramStart"/>
            <w:r w:rsidRPr="006D0207">
              <w:rPr>
                <w:rFonts w:hint="eastAsia"/>
                <w:kern w:val="0"/>
                <w:sz w:val="20"/>
                <w:szCs w:val="21"/>
                <w14:ligatures w14:val="none"/>
              </w:rPr>
              <w:t>Compose</w:t>
            </w:r>
            <w:proofErr w:type="gramEnd"/>
            <w:r w:rsidRPr="006D0207">
              <w:rPr>
                <w:rFonts w:hint="eastAsia"/>
                <w:kern w:val="0"/>
                <w:sz w:val="20"/>
                <w:szCs w:val="21"/>
                <w14:ligatures w14:val="none"/>
              </w:rPr>
              <w:t xml:space="preserve"> (RRLC) strategy in enhancing university students</w:t>
            </w:r>
            <w:r>
              <w:rPr>
                <w:rFonts w:hint="eastAsia"/>
                <w:kern w:val="0"/>
                <w:sz w:val="20"/>
                <w:szCs w:val="21"/>
                <w14:ligatures w14:val="none"/>
              </w:rPr>
              <w:t>'</w:t>
            </w:r>
            <w:r w:rsidRPr="006D0207">
              <w:rPr>
                <w:rFonts w:hint="eastAsia"/>
                <w:kern w:val="0"/>
                <w:sz w:val="20"/>
                <w:szCs w:val="21"/>
                <w14:ligatures w14:val="none"/>
              </w:rPr>
              <w:t xml:space="preserve"> paraphrasing skills in an Indonesian college context.</w:t>
            </w:r>
          </w:p>
        </w:tc>
        <w:tc>
          <w:tcPr>
            <w:tcW w:w="1314" w:type="dxa"/>
            <w:tcBorders>
              <w:top w:val="nil"/>
              <w:left w:val="nil"/>
              <w:bottom w:val="single" w:sz="4" w:space="0" w:color="7F7F7F"/>
              <w:right w:val="nil"/>
            </w:tcBorders>
            <w:noWrap/>
            <w:vAlign w:val="center"/>
          </w:tcPr>
          <w:p w14:paraId="3B192933" w14:textId="4D2EDF91" w:rsidR="006D0207" w:rsidRDefault="006D0207"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9</w:t>
            </w:r>
            <w:r w:rsidRPr="006D0207">
              <w:rPr>
                <w:rFonts w:hint="eastAsia"/>
                <w:kern w:val="0"/>
                <w:sz w:val="20"/>
                <w:szCs w:val="21"/>
                <w14:ligatures w14:val="none"/>
              </w:rPr>
              <w:t>seventh-semester university students in Bandung, Indonesia</w:t>
            </w:r>
          </w:p>
        </w:tc>
        <w:tc>
          <w:tcPr>
            <w:tcW w:w="1418" w:type="dxa"/>
            <w:tcBorders>
              <w:top w:val="nil"/>
              <w:left w:val="nil"/>
              <w:bottom w:val="single" w:sz="4" w:space="0" w:color="7F7F7F"/>
              <w:right w:val="nil"/>
            </w:tcBorders>
            <w:noWrap/>
            <w:vAlign w:val="center"/>
          </w:tcPr>
          <w:p w14:paraId="4F4E5F78" w14:textId="308D2592" w:rsidR="006D0207" w:rsidRDefault="006D0207"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Q</w:t>
            </w:r>
            <w:r w:rsidRPr="006D0207">
              <w:rPr>
                <w:rFonts w:hint="eastAsia"/>
                <w:kern w:val="0"/>
                <w:sz w:val="20"/>
                <w:szCs w:val="21"/>
                <w14:ligatures w14:val="none"/>
              </w:rPr>
              <w:t>ualitative case study using classroom observation</w:t>
            </w:r>
          </w:p>
        </w:tc>
        <w:tc>
          <w:tcPr>
            <w:tcW w:w="2835" w:type="dxa"/>
            <w:tcBorders>
              <w:top w:val="nil"/>
              <w:left w:val="nil"/>
              <w:bottom w:val="single" w:sz="4" w:space="0" w:color="7F7F7F"/>
              <w:right w:val="nil"/>
            </w:tcBorders>
            <w:noWrap/>
            <w:vAlign w:val="center"/>
          </w:tcPr>
          <w:p w14:paraId="0CB1658C" w14:textId="1763DA08" w:rsidR="006D0207" w:rsidRPr="006D0207" w:rsidRDefault="006D0207"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sidRPr="006D0207">
              <w:rPr>
                <w:rFonts w:hint="eastAsia"/>
                <w:kern w:val="0"/>
                <w:sz w:val="20"/>
                <w:szCs w:val="21"/>
                <w14:ligatures w14:val="none"/>
              </w:rPr>
              <w:t>The RRLC strategy enhanced students</w:t>
            </w:r>
            <w:r>
              <w:rPr>
                <w:rFonts w:hint="eastAsia"/>
                <w:kern w:val="0"/>
                <w:sz w:val="20"/>
                <w:szCs w:val="21"/>
                <w14:ligatures w14:val="none"/>
              </w:rPr>
              <w:t>'</w:t>
            </w:r>
            <w:r w:rsidRPr="006D0207">
              <w:rPr>
                <w:rFonts w:hint="eastAsia"/>
                <w:kern w:val="0"/>
                <w:sz w:val="20"/>
                <w:szCs w:val="21"/>
                <w14:ligatures w14:val="none"/>
              </w:rPr>
              <w:t xml:space="preserve"> paraphrasing skills by improving text comprehension, encouraging structural variation, and promoting synonym use while preserving original meaning.</w:t>
            </w:r>
          </w:p>
        </w:tc>
        <w:tc>
          <w:tcPr>
            <w:tcW w:w="896" w:type="dxa"/>
            <w:tcBorders>
              <w:top w:val="nil"/>
              <w:left w:val="nil"/>
              <w:bottom w:val="single" w:sz="4" w:space="0" w:color="7F7F7F"/>
              <w:right w:val="nil"/>
            </w:tcBorders>
            <w:noWrap/>
            <w:vAlign w:val="center"/>
          </w:tcPr>
          <w:p w14:paraId="0C91755E" w14:textId="397386FC" w:rsidR="006D0207" w:rsidRDefault="006D0207"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37</w:t>
            </w:r>
          </w:p>
        </w:tc>
      </w:tr>
      <w:tr w:rsidR="0081271E" w14:paraId="41F659CE" w14:textId="77777777" w:rsidTr="00436787">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0D61A0B8" w14:textId="1E00827E" w:rsidR="0081271E" w:rsidRDefault="0081271E" w:rsidP="0081271E">
            <w:pPr>
              <w:spacing w:before="100" w:beforeAutospacing="1" w:after="100" w:afterAutospacing="1"/>
              <w:jc w:val="center"/>
              <w:rPr>
                <w:kern w:val="0"/>
                <w:sz w:val="20"/>
                <w:szCs w:val="21"/>
                <w14:ligatures w14:val="none"/>
              </w:rPr>
            </w:pPr>
            <w:r>
              <w:rPr>
                <w:rFonts w:hint="eastAsia"/>
                <w:kern w:val="0"/>
                <w:sz w:val="20"/>
                <w:szCs w:val="21"/>
                <w14:ligatures w14:val="none"/>
              </w:rPr>
              <w:t>50</w:t>
            </w:r>
          </w:p>
        </w:tc>
        <w:tc>
          <w:tcPr>
            <w:tcW w:w="992" w:type="dxa"/>
            <w:tcBorders>
              <w:top w:val="single" w:sz="4" w:space="0" w:color="7F7F7F"/>
              <w:left w:val="nil"/>
              <w:bottom w:val="single" w:sz="4" w:space="0" w:color="7F7F7F"/>
              <w:right w:val="nil"/>
            </w:tcBorders>
          </w:tcPr>
          <w:p w14:paraId="6B1F5B87" w14:textId="74B4B18E" w:rsidR="0081271E" w:rsidRDefault="0081271E" w:rsidP="008127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fldChar w:fldCharType="begin" w:fldLock="1"/>
            </w:r>
            <w:r w:rsidR="00FE21CF">
              <w:rPr>
                <w:kern w:val="0"/>
                <w:sz w:val="20"/>
                <w:szCs w:val="21"/>
                <w14:ligatures w14:val="none"/>
              </w:rPr>
              <w:instrText>ADDIN CSL_CITATION {"citationItems":[{"id":"ITEM-1","itemData":{"DOI":"10.32038/ltrq.2024.42.09","author":[{"dropping-particle":"","family":"Alsmari","given":"Nuha Abdullah","non-dropping-particle":"","parse-names":false,"suffix":""}],"container-title":"Language Teaching Research Quarterly","id":"ITEM-1","issued":{"date-parts":[["2024"]]},"note":"Cited by: 0","page":"145 – 162","title":"Learner Autonomy and Interlanguage Pragmatic Learning Strategies (IPLS) Use: A Gender-based Analysis in the Saudi EFL Context","type":"article-journal","volume":"42"},"uris":["http://www.mendeley.com/documents/?uuid=ecd95b8c-2c39-4f9e-9208-4f6a4ef73741"]}],"mendeley":{"formattedCitation":"(Alsmari, 2024)","manualFormatting":"Alsmari (2024)","plainTextFormattedCitation":"(Alsmari, 2024)","previouslyFormattedCitation":"(Alsmari, 2024)"},"properties":{"noteIndex":0},"schema":"https://github.com/citation-style-language/schema/raw/master/csl-citation.json"}</w:instrText>
            </w:r>
            <w:r>
              <w:rPr>
                <w:kern w:val="0"/>
                <w:sz w:val="20"/>
                <w:szCs w:val="21"/>
                <w14:ligatures w14:val="none"/>
              </w:rPr>
              <w:fldChar w:fldCharType="separate"/>
            </w:r>
            <w:r>
              <w:rPr>
                <w:noProof/>
                <w:kern w:val="0"/>
                <w:sz w:val="20"/>
                <w:szCs w:val="21"/>
                <w14:ligatures w14:val="none"/>
              </w:rPr>
              <w:t>Alsmari</w:t>
            </w:r>
            <w:r>
              <w:rPr>
                <w:rFonts w:hint="eastAsia"/>
                <w:noProof/>
                <w:kern w:val="0"/>
                <w:sz w:val="20"/>
                <w:szCs w:val="21"/>
                <w14:ligatures w14:val="none"/>
              </w:rPr>
              <w:t xml:space="preserve"> (</w:t>
            </w:r>
            <w:r>
              <w:rPr>
                <w:noProof/>
                <w:kern w:val="0"/>
                <w:sz w:val="20"/>
                <w:szCs w:val="21"/>
                <w14:ligatures w14:val="none"/>
              </w:rPr>
              <w:t>2024)</w:t>
            </w:r>
            <w:r>
              <w:rPr>
                <w:kern w:val="0"/>
                <w:sz w:val="20"/>
                <w:szCs w:val="21"/>
                <w14:ligatures w14:val="none"/>
              </w:rPr>
              <w:fldChar w:fldCharType="end"/>
            </w:r>
            <w:r>
              <w:rPr>
                <w:rFonts w:hint="eastAsia"/>
                <w:kern w:val="0"/>
                <w:sz w:val="20"/>
                <w:szCs w:val="21"/>
                <w14:ligatures w14:val="none"/>
              </w:rPr>
              <w:t xml:space="preserve"> </w:t>
            </w:r>
            <w:r>
              <w:rPr>
                <w:kern w:val="0"/>
                <w:sz w:val="20"/>
                <w:szCs w:val="21"/>
                <w14:ligatures w14:val="none"/>
              </w:rPr>
              <w:fldChar w:fldCharType="begin" w:fldLock="1"/>
            </w:r>
            <w:r w:rsidR="00FE21CF">
              <w:rPr>
                <w:kern w:val="0"/>
                <w:sz w:val="20"/>
                <w:szCs w:val="21"/>
                <w14:ligatures w14:val="none"/>
              </w:rPr>
              <w:instrText>ADDIN CSL_CITATION {"citationItems":[{"id":"ITEM-1","itemData":{"DOI":"10.32038/ltrq.2024.42.09","author":[{"dropping-particle":"","family":"Alsmari","given":"Nuha Abdullah","non-dropping-particle":"","parse-names":false,"suffix":""}],"container-title":"Language Teaching Research Quarterly","id":"ITEM-1","issued":{"date-parts":[["2024"]]},"note":"Cited by: 0","page":"145 – 162","title":"Learner Autonomy and Interlanguage Pragmatic Learning Strategies (IPLS) Use: A Gender-based Analysis in the Saudi EFL Context","type":"article-journal","volume":"42"},"uris":["http://www.mendeley.com/documents/?uuid=ecd95b8c-2c39-4f9e-9208-4f6a4ef73741"]}],"mendeley":{"formattedCitation":"(Alsmari, 2024)","plainTextFormattedCitation":"(Alsmari, 2024)","previouslyFormattedCitation":"(Alsmari, 2024)"},"properties":{"noteIndex":0},"schema":"https://github.com/citation-style-language/schema/raw/master/csl-citation.json"}</w:instrText>
            </w:r>
            <w:r>
              <w:rPr>
                <w:kern w:val="0"/>
                <w:sz w:val="20"/>
                <w:szCs w:val="21"/>
                <w14:ligatures w14:val="none"/>
              </w:rPr>
              <w:fldChar w:fldCharType="separate"/>
            </w:r>
            <w:r w:rsidR="00BA1F54" w:rsidRPr="00BA1F54">
              <w:rPr>
                <w:noProof/>
                <w:kern w:val="0"/>
                <w:sz w:val="20"/>
                <w:szCs w:val="21"/>
                <w14:ligatures w14:val="none"/>
              </w:rPr>
              <w:t>(Alsmari, 2024)</w:t>
            </w:r>
            <w:r>
              <w:rPr>
                <w:kern w:val="0"/>
                <w:sz w:val="20"/>
                <w:szCs w:val="21"/>
                <w14:ligatures w14:val="none"/>
              </w:rPr>
              <w:fldChar w:fldCharType="end"/>
            </w:r>
          </w:p>
          <w:p w14:paraId="755F5CCD" w14:textId="2D074321" w:rsidR="0081271E" w:rsidRPr="00AE71F1" w:rsidRDefault="0081271E" w:rsidP="008127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Saudi Arabia</w:t>
            </w:r>
          </w:p>
        </w:tc>
        <w:tc>
          <w:tcPr>
            <w:tcW w:w="1854" w:type="dxa"/>
            <w:tcBorders>
              <w:top w:val="single" w:sz="4" w:space="0" w:color="7F7F7F"/>
              <w:left w:val="nil"/>
              <w:bottom w:val="single" w:sz="4" w:space="0" w:color="7F7F7F"/>
              <w:right w:val="nil"/>
            </w:tcBorders>
            <w:noWrap/>
          </w:tcPr>
          <w:p w14:paraId="667819E2" w14:textId="0AA710D9" w:rsidR="0081271E" w:rsidRDefault="0081271E" w:rsidP="008127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Learner Autonomy and Interlanguage Pragmatic Learning Strategies (IPLS) Use: A Gender-based Analysis in the Saudi EFL Context</w:t>
            </w:r>
          </w:p>
        </w:tc>
        <w:tc>
          <w:tcPr>
            <w:tcW w:w="2219" w:type="dxa"/>
            <w:tcBorders>
              <w:top w:val="single" w:sz="4" w:space="0" w:color="7F7F7F"/>
              <w:left w:val="nil"/>
              <w:bottom w:val="single" w:sz="4" w:space="0" w:color="7F7F7F"/>
              <w:right w:val="nil"/>
            </w:tcBorders>
            <w:noWrap/>
          </w:tcPr>
          <w:p w14:paraId="2885E538" w14:textId="463E0FBA" w:rsidR="0081271E" w:rsidRDefault="0081271E" w:rsidP="008127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E</w:t>
            </w:r>
            <w:r>
              <w:rPr>
                <w:kern w:val="0"/>
                <w:sz w:val="20"/>
                <w:szCs w:val="21"/>
                <w14:ligatures w14:val="none"/>
              </w:rPr>
              <w:t>xamine the relationship between IPLS use and learner autonomy among male and female Saudi EFL learners, and investigate gender-based differences</w:t>
            </w:r>
            <w:r>
              <w:rPr>
                <w:rFonts w:hint="eastAsia"/>
                <w:kern w:val="0"/>
                <w:sz w:val="20"/>
                <w:szCs w:val="21"/>
                <w14:ligatures w14:val="none"/>
              </w:rPr>
              <w:t>.</w:t>
            </w:r>
          </w:p>
        </w:tc>
        <w:tc>
          <w:tcPr>
            <w:tcW w:w="1314" w:type="dxa"/>
            <w:tcBorders>
              <w:top w:val="single" w:sz="4" w:space="0" w:color="7F7F7F"/>
              <w:left w:val="nil"/>
              <w:bottom w:val="single" w:sz="4" w:space="0" w:color="7F7F7F"/>
              <w:right w:val="nil"/>
            </w:tcBorders>
            <w:noWrap/>
          </w:tcPr>
          <w:p w14:paraId="33B76152" w14:textId="55EE2391" w:rsidR="0081271E" w:rsidRDefault="0081271E" w:rsidP="008127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156 upper-intermediate Saudi EFL learners (78 males, 78 females)</w:t>
            </w:r>
          </w:p>
        </w:tc>
        <w:tc>
          <w:tcPr>
            <w:tcW w:w="1418" w:type="dxa"/>
            <w:tcBorders>
              <w:top w:val="single" w:sz="4" w:space="0" w:color="7F7F7F"/>
              <w:left w:val="nil"/>
              <w:bottom w:val="single" w:sz="4" w:space="0" w:color="7F7F7F"/>
              <w:right w:val="nil"/>
            </w:tcBorders>
            <w:noWrap/>
          </w:tcPr>
          <w:p w14:paraId="1D1D67AC" w14:textId="2BD75914" w:rsidR="0081271E" w:rsidRDefault="0081271E" w:rsidP="008127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Quantitative, correlational design using surveys and proficiency test</w:t>
            </w:r>
          </w:p>
        </w:tc>
        <w:tc>
          <w:tcPr>
            <w:tcW w:w="2835" w:type="dxa"/>
            <w:tcBorders>
              <w:top w:val="single" w:sz="4" w:space="0" w:color="7F7F7F"/>
              <w:left w:val="nil"/>
              <w:bottom w:val="single" w:sz="4" w:space="0" w:color="7F7F7F"/>
              <w:right w:val="nil"/>
            </w:tcBorders>
            <w:noWrap/>
          </w:tcPr>
          <w:p w14:paraId="0C1F0602" w14:textId="7F812137" w:rsidR="0081271E" w:rsidRDefault="0081271E" w:rsidP="008127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Female learners showed higher autonomy and more strategic IPLS use. A strong correlation between IPLS and autonomy was observed in males, moderate in females</w:t>
            </w:r>
            <w:r>
              <w:rPr>
                <w:rFonts w:hint="eastAsia"/>
                <w:kern w:val="0"/>
                <w:sz w:val="20"/>
                <w:szCs w:val="21"/>
                <w14:ligatures w14:val="none"/>
              </w:rPr>
              <w:t>.</w:t>
            </w:r>
          </w:p>
        </w:tc>
        <w:tc>
          <w:tcPr>
            <w:tcW w:w="896" w:type="dxa"/>
            <w:tcBorders>
              <w:top w:val="single" w:sz="4" w:space="0" w:color="7F7F7F"/>
              <w:left w:val="nil"/>
              <w:bottom w:val="single" w:sz="4" w:space="0" w:color="7F7F7F"/>
              <w:right w:val="nil"/>
            </w:tcBorders>
            <w:noWrap/>
          </w:tcPr>
          <w:p w14:paraId="1D362A02" w14:textId="17E429BA" w:rsidR="0081271E" w:rsidRDefault="0081271E" w:rsidP="0081271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38</w:t>
            </w:r>
          </w:p>
        </w:tc>
      </w:tr>
      <w:tr w:rsidR="00AE71F1" w14:paraId="6649A4C3"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12C5EA77" w14:textId="77777777" w:rsidR="00AE71F1" w:rsidRDefault="00AE71F1" w:rsidP="00AE71F1">
            <w:pPr>
              <w:spacing w:before="100" w:beforeAutospacing="1" w:after="100" w:afterAutospacing="1"/>
              <w:jc w:val="center"/>
              <w:rPr>
                <w:b w:val="0"/>
                <w:bCs w:val="0"/>
                <w:kern w:val="0"/>
                <w:sz w:val="20"/>
                <w:szCs w:val="21"/>
                <w14:ligatures w14:val="none"/>
              </w:rPr>
            </w:pPr>
            <w:r>
              <w:rPr>
                <w:rFonts w:hint="eastAsia"/>
                <w:kern w:val="0"/>
                <w:sz w:val="20"/>
                <w:szCs w:val="21"/>
                <w14:ligatures w14:val="none"/>
              </w:rPr>
              <w:t>51</w:t>
            </w:r>
          </w:p>
        </w:tc>
        <w:tc>
          <w:tcPr>
            <w:tcW w:w="992" w:type="dxa"/>
            <w:tcBorders>
              <w:top w:val="single" w:sz="4" w:space="0" w:color="7F7F7F"/>
              <w:left w:val="nil"/>
              <w:bottom w:val="single" w:sz="4" w:space="0" w:color="7F7F7F"/>
              <w:right w:val="nil"/>
            </w:tcBorders>
          </w:tcPr>
          <w:p w14:paraId="4DC0877C" w14:textId="3843AB3D"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fldChar w:fldCharType="begin" w:fldLock="1"/>
            </w:r>
            <w:r w:rsidR="00FE21CF">
              <w:rPr>
                <w:kern w:val="0"/>
                <w:sz w:val="20"/>
                <w:szCs w:val="21"/>
                <w14:ligatures w14:val="none"/>
              </w:rPr>
              <w:instrText>ADDIN CSL_CITATION {"citationItems":[{"id":"ITEM-1","itemData":{"DOI":"10.1039/D2RP00145D","ISSN":"1109-4028","abstract":"The unforeseen shift to virtual learning during the COVID-19 pandemic required instructors and students to face unprecedented learning challenges. Under these circumstances, Chinese international students who intended to come to the U.S. to begin their studies were required to remotely access their courses while still residing in China, which included a general chemistry laboratory course. Research suggests that English language learners (ELL) face a substantial language barrier in science-based courses as they must simultaneously be proficient in English as well as in the discipline-specific academic language; however, little is understood about how ELLs navigate these challenges in the context of a virtual chemistry laboratory course. This study examined the perceptions of Chinese international students about their learning as well as the tools/strategies they used to navigate the language barrier in the virtual laboratory course. Results suggest that although the participants perceived the virtual laboratory space as a safe and low-pressured environment to run experiments, they experienced difficulties in comprehending procedures adequately which potentially hindered them from developing a deeper understanding of the experiments. The types of strategies and tools that students used to navigate between their first language, the English language, and the academic language associated with chemistry mainly supported surface level learning. These findings underscore the need to identify and develop more sophisticated instructional strategies that help students navigate interlanguage spaces and reach higher levels of learning.","author":[{"dropping-particle":"","family":"Lee","given":"Eshani N","non-dropping-particle":"","parse-names":false,"suffix":""},{"dropping-particle":"","family":"Nealy","given":"Schetema","non-dropping-particle":"","parse-names":false,"suffix":""},{"dropping-particle":"","family":"Cruz","given":"Laura","non-dropping-particle":"","parse-names":false,"suffix":""}],"container-title":"Chemistry Education Research and Practice","id":"ITEM-1","issue":"2","issued":{"date-parts":[["2023"]]},"page":"674-687","publisher":"The Royal Society of Chemistry","title":"Navigating the interlanguage space: Chinese international students’ perceptions of a virtual chemistry laboratory course","type":"article-journal","volume":"24"},"uris":["http://www.mendeley.com/documents/?uuid=da411b6e-482c-453f-a5f0-b8c021c3d521"]}],"mendeley":{"formattedCitation":"(Lee et al., 2023)","manualFormatting":"Lee et al. (2023)","plainTextFormattedCitation":"(Lee et al., 2023)","previouslyFormattedCitation":"(Lee et al., 2023)"},"properties":{"noteIndex":0},"schema":"https://github.com/citation-style-language/schema/raw/master/csl-citation.json"}</w:instrText>
            </w:r>
            <w:r>
              <w:rPr>
                <w:kern w:val="0"/>
                <w:sz w:val="20"/>
                <w:szCs w:val="21"/>
                <w14:ligatures w14:val="none"/>
              </w:rPr>
              <w:fldChar w:fldCharType="separate"/>
            </w:r>
            <w:r>
              <w:rPr>
                <w:noProof/>
                <w:kern w:val="0"/>
                <w:sz w:val="20"/>
                <w:szCs w:val="21"/>
                <w14:ligatures w14:val="none"/>
              </w:rPr>
              <w:t xml:space="preserve">Lee et al. </w:t>
            </w:r>
            <w:r>
              <w:rPr>
                <w:rFonts w:hint="eastAsia"/>
                <w:noProof/>
                <w:kern w:val="0"/>
                <w:sz w:val="20"/>
                <w:szCs w:val="21"/>
                <w14:ligatures w14:val="none"/>
              </w:rPr>
              <w:t>(</w:t>
            </w:r>
            <w:r>
              <w:rPr>
                <w:noProof/>
                <w:kern w:val="0"/>
                <w:sz w:val="20"/>
                <w:szCs w:val="21"/>
                <w14:ligatures w14:val="none"/>
              </w:rPr>
              <w:t>2023)</w:t>
            </w:r>
            <w:r>
              <w:rPr>
                <w:kern w:val="0"/>
                <w:sz w:val="20"/>
                <w:szCs w:val="21"/>
                <w14:ligatures w14:val="none"/>
              </w:rPr>
              <w:fldChar w:fldCharType="end"/>
            </w:r>
            <w:r>
              <w:rPr>
                <w:rFonts w:hint="eastAsia"/>
                <w:kern w:val="0"/>
                <w:sz w:val="20"/>
                <w:szCs w:val="21"/>
                <w14:ligatures w14:val="none"/>
              </w:rPr>
              <w:t xml:space="preserve"> </w:t>
            </w:r>
            <w:r>
              <w:rPr>
                <w:kern w:val="0"/>
                <w:sz w:val="20"/>
                <w:szCs w:val="21"/>
                <w14:ligatures w14:val="none"/>
              </w:rPr>
              <w:lastRenderedPageBreak/>
              <w:t>(Lee et al., 2023)</w:t>
            </w:r>
          </w:p>
          <w:p w14:paraId="6E1A78FC"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United States</w:t>
            </w:r>
          </w:p>
        </w:tc>
        <w:tc>
          <w:tcPr>
            <w:tcW w:w="1854" w:type="dxa"/>
            <w:tcBorders>
              <w:top w:val="single" w:sz="4" w:space="0" w:color="7F7F7F"/>
              <w:left w:val="nil"/>
              <w:bottom w:val="single" w:sz="4" w:space="0" w:color="7F7F7F"/>
              <w:right w:val="nil"/>
            </w:tcBorders>
            <w:noWrap/>
          </w:tcPr>
          <w:p w14:paraId="08A04CB1"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 xml:space="preserve">Navigating the Interlanguage </w:t>
            </w:r>
            <w:r>
              <w:rPr>
                <w:kern w:val="0"/>
                <w:sz w:val="20"/>
                <w:szCs w:val="21"/>
                <w14:ligatures w14:val="none"/>
              </w:rPr>
              <w:lastRenderedPageBreak/>
              <w:t>Space: Chinese International Students' Perceptions of a Virtual Chemistry Laboratory Course</w:t>
            </w:r>
          </w:p>
        </w:tc>
        <w:tc>
          <w:tcPr>
            <w:tcW w:w="2219" w:type="dxa"/>
            <w:tcBorders>
              <w:top w:val="single" w:sz="4" w:space="0" w:color="7F7F7F"/>
              <w:left w:val="nil"/>
              <w:bottom w:val="single" w:sz="4" w:space="0" w:color="7F7F7F"/>
              <w:right w:val="nil"/>
            </w:tcBorders>
            <w:noWrap/>
          </w:tcPr>
          <w:p w14:paraId="08AAE092"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 xml:space="preserve">To explore how Chinese EFL learners perceived </w:t>
            </w:r>
            <w:r>
              <w:rPr>
                <w:kern w:val="0"/>
                <w:sz w:val="20"/>
                <w:szCs w:val="21"/>
                <w14:ligatures w14:val="none"/>
              </w:rPr>
              <w:lastRenderedPageBreak/>
              <w:t>and navigated linguistic challenges in a virtual chemistry lab course during COVID-19</w:t>
            </w:r>
            <w:r>
              <w:rPr>
                <w:rFonts w:hint="eastAsia"/>
                <w:kern w:val="0"/>
                <w:sz w:val="20"/>
                <w:szCs w:val="21"/>
                <w14:ligatures w14:val="none"/>
              </w:rPr>
              <w:t>.</w:t>
            </w:r>
          </w:p>
        </w:tc>
        <w:tc>
          <w:tcPr>
            <w:tcW w:w="1314" w:type="dxa"/>
            <w:tcBorders>
              <w:top w:val="single" w:sz="4" w:space="0" w:color="7F7F7F"/>
              <w:left w:val="nil"/>
              <w:bottom w:val="single" w:sz="4" w:space="0" w:color="7F7F7F"/>
              <w:right w:val="nil"/>
            </w:tcBorders>
            <w:noWrap/>
          </w:tcPr>
          <w:p w14:paraId="1E75F258"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 xml:space="preserve">Chinese international </w:t>
            </w:r>
            <w:r>
              <w:rPr>
                <w:kern w:val="0"/>
                <w:sz w:val="20"/>
                <w:szCs w:val="21"/>
                <w14:ligatures w14:val="none"/>
              </w:rPr>
              <w:lastRenderedPageBreak/>
              <w:t>students enrolled in a U.S. university chemistry lab course during the pandemic</w:t>
            </w:r>
          </w:p>
        </w:tc>
        <w:tc>
          <w:tcPr>
            <w:tcW w:w="1418" w:type="dxa"/>
            <w:tcBorders>
              <w:top w:val="single" w:sz="4" w:space="0" w:color="7F7F7F"/>
              <w:left w:val="nil"/>
              <w:bottom w:val="single" w:sz="4" w:space="0" w:color="7F7F7F"/>
              <w:right w:val="nil"/>
            </w:tcBorders>
            <w:noWrap/>
          </w:tcPr>
          <w:p w14:paraId="2DDEE160"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 xml:space="preserve">Qualitative case study </w:t>
            </w:r>
            <w:r>
              <w:rPr>
                <w:kern w:val="0"/>
                <w:sz w:val="20"/>
                <w:szCs w:val="21"/>
                <w14:ligatures w14:val="none"/>
              </w:rPr>
              <w:lastRenderedPageBreak/>
              <w:t>(interview-based)</w:t>
            </w:r>
          </w:p>
        </w:tc>
        <w:tc>
          <w:tcPr>
            <w:tcW w:w="2835" w:type="dxa"/>
            <w:tcBorders>
              <w:top w:val="single" w:sz="4" w:space="0" w:color="7F7F7F"/>
              <w:left w:val="nil"/>
              <w:bottom w:val="single" w:sz="4" w:space="0" w:color="7F7F7F"/>
              <w:right w:val="nil"/>
            </w:tcBorders>
            <w:noWrap/>
          </w:tcPr>
          <w:p w14:paraId="5A78FDAF"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lastRenderedPageBreak/>
              <w:t xml:space="preserve">Students found the virtual lab low-pressure but struggled with </w:t>
            </w:r>
            <w:r>
              <w:rPr>
                <w:kern w:val="0"/>
                <w:sz w:val="20"/>
                <w:szCs w:val="21"/>
                <w14:ligatures w14:val="none"/>
              </w:rPr>
              <w:lastRenderedPageBreak/>
              <w:t>procedure comprehension. Strategies used mainly supported surface learning; deeper engagement with academic language was limited.</w:t>
            </w:r>
          </w:p>
        </w:tc>
        <w:tc>
          <w:tcPr>
            <w:tcW w:w="896" w:type="dxa"/>
            <w:tcBorders>
              <w:top w:val="single" w:sz="4" w:space="0" w:color="7F7F7F"/>
              <w:left w:val="nil"/>
              <w:bottom w:val="single" w:sz="4" w:space="0" w:color="7F7F7F"/>
              <w:right w:val="nil"/>
            </w:tcBorders>
            <w:noWrap/>
          </w:tcPr>
          <w:p w14:paraId="6EA90C4C"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lastRenderedPageBreak/>
              <w:t>36</w:t>
            </w:r>
          </w:p>
        </w:tc>
      </w:tr>
      <w:tr w:rsidR="00AE71F1" w14:paraId="58A6C32A"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3242AF12" w14:textId="77777777" w:rsidR="00AE71F1" w:rsidRDefault="00AE71F1" w:rsidP="00AE71F1">
            <w:pPr>
              <w:spacing w:before="100" w:beforeAutospacing="1" w:after="100" w:afterAutospacing="1"/>
              <w:jc w:val="center"/>
              <w:rPr>
                <w:b w:val="0"/>
                <w:bCs w:val="0"/>
                <w:kern w:val="0"/>
                <w:sz w:val="20"/>
                <w:szCs w:val="21"/>
                <w14:ligatures w14:val="none"/>
              </w:rPr>
            </w:pPr>
            <w:r>
              <w:rPr>
                <w:rFonts w:hint="eastAsia"/>
                <w:kern w:val="0"/>
                <w:sz w:val="20"/>
                <w:szCs w:val="21"/>
                <w14:ligatures w14:val="none"/>
              </w:rPr>
              <w:t>52</w:t>
            </w:r>
          </w:p>
        </w:tc>
        <w:tc>
          <w:tcPr>
            <w:tcW w:w="992" w:type="dxa"/>
            <w:tcBorders>
              <w:top w:val="single" w:sz="4" w:space="0" w:color="7F7F7F"/>
              <w:left w:val="nil"/>
              <w:bottom w:val="single" w:sz="4" w:space="0" w:color="7F7F7F"/>
              <w:right w:val="nil"/>
            </w:tcBorders>
          </w:tcPr>
          <w:p w14:paraId="43432466" w14:textId="488B269E"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proofErr w:type="spellStart"/>
            <w:r>
              <w:rPr>
                <w:kern w:val="0"/>
                <w:sz w:val="20"/>
                <w:szCs w:val="21"/>
                <w14:ligatures w14:val="none"/>
              </w:rPr>
              <w:t>Worathumrong</w:t>
            </w:r>
            <w:proofErr w:type="spellEnd"/>
            <w:r>
              <w:rPr>
                <w:kern w:val="0"/>
                <w:sz w:val="20"/>
                <w:szCs w:val="21"/>
                <w14:ligatures w14:val="none"/>
              </w:rPr>
              <w:t xml:space="preserve"> </w:t>
            </w:r>
            <w:r>
              <w:rPr>
                <w:rFonts w:hint="eastAsia"/>
                <w:kern w:val="0"/>
                <w:sz w:val="20"/>
                <w:szCs w:val="21"/>
                <w14:ligatures w14:val="none"/>
              </w:rPr>
              <w:t>(</w:t>
            </w:r>
            <w:r>
              <w:rPr>
                <w:kern w:val="0"/>
                <w:sz w:val="20"/>
                <w:szCs w:val="21"/>
                <w14:ligatures w14:val="none"/>
              </w:rPr>
              <w:t>2021)</w:t>
            </w:r>
            <w:r>
              <w:rPr>
                <w:rFonts w:hint="eastAsia"/>
                <w:kern w:val="0"/>
                <w:sz w:val="20"/>
                <w:szCs w:val="21"/>
                <w14:ligatures w14:val="none"/>
              </w:rPr>
              <w:t xml:space="preserve"> </w:t>
            </w:r>
            <w:r>
              <w:rPr>
                <w:kern w:val="0"/>
                <w:sz w:val="20"/>
                <w:szCs w:val="21"/>
                <w14:ligatures w14:val="none"/>
              </w:rPr>
              <w:fldChar w:fldCharType="begin" w:fldLock="1"/>
            </w:r>
            <w:r w:rsidR="00FE21CF">
              <w:rPr>
                <w:kern w:val="0"/>
                <w:sz w:val="20"/>
                <w:szCs w:val="21"/>
                <w14:ligatures w14:val="none"/>
              </w:rPr>
              <w:instrText>ADDIN CSL_CITATION {"citationItems":[{"id":"ITEM-1","itemData":{"DOI":"10.5539/elt.v14n10p92","ISSN":"1916-4742","abstract":"This study investigated features of first language and cultural interference in Thai EFL learners&amp;rsquo; English paragraph writing on popular culture. Drawing from theoretical grounds of interlanguage, language interference, and rhetorical interference, the sample of 30 English paragraphs of Thai EFL undergraduate learners was examined quantitatively and qualitatively. The English writing included 15 paragraphs from the Thai learners with high exposure to English language (TEH) group, and 15 paragraphs from those with the low exposure to English language (TEL) group. Using analysis models of metadiscourse markers and topical progressions, the findings revealed the preference of both groups in the use of interactive and interactional devices as well as SP, PP, and EPP types of topical progressions. The preference highlights the feature of oral-based, inductive, or reader-responsible writing orientation with a possibility of writing development, especially among the TEHs to reach expectation of the target language readers. The findings encourage assessing the Thai EFL learners&amp;rsquo; writing as a process and raising frequent awareness of both language and rhetorical interferences when writing English texts. As the introductory stage during COVID-19 remote learning, writing to express learners&amp;rsquo; interests could be used as an effective communication strategy for a positive instructor-learner relationship which assists the learners to further engage in the class in a more meaningful way.&amp;nbsp;","author":[{"dropping-particle":"","family":"Worathumrong","given":"Sakulrat","non-dropping-particle":"","parse-names":false,"suffix":""}],"container-title":"English Language Teaching","id":"ITEM-1","issue":"10","issued":{"date-parts":[["2021"]]},"page":"92","title":"“How the Furby Coming is…”: Interference of First Language and Culture in Thai EFL Learners’ Paragraph Writing","type":"article-journal","volume":"14"},"uris":["http://www.mendeley.com/documents/?uuid=4f648c5d-88aa-4014-9afb-54626aff9c1a"]}],"mendeley":{"formattedCitation":"(Worathumrong, 2021)","plainTextFormattedCitation":"(Worathumrong, 2021)","previouslyFormattedCitation":"(Worathumrong, 2021)"},"properties":{"noteIndex":0},"schema":"https://github.com/citation-style-language/schema/raw/master/csl-citation.json"}</w:instrText>
            </w:r>
            <w:r>
              <w:rPr>
                <w:kern w:val="0"/>
                <w:sz w:val="20"/>
                <w:szCs w:val="21"/>
                <w14:ligatures w14:val="none"/>
              </w:rPr>
              <w:fldChar w:fldCharType="separate"/>
            </w:r>
            <w:r w:rsidR="00BA1F54" w:rsidRPr="00BA1F54">
              <w:rPr>
                <w:noProof/>
                <w:kern w:val="0"/>
                <w:sz w:val="20"/>
                <w:szCs w:val="21"/>
                <w14:ligatures w14:val="none"/>
              </w:rPr>
              <w:t>(Worathumrong, 2021)</w:t>
            </w:r>
            <w:r>
              <w:rPr>
                <w:kern w:val="0"/>
                <w:sz w:val="20"/>
                <w:szCs w:val="21"/>
                <w14:ligatures w14:val="none"/>
              </w:rPr>
              <w:fldChar w:fldCharType="end"/>
            </w:r>
          </w:p>
          <w:p w14:paraId="01D83540"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Thailand</w:t>
            </w:r>
          </w:p>
        </w:tc>
        <w:tc>
          <w:tcPr>
            <w:tcW w:w="1854" w:type="dxa"/>
            <w:tcBorders>
              <w:top w:val="single" w:sz="4" w:space="0" w:color="7F7F7F"/>
              <w:left w:val="nil"/>
              <w:bottom w:val="single" w:sz="4" w:space="0" w:color="7F7F7F"/>
              <w:right w:val="nil"/>
            </w:tcBorders>
            <w:noWrap/>
          </w:tcPr>
          <w:p w14:paraId="5E7F83B5"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"How the Furby Coming is…": Interference of First Language and Culture in Thai EFL Learners' Paragraph Writing</w:t>
            </w:r>
          </w:p>
        </w:tc>
        <w:tc>
          <w:tcPr>
            <w:tcW w:w="2219" w:type="dxa"/>
            <w:tcBorders>
              <w:top w:val="single" w:sz="4" w:space="0" w:color="7F7F7F"/>
              <w:left w:val="nil"/>
              <w:bottom w:val="single" w:sz="4" w:space="0" w:color="7F7F7F"/>
              <w:right w:val="nil"/>
            </w:tcBorders>
            <w:noWrap/>
          </w:tcPr>
          <w:p w14:paraId="5CEC9E15"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Examine how first-language and cultural interference appear in Thai undergraduates' English paragraphs on pop-culture topics, comparing high-exposure (TEH) and low-exposure (TEL) learners.</w:t>
            </w:r>
          </w:p>
        </w:tc>
        <w:tc>
          <w:tcPr>
            <w:tcW w:w="1314" w:type="dxa"/>
            <w:tcBorders>
              <w:top w:val="single" w:sz="4" w:space="0" w:color="7F7F7F"/>
              <w:left w:val="nil"/>
              <w:bottom w:val="single" w:sz="4" w:space="0" w:color="7F7F7F"/>
              <w:right w:val="nil"/>
            </w:tcBorders>
            <w:noWrap/>
          </w:tcPr>
          <w:p w14:paraId="7C79689D"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30 English paragraphs (100-150 words each): 15 from TEH </w:t>
            </w:r>
            <w:proofErr w:type="gramStart"/>
            <w:r>
              <w:rPr>
                <w:kern w:val="0"/>
                <w:sz w:val="20"/>
                <w:szCs w:val="21"/>
                <w14:ligatures w14:val="none"/>
              </w:rPr>
              <w:t>students  and</w:t>
            </w:r>
            <w:proofErr w:type="gramEnd"/>
            <w:r>
              <w:rPr>
                <w:kern w:val="0"/>
                <w:sz w:val="20"/>
                <w:szCs w:val="21"/>
                <w14:ligatures w14:val="none"/>
              </w:rPr>
              <w:t xml:space="preserve"> 15 from TEL students</w:t>
            </w:r>
          </w:p>
        </w:tc>
        <w:tc>
          <w:tcPr>
            <w:tcW w:w="1418" w:type="dxa"/>
            <w:tcBorders>
              <w:top w:val="single" w:sz="4" w:space="0" w:color="7F7F7F"/>
              <w:left w:val="nil"/>
              <w:bottom w:val="single" w:sz="4" w:space="0" w:color="7F7F7F"/>
              <w:right w:val="nil"/>
            </w:tcBorders>
            <w:noWrap/>
          </w:tcPr>
          <w:p w14:paraId="58AF38D5"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Mixed-methods text analysis</w:t>
            </w:r>
          </w:p>
        </w:tc>
        <w:tc>
          <w:tcPr>
            <w:tcW w:w="2835" w:type="dxa"/>
            <w:tcBorders>
              <w:top w:val="single" w:sz="4" w:space="0" w:color="7F7F7F"/>
              <w:left w:val="nil"/>
              <w:bottom w:val="single" w:sz="4" w:space="0" w:color="7F7F7F"/>
              <w:right w:val="nil"/>
            </w:tcBorders>
            <w:noWrap/>
          </w:tcPr>
          <w:p w14:paraId="55242F80"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Both groups used the same </w:t>
            </w:r>
            <w:proofErr w:type="spellStart"/>
            <w:r>
              <w:rPr>
                <w:kern w:val="0"/>
                <w:sz w:val="20"/>
                <w:szCs w:val="21"/>
                <w14:ligatures w14:val="none"/>
              </w:rPr>
              <w:t>metadiscourse</w:t>
            </w:r>
            <w:proofErr w:type="spellEnd"/>
            <w:r>
              <w:rPr>
                <w:kern w:val="0"/>
                <w:sz w:val="20"/>
                <w:szCs w:val="21"/>
                <w14:ligatures w14:val="none"/>
              </w:rPr>
              <w:t xml:space="preserve"> and SP/PP/EPP flows, showing an oral, reader-responsible style; high-exposure writers were clearer and less L1-influenced, underscoring the need to teach interference awareness.</w:t>
            </w:r>
          </w:p>
        </w:tc>
        <w:tc>
          <w:tcPr>
            <w:tcW w:w="896" w:type="dxa"/>
            <w:tcBorders>
              <w:top w:val="single" w:sz="4" w:space="0" w:color="7F7F7F"/>
              <w:left w:val="nil"/>
              <w:bottom w:val="single" w:sz="4" w:space="0" w:color="7F7F7F"/>
              <w:right w:val="nil"/>
            </w:tcBorders>
            <w:noWrap/>
          </w:tcPr>
          <w:p w14:paraId="683F1F75"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35</w:t>
            </w:r>
          </w:p>
        </w:tc>
      </w:tr>
      <w:tr w:rsidR="00AE71F1" w14:paraId="58AD2D7B"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1099FF2C" w14:textId="77777777" w:rsidR="00AE71F1" w:rsidRDefault="00AE71F1" w:rsidP="00AE71F1">
            <w:pPr>
              <w:spacing w:before="100" w:beforeAutospacing="1" w:after="100" w:afterAutospacing="1"/>
              <w:jc w:val="center"/>
              <w:rPr>
                <w:b w:val="0"/>
                <w:bCs w:val="0"/>
                <w:kern w:val="0"/>
                <w:sz w:val="20"/>
                <w:szCs w:val="21"/>
                <w14:ligatures w14:val="none"/>
              </w:rPr>
            </w:pPr>
            <w:r>
              <w:rPr>
                <w:rFonts w:hint="eastAsia"/>
                <w:kern w:val="0"/>
                <w:sz w:val="20"/>
                <w:szCs w:val="21"/>
                <w14:ligatures w14:val="none"/>
              </w:rPr>
              <w:t>53</w:t>
            </w:r>
          </w:p>
        </w:tc>
        <w:tc>
          <w:tcPr>
            <w:tcW w:w="992" w:type="dxa"/>
            <w:tcBorders>
              <w:top w:val="single" w:sz="4" w:space="0" w:color="7F7F7F"/>
              <w:left w:val="nil"/>
              <w:bottom w:val="single" w:sz="4" w:space="0" w:color="7F7F7F"/>
              <w:right w:val="nil"/>
            </w:tcBorders>
          </w:tcPr>
          <w:p w14:paraId="7EDEF773"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Almalki </w:t>
            </w:r>
            <w:r>
              <w:rPr>
                <w:rFonts w:hint="eastAsia"/>
                <w:kern w:val="0"/>
                <w:sz w:val="20"/>
                <w:szCs w:val="21"/>
                <w14:ligatures w14:val="none"/>
              </w:rPr>
              <w:t>and</w:t>
            </w:r>
            <w:r>
              <w:rPr>
                <w:kern w:val="0"/>
                <w:sz w:val="20"/>
                <w:szCs w:val="21"/>
                <w14:ligatures w14:val="none"/>
              </w:rPr>
              <w:t xml:space="preserve"> Jones, 2022)</w:t>
            </w:r>
          </w:p>
          <w:p w14:paraId="4AC7E705" w14:textId="58011B5C"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fldChar w:fldCharType="begin" w:fldLock="1"/>
            </w:r>
            <w:r w:rsidR="00FE21CF">
              <w:rPr>
                <w:kern w:val="0"/>
                <w:sz w:val="20"/>
                <w:szCs w:val="21"/>
                <w14:ligatures w14:val="none"/>
              </w:rPr>
              <w:instrText>ADDIN CSL_CITATION {"citationItems":[{"id":"ITEM-1","itemData":{"DOI":"10.1080/09571736.2022.2088442","ISSN":"17532167","abstract":"There have been a number of studies on the use of complaints as a speech act. The majority of these studies have included analysis of how different first language speakers make complaints while only a limited number of studies have examined the effects of instruction on the development of complaints as a speech act. Those that have examined this area have tended to focus on oral complaints made to second parties. The current study focuses on the receptive and productive benefits of instruction in developing informal second party complaints in the context of interaction amongst peers. Using an experimental design with control and experimental groups, we examined the effects of instruction on EFL learners in Saudi Arabia as related to informal second party complaints made via WhatsApp text-chat. Results show a significant effect on receptive knowledge of complaints for the experimental group but no significant differences in terms of appropriacy of complaint production.","author":[{"dropping-particle":"","family":"Almalki","given":"Ziad","non-dropping-particle":"","parse-names":false,"suffix":""},{"dropping-particle":"","family":"Jones","given":"Christian","non-dropping-particle":"","parse-names":false,"suffix":""}],"container-title":"Language Learning Journal","id":"ITEM-1","issue":"4","issued":{"date-parts":[["2022"]]},"page":"443-459","publisher":"Routledge","title":"‘Why did you do that?’ The effects of instruction on recognition and production of informal second party complaints","type":"article-journal","volume":"50"},"uris":["http://www.mendeley.com/documents/?uuid=36da47b5-4822-3936-bf76-4776357035bb"]}],"mendeley":{"formattedCitation":"(Almalki &amp; Jones, 2022)","plainTextFormattedCitation":"(Almalki &amp; Jones, 2022)","previouslyFormattedCitation":"(Almalki &amp; Jones, 2022)"},"properties":{"noteIndex":0},"schema":"https://github.com/citation-style-language/schema/raw/master/csl-citation.json"}</w:instrText>
            </w:r>
            <w:r>
              <w:rPr>
                <w:kern w:val="0"/>
                <w:sz w:val="20"/>
                <w:szCs w:val="21"/>
                <w14:ligatures w14:val="none"/>
              </w:rPr>
              <w:fldChar w:fldCharType="separate"/>
            </w:r>
            <w:r w:rsidR="00BA1F54" w:rsidRPr="00BA1F54">
              <w:rPr>
                <w:noProof/>
                <w:kern w:val="0"/>
                <w:sz w:val="20"/>
                <w:szCs w:val="21"/>
                <w14:ligatures w14:val="none"/>
              </w:rPr>
              <w:t>(Almalki &amp; Jones, 2022)</w:t>
            </w:r>
            <w:r>
              <w:rPr>
                <w:kern w:val="0"/>
                <w:sz w:val="20"/>
                <w:szCs w:val="21"/>
                <w14:ligatures w14:val="none"/>
              </w:rPr>
              <w:fldChar w:fldCharType="end"/>
            </w:r>
          </w:p>
          <w:p w14:paraId="71F6888D"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United Kingdom</w:t>
            </w:r>
          </w:p>
        </w:tc>
        <w:tc>
          <w:tcPr>
            <w:tcW w:w="1854" w:type="dxa"/>
            <w:tcBorders>
              <w:top w:val="single" w:sz="4" w:space="0" w:color="7F7F7F"/>
              <w:left w:val="nil"/>
              <w:bottom w:val="single" w:sz="4" w:space="0" w:color="7F7F7F"/>
              <w:right w:val="nil"/>
            </w:tcBorders>
            <w:noWrap/>
          </w:tcPr>
          <w:p w14:paraId="19E16BFB"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'Why did you do that?' The effects of instruction on recognition and production of informal second party complaints</w:t>
            </w:r>
          </w:p>
        </w:tc>
        <w:tc>
          <w:tcPr>
            <w:tcW w:w="2219" w:type="dxa"/>
            <w:tcBorders>
              <w:top w:val="single" w:sz="4" w:space="0" w:color="7F7F7F"/>
              <w:left w:val="nil"/>
              <w:bottom w:val="single" w:sz="4" w:space="0" w:color="7F7F7F"/>
              <w:right w:val="nil"/>
            </w:tcBorders>
            <w:noWrap/>
          </w:tcPr>
          <w:p w14:paraId="77F83F3E"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Examine whether targeted instruction improves (1) learners' receptive knowledge and (2) productive appropriacy of informal second-party complaints exchanged among peers.</w:t>
            </w:r>
          </w:p>
        </w:tc>
        <w:tc>
          <w:tcPr>
            <w:tcW w:w="1314" w:type="dxa"/>
            <w:tcBorders>
              <w:top w:val="single" w:sz="4" w:space="0" w:color="7F7F7F"/>
              <w:left w:val="nil"/>
              <w:bottom w:val="single" w:sz="4" w:space="0" w:color="7F7F7F"/>
              <w:right w:val="nil"/>
            </w:tcBorders>
            <w:noWrap/>
          </w:tcPr>
          <w:p w14:paraId="099F1D2C"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30 Saudi male undergraduate EFL students</w:t>
            </w:r>
          </w:p>
        </w:tc>
        <w:tc>
          <w:tcPr>
            <w:tcW w:w="1418" w:type="dxa"/>
            <w:tcBorders>
              <w:top w:val="single" w:sz="4" w:space="0" w:color="7F7F7F"/>
              <w:left w:val="nil"/>
              <w:bottom w:val="single" w:sz="4" w:space="0" w:color="7F7F7F"/>
              <w:right w:val="nil"/>
            </w:tcBorders>
            <w:noWrap/>
          </w:tcPr>
          <w:p w14:paraId="382EC6F9"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Quasi-experimental pre-/post-test design</w:t>
            </w:r>
          </w:p>
        </w:tc>
        <w:tc>
          <w:tcPr>
            <w:tcW w:w="2835" w:type="dxa"/>
            <w:tcBorders>
              <w:top w:val="single" w:sz="4" w:space="0" w:color="7F7F7F"/>
              <w:left w:val="nil"/>
              <w:bottom w:val="single" w:sz="4" w:space="0" w:color="7F7F7F"/>
              <w:right w:val="nil"/>
            </w:tcBorders>
            <w:noWrap/>
          </w:tcPr>
          <w:p w14:paraId="75941BD1"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Instruction led to a significant gain in receptive complaint recognition, but no significant improvement in the appropriacy of produced complaints.</w:t>
            </w:r>
          </w:p>
        </w:tc>
        <w:tc>
          <w:tcPr>
            <w:tcW w:w="896" w:type="dxa"/>
            <w:tcBorders>
              <w:top w:val="single" w:sz="4" w:space="0" w:color="7F7F7F"/>
              <w:left w:val="nil"/>
              <w:bottom w:val="single" w:sz="4" w:space="0" w:color="7F7F7F"/>
              <w:right w:val="nil"/>
            </w:tcBorders>
            <w:noWrap/>
          </w:tcPr>
          <w:p w14:paraId="4DFC0734"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36</w:t>
            </w:r>
          </w:p>
        </w:tc>
      </w:tr>
      <w:tr w:rsidR="00AE71F1" w14:paraId="688AC521"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06B6AE7D" w14:textId="77777777" w:rsidR="00AE71F1" w:rsidRDefault="00AE71F1" w:rsidP="00AE71F1">
            <w:pPr>
              <w:spacing w:before="100" w:beforeAutospacing="1" w:after="100" w:afterAutospacing="1"/>
              <w:jc w:val="center"/>
              <w:rPr>
                <w:b w:val="0"/>
                <w:bCs w:val="0"/>
                <w:kern w:val="0"/>
                <w:sz w:val="20"/>
                <w:szCs w:val="21"/>
                <w14:ligatures w14:val="none"/>
              </w:rPr>
            </w:pPr>
            <w:r>
              <w:rPr>
                <w:rFonts w:hint="eastAsia"/>
                <w:kern w:val="0"/>
                <w:sz w:val="20"/>
                <w:szCs w:val="21"/>
                <w14:ligatures w14:val="none"/>
              </w:rPr>
              <w:t>54</w:t>
            </w:r>
          </w:p>
        </w:tc>
        <w:tc>
          <w:tcPr>
            <w:tcW w:w="992" w:type="dxa"/>
            <w:tcBorders>
              <w:top w:val="single" w:sz="4" w:space="0" w:color="7F7F7F"/>
              <w:left w:val="nil"/>
              <w:bottom w:val="single" w:sz="4" w:space="0" w:color="7F7F7F"/>
              <w:right w:val="nil"/>
            </w:tcBorders>
          </w:tcPr>
          <w:p w14:paraId="2950ACFB" w14:textId="772EAE09"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Li, </w:t>
            </w:r>
            <w:r>
              <w:rPr>
                <w:rFonts w:hint="eastAsia"/>
                <w:kern w:val="0"/>
                <w:sz w:val="20"/>
                <w:szCs w:val="21"/>
                <w14:ligatures w14:val="none"/>
              </w:rPr>
              <w:t>(</w:t>
            </w:r>
            <w:r>
              <w:rPr>
                <w:kern w:val="0"/>
                <w:sz w:val="20"/>
                <w:szCs w:val="21"/>
                <w14:ligatures w14:val="none"/>
              </w:rPr>
              <w:t>2022)</w:t>
            </w:r>
            <w:r>
              <w:rPr>
                <w:rFonts w:hint="eastAsia"/>
                <w:kern w:val="0"/>
                <w:sz w:val="20"/>
                <w:szCs w:val="21"/>
                <w14:ligatures w14:val="none"/>
              </w:rPr>
              <w:t xml:space="preserve"> </w:t>
            </w:r>
            <w:r>
              <w:rPr>
                <w:kern w:val="0"/>
                <w:sz w:val="20"/>
                <w:szCs w:val="21"/>
                <w14:ligatures w14:val="none"/>
              </w:rPr>
              <w:fldChar w:fldCharType="begin" w:fldLock="1"/>
            </w:r>
            <w:r w:rsidR="00FE21CF">
              <w:rPr>
                <w:kern w:val="0"/>
                <w:sz w:val="20"/>
                <w:szCs w:val="21"/>
                <w14:ligatures w14:val="none"/>
              </w:rPr>
              <w:instrText>ADDIN CSL_CITATION {"citationItems":[{"id":"ITEM-1","itemData":{"DOI":"10.5539/elt.v15n2p21","ISSN":"1916-4742","abstract":"This study investigated the erroneous use of the high-frequency verb TAKE by the Chinese college learners of English as a foreign language (EFL), aiming to identify the similarities and differences between Chinese EFL learners, aimed at finding out more effective ways for the teaching and researching of the high-frequency verbs. Corpus-based Contrastive Interlanguage Analysis and Error Analysis were carried out in the present study, with the subcorpora ST4 and ST6 of CLEC (Chinese Learner English Corpus) as the learner corpora.&amp;nbsp;\r The analyses involved the misuse of the verb TAKE by the Chinese EFL learners. The error analysis of TAKE was based on the classification in the corpus CLEC. From the perspective of the overall frequency, the ST6 learners commit fewer errors than the ST4 learners. From the perspective of error types, the ST6 learners and the ST4 learners have much in common. That is, the error types of &amp;ldquo;wd&amp;rdquo; and &amp;ldquo;cc&amp;rdquo; take up an overwhelming part of all the errors in both corpora. These errors are caused by some interlingual and intralingual factors such as language transfer, overgeneralization, and communication strategy. In comparison, in the process of EFL learning, the non-English majors are interfered by their mother tongue to a larger extend than the English majors.","author":[{"dropping-particle":"","family":"Li","given":"Yanru","non-dropping-particle":"","parse-names":false,"suffix":""}],"container-title":"English Language Teaching","id":"ITEM-1","issue":"2","issued":{"date-parts":[["2022"]]},"page":"21","title":"Corpus-Based Error Analysis of Chinese Learners’ Use of High-Frequency Verb Take","type":"article-journal","volume":"15"},"uris":["http://www.mendeley.com/documents/?uuid=0ed8bc5a-f49f-4dd0-b8aa-6e3e188d46c8"]}],"mendeley":{"formattedCitation":"(Li, 2022)","plainTextFormattedCitation":"(Li, 2022)","previouslyFormattedCitation":"(Li, 2022)"},"properties":{"noteIndex":0},"schema":"https://github.com/citation-style-language/schema/raw/master/csl-citation.json"}</w:instrText>
            </w:r>
            <w:r>
              <w:rPr>
                <w:kern w:val="0"/>
                <w:sz w:val="20"/>
                <w:szCs w:val="21"/>
                <w14:ligatures w14:val="none"/>
              </w:rPr>
              <w:fldChar w:fldCharType="separate"/>
            </w:r>
            <w:r w:rsidR="00BA1F54" w:rsidRPr="00BA1F54">
              <w:rPr>
                <w:noProof/>
                <w:kern w:val="0"/>
                <w:sz w:val="20"/>
                <w:szCs w:val="21"/>
                <w14:ligatures w14:val="none"/>
              </w:rPr>
              <w:t>(Li, 2022)</w:t>
            </w:r>
            <w:r>
              <w:rPr>
                <w:kern w:val="0"/>
                <w:sz w:val="20"/>
                <w:szCs w:val="21"/>
                <w14:ligatures w14:val="none"/>
              </w:rPr>
              <w:fldChar w:fldCharType="end"/>
            </w:r>
          </w:p>
          <w:p w14:paraId="1708DC2C"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China</w:t>
            </w:r>
          </w:p>
        </w:tc>
        <w:tc>
          <w:tcPr>
            <w:tcW w:w="1854" w:type="dxa"/>
            <w:tcBorders>
              <w:top w:val="single" w:sz="4" w:space="0" w:color="7F7F7F"/>
              <w:left w:val="nil"/>
              <w:bottom w:val="single" w:sz="4" w:space="0" w:color="7F7F7F"/>
              <w:right w:val="nil"/>
            </w:tcBorders>
            <w:noWrap/>
          </w:tcPr>
          <w:p w14:paraId="49F3464C"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Corpus-Based Error Analysis of Chinese Learners' Use of High-Frequency Verb Take</w:t>
            </w:r>
          </w:p>
        </w:tc>
        <w:tc>
          <w:tcPr>
            <w:tcW w:w="2219" w:type="dxa"/>
            <w:tcBorders>
              <w:top w:val="single" w:sz="4" w:space="0" w:color="7F7F7F"/>
              <w:left w:val="nil"/>
              <w:bottom w:val="single" w:sz="4" w:space="0" w:color="7F7F7F"/>
              <w:right w:val="nil"/>
            </w:tcBorders>
            <w:noWrap/>
          </w:tcPr>
          <w:p w14:paraId="14DCA1EF"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Compare error patterns of TAKE between two proficiency levels of Chinese learners (ST4 vs. ST6 in CLEC).</w:t>
            </w:r>
          </w:p>
        </w:tc>
        <w:tc>
          <w:tcPr>
            <w:tcW w:w="1314" w:type="dxa"/>
            <w:tcBorders>
              <w:top w:val="single" w:sz="4" w:space="0" w:color="7F7F7F"/>
              <w:left w:val="nil"/>
              <w:bottom w:val="single" w:sz="4" w:space="0" w:color="7F7F7F"/>
              <w:right w:val="nil"/>
            </w:tcBorders>
            <w:noWrap/>
          </w:tcPr>
          <w:p w14:paraId="6F3D1CDF"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Two CLEC </w:t>
            </w:r>
            <w:proofErr w:type="spellStart"/>
            <w:r>
              <w:rPr>
                <w:kern w:val="0"/>
                <w:sz w:val="20"/>
                <w:szCs w:val="21"/>
                <w14:ligatures w14:val="none"/>
              </w:rPr>
              <w:t>subcorpora</w:t>
            </w:r>
            <w:proofErr w:type="spellEnd"/>
            <w:r>
              <w:rPr>
                <w:kern w:val="0"/>
                <w:sz w:val="20"/>
                <w:szCs w:val="21"/>
                <w14:ligatures w14:val="none"/>
              </w:rPr>
              <w:t>: ST4 (non-English majors, lower level) and ST6 (English majors, higher level)</w:t>
            </w:r>
          </w:p>
        </w:tc>
        <w:tc>
          <w:tcPr>
            <w:tcW w:w="1418" w:type="dxa"/>
            <w:tcBorders>
              <w:top w:val="single" w:sz="4" w:space="0" w:color="7F7F7F"/>
              <w:left w:val="nil"/>
              <w:bottom w:val="single" w:sz="4" w:space="0" w:color="7F7F7F"/>
              <w:right w:val="nil"/>
            </w:tcBorders>
            <w:noWrap/>
          </w:tcPr>
          <w:p w14:paraId="1689890E"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Corpus-based Contrastive Interlanguage Analysis</w:t>
            </w:r>
            <w:r>
              <w:rPr>
                <w:rFonts w:hint="eastAsia"/>
                <w:kern w:val="0"/>
                <w:sz w:val="20"/>
                <w:szCs w:val="21"/>
                <w14:ligatures w14:val="none"/>
              </w:rPr>
              <w:t xml:space="preserve"> and</w:t>
            </w:r>
            <w:r>
              <w:rPr>
                <w:kern w:val="0"/>
                <w:sz w:val="20"/>
                <w:szCs w:val="21"/>
                <w14:ligatures w14:val="none"/>
              </w:rPr>
              <w:t xml:space="preserve"> Error Analysis</w:t>
            </w:r>
          </w:p>
        </w:tc>
        <w:tc>
          <w:tcPr>
            <w:tcW w:w="2835" w:type="dxa"/>
            <w:tcBorders>
              <w:top w:val="single" w:sz="4" w:space="0" w:color="7F7F7F"/>
              <w:left w:val="nil"/>
              <w:bottom w:val="single" w:sz="4" w:space="0" w:color="7F7F7F"/>
              <w:right w:val="nil"/>
            </w:tcBorders>
            <w:noWrap/>
          </w:tcPr>
          <w:p w14:paraId="355BA33F" w14:textId="5C55EEAF"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ST6 learners err less than ST4, but in both corpora most mistakes with TAKE are wrong-word or collocation errors rooted in L1 transfer and over-</w:t>
            </w:r>
            <w:r w:rsidR="00C1597D">
              <w:rPr>
                <w:kern w:val="0"/>
                <w:sz w:val="20"/>
                <w:szCs w:val="21"/>
                <w14:ligatures w14:val="none"/>
              </w:rPr>
              <w:t>generalization</w:t>
            </w:r>
            <w:r>
              <w:rPr>
                <w:kern w:val="0"/>
                <w:sz w:val="20"/>
                <w:szCs w:val="21"/>
                <w14:ligatures w14:val="none"/>
              </w:rPr>
              <w:t>.</w:t>
            </w:r>
          </w:p>
        </w:tc>
        <w:tc>
          <w:tcPr>
            <w:tcW w:w="896" w:type="dxa"/>
            <w:tcBorders>
              <w:top w:val="single" w:sz="4" w:space="0" w:color="7F7F7F"/>
              <w:left w:val="nil"/>
              <w:bottom w:val="single" w:sz="4" w:space="0" w:color="7F7F7F"/>
              <w:right w:val="nil"/>
            </w:tcBorders>
            <w:noWrap/>
          </w:tcPr>
          <w:p w14:paraId="17927477"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37</w:t>
            </w:r>
          </w:p>
        </w:tc>
      </w:tr>
      <w:tr w:rsidR="00AE71F1" w14:paraId="394F4814"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2EB98344" w14:textId="77777777" w:rsidR="00AE71F1" w:rsidRDefault="00AE71F1" w:rsidP="00AE71F1">
            <w:pPr>
              <w:spacing w:before="100" w:beforeAutospacing="1" w:after="100" w:afterAutospacing="1"/>
              <w:jc w:val="center"/>
              <w:rPr>
                <w:b w:val="0"/>
                <w:bCs w:val="0"/>
                <w:kern w:val="0"/>
                <w:sz w:val="20"/>
                <w:szCs w:val="21"/>
                <w14:ligatures w14:val="none"/>
              </w:rPr>
            </w:pPr>
            <w:r>
              <w:rPr>
                <w:rFonts w:hint="eastAsia"/>
                <w:kern w:val="0"/>
                <w:sz w:val="20"/>
                <w:szCs w:val="21"/>
                <w14:ligatures w14:val="none"/>
              </w:rPr>
              <w:t>55</w:t>
            </w:r>
          </w:p>
        </w:tc>
        <w:tc>
          <w:tcPr>
            <w:tcW w:w="992" w:type="dxa"/>
            <w:tcBorders>
              <w:top w:val="single" w:sz="4" w:space="0" w:color="7F7F7F"/>
              <w:left w:val="nil"/>
              <w:bottom w:val="single" w:sz="4" w:space="0" w:color="7F7F7F"/>
              <w:right w:val="nil"/>
            </w:tcBorders>
          </w:tcPr>
          <w:p w14:paraId="1DEDA058" w14:textId="138962DD"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proofErr w:type="spellStart"/>
            <w:r>
              <w:rPr>
                <w:kern w:val="0"/>
                <w:sz w:val="20"/>
                <w:szCs w:val="21"/>
                <w14:ligatures w14:val="none"/>
              </w:rPr>
              <w:t>Sögüt</w:t>
            </w:r>
            <w:proofErr w:type="spellEnd"/>
            <w:r>
              <w:rPr>
                <w:kern w:val="0"/>
                <w:sz w:val="20"/>
                <w:szCs w:val="21"/>
                <w14:ligatures w14:val="none"/>
              </w:rPr>
              <w:t xml:space="preserve"> </w:t>
            </w:r>
            <w:r>
              <w:rPr>
                <w:rFonts w:hint="eastAsia"/>
                <w:kern w:val="0"/>
                <w:sz w:val="20"/>
                <w:szCs w:val="21"/>
                <w14:ligatures w14:val="none"/>
              </w:rPr>
              <w:t>and</w:t>
            </w:r>
            <w:r>
              <w:rPr>
                <w:kern w:val="0"/>
                <w:sz w:val="20"/>
                <w:szCs w:val="21"/>
                <w14:ligatures w14:val="none"/>
              </w:rPr>
              <w:t xml:space="preserve"> </w:t>
            </w:r>
            <w:proofErr w:type="spellStart"/>
            <w:r>
              <w:rPr>
                <w:kern w:val="0"/>
                <w:sz w:val="20"/>
                <w:szCs w:val="21"/>
                <w14:ligatures w14:val="none"/>
              </w:rPr>
              <w:t>Keçik</w:t>
            </w:r>
            <w:proofErr w:type="spellEnd"/>
            <w:r>
              <w:rPr>
                <w:kern w:val="0"/>
                <w:sz w:val="20"/>
                <w:szCs w:val="21"/>
                <w14:ligatures w14:val="none"/>
              </w:rPr>
              <w:t>, 2023)</w:t>
            </w:r>
            <w:r>
              <w:rPr>
                <w:rFonts w:hint="eastAsia"/>
                <w:kern w:val="0"/>
                <w:sz w:val="20"/>
                <w:szCs w:val="21"/>
                <w14:ligatures w14:val="none"/>
              </w:rPr>
              <w:t xml:space="preserve"> </w:t>
            </w:r>
            <w:r>
              <w:rPr>
                <w:kern w:val="0"/>
                <w:sz w:val="20"/>
                <w:szCs w:val="21"/>
                <w14:ligatures w14:val="none"/>
              </w:rPr>
              <w:fldChar w:fldCharType="begin" w:fldLock="1"/>
            </w:r>
            <w:r w:rsidR="00FE21CF">
              <w:rPr>
                <w:kern w:val="0"/>
                <w:sz w:val="20"/>
                <w:szCs w:val="21"/>
                <w14:ligatures w14:val="none"/>
              </w:rPr>
              <w:instrText>ADDIN CSL_CITATION {"citationItems":[{"id":"ITEM-1","itemData":{"ISSN":"1533242X","abstract":"This study investigates the use of high-frequency cognitive verbs -- think and believe -- in Turkish L2 learners ' interlanguage, both in terms of their verb senses and complementation patterns. In line with this purpose, a Sentence Production Task consisting of context-independent items and a Sentence Completion Task consisting of context-dependent items were developed by using the Corpus of Contemporary American English (COCA). These tasks were applied to 182 students at four different vocabulary levels. The findings indicated that the learners showed a strong tendency to use verb think in the verb sense of expressing a personal opinion and in the complementation pattern of [zero that-CL]. Along with these results, the acceptability levels of learners 'productions with the verbs think and believe showed differences. The learners had problems with the use of believe more than they had with the verb think. The findings have pedagogical implications by shedding light on the learner preferences for verb complementation patterns and senses. The findings also provide an insight into the learners' performance on the syntactic and semantic properties of the cognitive verbs through context-dependent and independent tasks. [ABSTRACT FROM AUTHOR]","author":[{"dropping-particle":"","family":"Sögüt","given":"Sibel","non-dropping-particle":"","parse-names":false,"suffix":""},{"dropping-particle":"","family":"Keçik","given":"Ilknur","non-dropping-particle":"","parse-names":false,"suffix":""}],"container-title":"Reading Matrix: An International Online Journal","id":"ITEM-1","issue":"1","issued":{"date-parts":[["2023"]]},"page":"32-49","title":"EFL Learners' Production of Verb Complementation Patterns and Verb Senses: An Investigation on High-Frequency Cognitive Verbs.","type":"article-journal","volume":"23"},"uris":["http://www.mendeley.com/documents/?uuid=01022701-1dfc-4a96-84cc-a4c8a40905f4"]}],"mendeley":{"formattedCitation":"(Sögüt &amp; Keçik, 2023)","plainTextFormattedCitation":"(Sögüt &amp; Keçik, 2023)","previouslyFormattedCitation":"(Sögüt &amp; Keçik, 2023)"},"properties":{"noteIndex":0},"schema":"https://github.com/citation-style-language/schema/raw/master/csl-citation.json"}</w:instrText>
            </w:r>
            <w:r>
              <w:rPr>
                <w:kern w:val="0"/>
                <w:sz w:val="20"/>
                <w:szCs w:val="21"/>
                <w14:ligatures w14:val="none"/>
              </w:rPr>
              <w:fldChar w:fldCharType="separate"/>
            </w:r>
            <w:r w:rsidR="00BA1F54" w:rsidRPr="00BA1F54">
              <w:rPr>
                <w:noProof/>
                <w:kern w:val="0"/>
                <w:sz w:val="20"/>
                <w:szCs w:val="21"/>
                <w14:ligatures w14:val="none"/>
              </w:rPr>
              <w:t>(Sögüt &amp; Keçik, 2023)</w:t>
            </w:r>
            <w:r>
              <w:rPr>
                <w:kern w:val="0"/>
                <w:sz w:val="20"/>
                <w:szCs w:val="21"/>
                <w14:ligatures w14:val="none"/>
              </w:rPr>
              <w:fldChar w:fldCharType="end"/>
            </w:r>
          </w:p>
          <w:p w14:paraId="402D253D"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Turkey</w:t>
            </w:r>
          </w:p>
        </w:tc>
        <w:tc>
          <w:tcPr>
            <w:tcW w:w="1854" w:type="dxa"/>
            <w:tcBorders>
              <w:top w:val="single" w:sz="4" w:space="0" w:color="7F7F7F"/>
              <w:left w:val="nil"/>
              <w:bottom w:val="single" w:sz="4" w:space="0" w:color="7F7F7F"/>
              <w:right w:val="nil"/>
            </w:tcBorders>
            <w:noWrap/>
          </w:tcPr>
          <w:p w14:paraId="1EFA63C3"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Turkish Learners' Use of Cognitive Verbs think and believe: Verb Senses and Complementation Patterns</w:t>
            </w:r>
          </w:p>
        </w:tc>
        <w:tc>
          <w:tcPr>
            <w:tcW w:w="2219" w:type="dxa"/>
            <w:tcBorders>
              <w:top w:val="single" w:sz="4" w:space="0" w:color="7F7F7F"/>
              <w:left w:val="nil"/>
              <w:bottom w:val="single" w:sz="4" w:space="0" w:color="7F7F7F"/>
              <w:right w:val="nil"/>
            </w:tcBorders>
            <w:noWrap/>
          </w:tcPr>
          <w:p w14:paraId="06D1F813"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Examine how Turkish L2 learners deploy the high-frequency cognitive verbs think and believe with respect to (a) verb senses and (b) complementation patterns.</w:t>
            </w:r>
          </w:p>
        </w:tc>
        <w:tc>
          <w:tcPr>
            <w:tcW w:w="1314" w:type="dxa"/>
            <w:tcBorders>
              <w:top w:val="single" w:sz="4" w:space="0" w:color="7F7F7F"/>
              <w:left w:val="nil"/>
              <w:bottom w:val="single" w:sz="4" w:space="0" w:color="7F7F7F"/>
              <w:right w:val="nil"/>
            </w:tcBorders>
            <w:noWrap/>
          </w:tcPr>
          <w:p w14:paraId="4026A846"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182 EFL students divided into four vocabulary-proficiency bands</w:t>
            </w:r>
          </w:p>
        </w:tc>
        <w:tc>
          <w:tcPr>
            <w:tcW w:w="1418" w:type="dxa"/>
            <w:tcBorders>
              <w:top w:val="single" w:sz="4" w:space="0" w:color="7F7F7F"/>
              <w:left w:val="nil"/>
              <w:bottom w:val="single" w:sz="4" w:space="0" w:color="7F7F7F"/>
              <w:right w:val="nil"/>
            </w:tcBorders>
            <w:noWrap/>
          </w:tcPr>
          <w:p w14:paraId="26126830"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S</w:t>
            </w:r>
            <w:r>
              <w:rPr>
                <w:kern w:val="0"/>
                <w:sz w:val="20"/>
                <w:szCs w:val="21"/>
                <w14:ligatures w14:val="none"/>
              </w:rPr>
              <w:t>entence-production and sentence-completion tasks</w:t>
            </w:r>
          </w:p>
        </w:tc>
        <w:tc>
          <w:tcPr>
            <w:tcW w:w="2835" w:type="dxa"/>
            <w:tcBorders>
              <w:top w:val="single" w:sz="4" w:space="0" w:color="7F7F7F"/>
              <w:left w:val="nil"/>
              <w:bottom w:val="single" w:sz="4" w:space="0" w:color="7F7F7F"/>
              <w:right w:val="nil"/>
            </w:tcBorders>
            <w:noWrap/>
          </w:tcPr>
          <w:p w14:paraId="2B33BC5A"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Learners chiefly used think </w:t>
            </w:r>
            <w:r>
              <w:rPr>
                <w:rFonts w:hint="eastAsia"/>
                <w:kern w:val="0"/>
                <w:sz w:val="20"/>
                <w:szCs w:val="21"/>
                <w14:ligatures w14:val="none"/>
              </w:rPr>
              <w:t>+</w:t>
            </w:r>
            <w:r>
              <w:rPr>
                <w:kern w:val="0"/>
                <w:sz w:val="20"/>
                <w:szCs w:val="21"/>
                <w14:ligatures w14:val="none"/>
              </w:rPr>
              <w:t xml:space="preserve"> Ø that for opinions, while believe triggered far more syntactic-semantic errors, revealing uneven mastery of the two verbs.</w:t>
            </w:r>
          </w:p>
        </w:tc>
        <w:tc>
          <w:tcPr>
            <w:tcW w:w="896" w:type="dxa"/>
            <w:tcBorders>
              <w:top w:val="single" w:sz="4" w:space="0" w:color="7F7F7F"/>
              <w:left w:val="nil"/>
              <w:bottom w:val="single" w:sz="4" w:space="0" w:color="7F7F7F"/>
              <w:right w:val="nil"/>
            </w:tcBorders>
            <w:noWrap/>
          </w:tcPr>
          <w:p w14:paraId="7ACD8409"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37</w:t>
            </w:r>
          </w:p>
        </w:tc>
      </w:tr>
      <w:tr w:rsidR="00AE71F1" w14:paraId="5650634C" w14:textId="77777777" w:rsidTr="000805CE">
        <w:trPr>
          <w:jc w:val="center"/>
        </w:trPr>
        <w:tc>
          <w:tcPr>
            <w:cnfStyle w:val="001000000000" w:firstRow="0" w:lastRow="0" w:firstColumn="1" w:lastColumn="0" w:oddVBand="0" w:evenVBand="0" w:oddHBand="0" w:evenHBand="0" w:firstRowFirstColumn="0" w:firstRowLastColumn="0" w:lastRowFirstColumn="0" w:lastRowLastColumn="0"/>
            <w:tcW w:w="670" w:type="dxa"/>
            <w:tcBorders>
              <w:top w:val="single" w:sz="4" w:space="0" w:color="7F7F7F"/>
              <w:left w:val="nil"/>
              <w:bottom w:val="single" w:sz="4" w:space="0" w:color="7F7F7F"/>
              <w:right w:val="nil"/>
            </w:tcBorders>
            <w:noWrap/>
            <w:vAlign w:val="center"/>
          </w:tcPr>
          <w:p w14:paraId="318CF604" w14:textId="77777777" w:rsidR="00AE71F1" w:rsidRDefault="00AE71F1" w:rsidP="00AE71F1">
            <w:pPr>
              <w:spacing w:before="100" w:beforeAutospacing="1" w:after="100" w:afterAutospacing="1"/>
              <w:jc w:val="center"/>
              <w:rPr>
                <w:b w:val="0"/>
                <w:bCs w:val="0"/>
                <w:kern w:val="0"/>
                <w:sz w:val="20"/>
                <w:szCs w:val="21"/>
                <w14:ligatures w14:val="none"/>
              </w:rPr>
            </w:pPr>
            <w:r>
              <w:rPr>
                <w:rFonts w:hint="eastAsia"/>
                <w:kern w:val="0"/>
                <w:sz w:val="20"/>
                <w:szCs w:val="21"/>
                <w14:ligatures w14:val="none"/>
              </w:rPr>
              <w:t>56</w:t>
            </w:r>
          </w:p>
        </w:tc>
        <w:tc>
          <w:tcPr>
            <w:tcW w:w="992" w:type="dxa"/>
            <w:tcBorders>
              <w:top w:val="single" w:sz="4" w:space="0" w:color="7F7F7F"/>
              <w:left w:val="nil"/>
              <w:bottom w:val="single" w:sz="4" w:space="0" w:color="7F7F7F"/>
              <w:right w:val="nil"/>
            </w:tcBorders>
          </w:tcPr>
          <w:p w14:paraId="07C6CDA0"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 xml:space="preserve">Al-Harbi </w:t>
            </w:r>
            <w:r>
              <w:rPr>
                <w:rFonts w:hint="eastAsia"/>
                <w:kern w:val="0"/>
                <w:sz w:val="20"/>
                <w:szCs w:val="21"/>
                <w14:ligatures w14:val="none"/>
              </w:rPr>
              <w:t>and</w:t>
            </w:r>
            <w:r>
              <w:rPr>
                <w:kern w:val="0"/>
                <w:sz w:val="20"/>
                <w:szCs w:val="21"/>
                <w14:ligatures w14:val="none"/>
              </w:rPr>
              <w:t xml:space="preserve"> </w:t>
            </w:r>
            <w:proofErr w:type="spellStart"/>
            <w:r>
              <w:rPr>
                <w:kern w:val="0"/>
                <w:sz w:val="20"/>
                <w:szCs w:val="21"/>
                <w14:ligatures w14:val="none"/>
              </w:rPr>
              <w:t>Mahfoodh</w:t>
            </w:r>
            <w:proofErr w:type="spellEnd"/>
            <w:r>
              <w:rPr>
                <w:kern w:val="0"/>
                <w:sz w:val="20"/>
                <w:szCs w:val="21"/>
                <w14:ligatures w14:val="none"/>
              </w:rPr>
              <w:t xml:space="preserve"> </w:t>
            </w:r>
            <w:r>
              <w:rPr>
                <w:rFonts w:hint="eastAsia"/>
                <w:kern w:val="0"/>
                <w:sz w:val="20"/>
                <w:szCs w:val="21"/>
                <w14:ligatures w14:val="none"/>
              </w:rPr>
              <w:t>(</w:t>
            </w:r>
            <w:r>
              <w:rPr>
                <w:kern w:val="0"/>
                <w:sz w:val="20"/>
                <w:szCs w:val="21"/>
                <w14:ligatures w14:val="none"/>
              </w:rPr>
              <w:t>2021)</w:t>
            </w:r>
          </w:p>
          <w:p w14:paraId="70CB2241" w14:textId="222FBA2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fldChar w:fldCharType="begin" w:fldLock="1"/>
            </w:r>
            <w:r w:rsidR="00FE21CF">
              <w:rPr>
                <w:kern w:val="0"/>
                <w:sz w:val="20"/>
                <w:szCs w:val="21"/>
                <w14:ligatures w14:val="none"/>
              </w:rPr>
              <w:instrText>ADDIN CSL_CITATION {"citationItems":[{"id":"ITEM-1","itemData":{"DOI":"10.17263/jlls.903317","ISSN":"1305578X","abstract":"This cross-sectional study examined the effects of English language proficiency on Jordanian EFL students' production and comprehension of apology strategies. The participants were 270 Jordanian EFL learners and 90 native speakers of English. Data were collected using Written Discourse Completion Test (WDCT) and Multiple-choice Discourse Completion Test (MDCT). Descriptive statistics and the Spearman rank-order correlation coefficient (rho) test were used to analyse the data. Results showed that Jordanian EFL learners' production and comprehension of apology strategies are influenced by their levels of English language proficiency. A small to large negative correlation relationship was reported between Jordanian EFL learners' language proficiency and the production of explicit apology strategies and non-apology strategies. On the other hand, the study revealed a small to medium positive correlation relationship between Jordanian EFL learners' language proficiency and the production of less-explicit apology. The study also showed a significant correlation relationship between proficiency and the comprehension of apology strategies. Thus, teachers of English at Jordanian schools may need to consider focusing on classroom activities that can help EFL learners enhance their pragmatic knowledge of apology strategies.","author":[{"dropping-particle":"","family":"Al-Harbi","given":"Hamzeh Mohammad","non-dropping-particle":"","parse-names":false,"suffix":""},{"dropping-particle":"","family":"Mahfoodh","given":"Omer Hassan Ali","non-dropping-particle":"","parse-names":false,"suffix":""}],"container-title":"Journal of Language and Linguistic Studies","id":"ITEM-1","issue":"1","issued":{"date-parts":[["2021"]]},"page":"69-85","title":"The production and comprehension of apology strategies: Effects of English language proficiency","type":"article-journal","volume":"17"},"uris":["http://www.mendeley.com/documents/?uuid=0e4d49ef-2c68-4605-9549-8afd296d10d5"]}],"mendeley":{"formattedCitation":"(Al-Harbi &amp; Mahfoodh, 2021)","plainTextFormattedCitation":"(Al-Harbi &amp; Mahfoodh, 2021)","previouslyFormattedCitation":"(Al-Harbi &amp; Mahfoodh, 2021)"},"properties":{"noteIndex":0},"schema":"https://github.com/citation-style-language/schema/raw/master/csl-citation.json"}</w:instrText>
            </w:r>
            <w:r>
              <w:rPr>
                <w:kern w:val="0"/>
                <w:sz w:val="20"/>
                <w:szCs w:val="21"/>
                <w14:ligatures w14:val="none"/>
              </w:rPr>
              <w:fldChar w:fldCharType="separate"/>
            </w:r>
            <w:r w:rsidR="00BA1F54" w:rsidRPr="00BA1F54">
              <w:rPr>
                <w:noProof/>
                <w:kern w:val="0"/>
                <w:sz w:val="20"/>
                <w:szCs w:val="21"/>
                <w14:ligatures w14:val="none"/>
              </w:rPr>
              <w:t>(Al-Harbi &amp; Mahfoodh, 2021)</w:t>
            </w:r>
            <w:r>
              <w:rPr>
                <w:kern w:val="0"/>
                <w:sz w:val="20"/>
                <w:szCs w:val="21"/>
                <w14:ligatures w14:val="none"/>
              </w:rPr>
              <w:fldChar w:fldCharType="end"/>
            </w:r>
          </w:p>
          <w:p w14:paraId="3BEDFB1E"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Malaysia</w:t>
            </w:r>
          </w:p>
        </w:tc>
        <w:tc>
          <w:tcPr>
            <w:tcW w:w="1854" w:type="dxa"/>
            <w:tcBorders>
              <w:top w:val="single" w:sz="4" w:space="0" w:color="7F7F7F"/>
              <w:left w:val="nil"/>
              <w:bottom w:val="single" w:sz="4" w:space="0" w:color="7F7F7F"/>
              <w:right w:val="nil"/>
            </w:tcBorders>
            <w:noWrap/>
          </w:tcPr>
          <w:p w14:paraId="33C79021"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The production and comprehension of apology strategies: Effects of English language proficiency</w:t>
            </w:r>
          </w:p>
        </w:tc>
        <w:tc>
          <w:tcPr>
            <w:tcW w:w="2219" w:type="dxa"/>
            <w:tcBorders>
              <w:top w:val="single" w:sz="4" w:space="0" w:color="7F7F7F"/>
              <w:left w:val="nil"/>
              <w:bottom w:val="single" w:sz="4" w:space="0" w:color="7F7F7F"/>
              <w:right w:val="nil"/>
            </w:tcBorders>
            <w:noWrap/>
          </w:tcPr>
          <w:p w14:paraId="09F120DA"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Determine how English‑proficiency level shapes Jordanian EFL students' ability to produce and comprehend apology strategies.</w:t>
            </w:r>
          </w:p>
        </w:tc>
        <w:tc>
          <w:tcPr>
            <w:tcW w:w="1314" w:type="dxa"/>
            <w:tcBorders>
              <w:top w:val="single" w:sz="4" w:space="0" w:color="7F7F7F"/>
              <w:left w:val="nil"/>
              <w:bottom w:val="single" w:sz="4" w:space="0" w:color="7F7F7F"/>
              <w:right w:val="nil"/>
            </w:tcBorders>
            <w:noWrap/>
          </w:tcPr>
          <w:p w14:paraId="0285FD07"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270 Jordanian EFL learners (varied proficiency) plus 90 native‑English speakers as baseline</w:t>
            </w:r>
          </w:p>
        </w:tc>
        <w:tc>
          <w:tcPr>
            <w:tcW w:w="1418" w:type="dxa"/>
            <w:tcBorders>
              <w:top w:val="single" w:sz="4" w:space="0" w:color="7F7F7F"/>
              <w:left w:val="nil"/>
              <w:bottom w:val="single" w:sz="4" w:space="0" w:color="7F7F7F"/>
              <w:right w:val="nil"/>
            </w:tcBorders>
            <w:noWrap/>
          </w:tcPr>
          <w:p w14:paraId="6948A100"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Cross‑sectional comparison using (1) Written DCT and (2) Multiple‑choice DCT</w:t>
            </w:r>
          </w:p>
        </w:tc>
        <w:tc>
          <w:tcPr>
            <w:tcW w:w="2835" w:type="dxa"/>
            <w:tcBorders>
              <w:top w:val="single" w:sz="4" w:space="0" w:color="7F7F7F"/>
              <w:left w:val="nil"/>
              <w:bottom w:val="single" w:sz="4" w:space="0" w:color="7F7F7F"/>
              <w:right w:val="nil"/>
            </w:tcBorders>
            <w:noWrap/>
          </w:tcPr>
          <w:p w14:paraId="22556455"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kern w:val="0"/>
                <w:sz w:val="20"/>
                <w:szCs w:val="21"/>
                <w14:ligatures w14:val="none"/>
              </w:rPr>
              <w:t>Higher‑proficiency learners used fewer explicit or non‑apology forms, favored subtler apologies, and understood apology strategies better.</w:t>
            </w:r>
          </w:p>
        </w:tc>
        <w:tc>
          <w:tcPr>
            <w:tcW w:w="896" w:type="dxa"/>
            <w:tcBorders>
              <w:top w:val="single" w:sz="4" w:space="0" w:color="7F7F7F"/>
              <w:left w:val="nil"/>
              <w:bottom w:val="single" w:sz="4" w:space="0" w:color="7F7F7F"/>
              <w:right w:val="nil"/>
            </w:tcBorders>
            <w:noWrap/>
          </w:tcPr>
          <w:p w14:paraId="40F6C780" w14:textId="77777777" w:rsidR="00AE71F1" w:rsidRDefault="00AE71F1" w:rsidP="00AE71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kern w:val="0"/>
                <w:sz w:val="20"/>
                <w:szCs w:val="21"/>
                <w14:ligatures w14:val="none"/>
              </w:rPr>
            </w:pPr>
            <w:r>
              <w:rPr>
                <w:rFonts w:hint="eastAsia"/>
                <w:kern w:val="0"/>
                <w:sz w:val="20"/>
                <w:szCs w:val="21"/>
                <w14:ligatures w14:val="none"/>
              </w:rPr>
              <w:t>37</w:t>
            </w:r>
          </w:p>
        </w:tc>
      </w:tr>
      <w:bookmarkEnd w:id="2"/>
    </w:tbl>
    <w:p w14:paraId="4DFED02B" w14:textId="77777777" w:rsidR="000805CE" w:rsidRDefault="000805CE">
      <w:pPr>
        <w:rPr>
          <w:rFonts w:hint="eastAsia"/>
        </w:rPr>
      </w:pPr>
    </w:p>
    <w:sectPr w:rsidR="000805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432AD" w14:textId="77777777" w:rsidR="00CE2475" w:rsidRDefault="00CE2475" w:rsidP="00394822">
      <w:pPr>
        <w:rPr>
          <w:rFonts w:hint="eastAsia"/>
        </w:rPr>
      </w:pPr>
      <w:r>
        <w:separator/>
      </w:r>
    </w:p>
  </w:endnote>
  <w:endnote w:type="continuationSeparator" w:id="0">
    <w:p w14:paraId="195BCC3C" w14:textId="77777777" w:rsidR="00CE2475" w:rsidRDefault="00CE2475" w:rsidP="003948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auto"/>
    <w:pitch w:val="default"/>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432B0" w14:textId="77777777" w:rsidR="00CE2475" w:rsidRDefault="00CE2475" w:rsidP="00394822">
      <w:pPr>
        <w:rPr>
          <w:rFonts w:hint="eastAsia"/>
        </w:rPr>
      </w:pPr>
      <w:r>
        <w:separator/>
      </w:r>
    </w:p>
  </w:footnote>
  <w:footnote w:type="continuationSeparator" w:id="0">
    <w:p w14:paraId="171528FE" w14:textId="77777777" w:rsidR="00CE2475" w:rsidRDefault="00CE2475" w:rsidP="003948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2NDcyNjIwMzGxMDcwtTBW0lEKTi0uzszPAykwrQUAXPaiIywAAAA="/>
  </w:docVars>
  <w:rsids>
    <w:rsidRoot w:val="004B3378"/>
    <w:rsid w:val="0002312F"/>
    <w:rsid w:val="000805CE"/>
    <w:rsid w:val="00114C79"/>
    <w:rsid w:val="001272BC"/>
    <w:rsid w:val="00175A86"/>
    <w:rsid w:val="00237A5C"/>
    <w:rsid w:val="00303B5F"/>
    <w:rsid w:val="003729C5"/>
    <w:rsid w:val="00394822"/>
    <w:rsid w:val="00416649"/>
    <w:rsid w:val="0043292D"/>
    <w:rsid w:val="004B3378"/>
    <w:rsid w:val="00605590"/>
    <w:rsid w:val="006A76BE"/>
    <w:rsid w:val="006D0207"/>
    <w:rsid w:val="006E4240"/>
    <w:rsid w:val="007A22F1"/>
    <w:rsid w:val="007A4FEB"/>
    <w:rsid w:val="007D65B6"/>
    <w:rsid w:val="0081271E"/>
    <w:rsid w:val="00813291"/>
    <w:rsid w:val="0090380C"/>
    <w:rsid w:val="00AA3EBF"/>
    <w:rsid w:val="00AE71F1"/>
    <w:rsid w:val="00BA1F54"/>
    <w:rsid w:val="00BA2A79"/>
    <w:rsid w:val="00C1597D"/>
    <w:rsid w:val="00C22BA4"/>
    <w:rsid w:val="00CE2475"/>
    <w:rsid w:val="00DC7EAB"/>
    <w:rsid w:val="00DF413B"/>
    <w:rsid w:val="00E03235"/>
    <w:rsid w:val="00E52376"/>
    <w:rsid w:val="00E6036E"/>
    <w:rsid w:val="00F71D47"/>
    <w:rsid w:val="00FE21CF"/>
    <w:rsid w:val="2DD762FC"/>
    <w:rsid w:val="3ED34DFF"/>
    <w:rsid w:val="6D422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59D60E"/>
  <w15:docId w15:val="{0FC837E7-6EFE-4C37-B0B7-6DEC0386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paragraph" w:styleId="a8">
    <w:name w:val="Subtitle"/>
    <w:basedOn w:val="a"/>
    <w:next w:val="a"/>
    <w:link w:val="a9"/>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table" w:customStyle="1" w:styleId="ac">
    <w:name w:val="三线表"/>
    <w:basedOn w:val="a1"/>
    <w:autoRedefine/>
    <w:uiPriority w:val="99"/>
    <w:qFormat/>
    <w:rPr>
      <w:rFonts w:ascii="Times New Roman" w:hAnsi="Times New Roman"/>
    </w:rPr>
    <w:tblPr>
      <w:tblBorders>
        <w:top w:val="single" w:sz="12" w:space="0" w:color="auto"/>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11">
    <w:name w:val="明显强调1"/>
    <w:basedOn w:val="a0"/>
    <w:uiPriority w:val="21"/>
    <w:qFormat/>
    <w:rPr>
      <w:i/>
      <w:iCs/>
      <w:color w:val="156082" w:themeColor="accent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after="160"/>
      <w:jc w:val="center"/>
    </w:pPr>
    <w:rPr>
      <w:i/>
      <w:iCs/>
      <w:color w:val="404040" w:themeColor="text1" w:themeTint="BF"/>
    </w:rPr>
  </w:style>
  <w:style w:type="character" w:customStyle="1" w:styleId="ae">
    <w:name w:val="引用 字符"/>
    <w:basedOn w:val="a0"/>
    <w:link w:val="ad"/>
    <w:uiPriority w:val="29"/>
    <w:qFormat/>
    <w:rPr>
      <w:i/>
      <w:iCs/>
      <w:color w:val="404040" w:themeColor="text1" w:themeTint="BF"/>
    </w:rPr>
  </w:style>
  <w:style w:type="paragraph" w:styleId="af">
    <w:name w:val="List Paragraph"/>
    <w:basedOn w:val="a"/>
    <w:uiPriority w:val="34"/>
    <w:qFormat/>
    <w:pPr>
      <w:ind w:left="720"/>
      <w:contextualSpacing/>
    </w:pPr>
  </w:style>
  <w:style w:type="paragraph" w:styleId="af0">
    <w:name w:val="Intense Quote"/>
    <w:basedOn w:val="a"/>
    <w:next w:val="a"/>
    <w:link w:val="a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table" w:customStyle="1" w:styleId="211">
    <w:name w:val="无格式表格 211"/>
    <w:basedOn w:val="a1"/>
    <w:qFormat/>
    <w:rPr>
      <w:rFonts w:ascii="Times New Roman" w:eastAsia="宋体" w:hAnsi="Times New Roman" w:cs="Times New Roman"/>
    </w:rPr>
    <w:tblPr>
      <w:tblBorders>
        <w:top w:val="single" w:sz="4" w:space="0" w:color="7F7F7F"/>
        <w:bottom w:val="single" w:sz="4" w:space="0" w:color="7F7F7F"/>
      </w:tblBorders>
    </w:tblPr>
    <w:tblStylePr w:type="firstRow">
      <w:rPr>
        <w:rFonts w:ascii="Times New Roman" w:hAnsi="Times New Roman" w:cs="Times New Roman" w:hint="default"/>
        <w:b/>
        <w:bCs/>
      </w:rPr>
      <w:tblPr/>
      <w:tcPr>
        <w:tcBorders>
          <w:bottom w:val="single" w:sz="4" w:space="0" w:color="7F7F7F"/>
        </w:tcBorders>
      </w:tcPr>
    </w:tblStylePr>
    <w:tblStylePr w:type="lastRow">
      <w:rPr>
        <w:rFonts w:ascii="Times New Roman" w:hAnsi="Times New Roman" w:cs="Times New Roman" w:hint="default"/>
        <w:b/>
        <w:bCs/>
      </w:rPr>
      <w:tblPr/>
      <w:tcPr>
        <w:tcBorders>
          <w:top w:val="single" w:sz="4" w:space="0" w:color="7F7F7F"/>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9</Pages>
  <Words>7251</Words>
  <Characters>46625</Characters>
  <Application>Microsoft Office Word</Application>
  <DocSecurity>0</DocSecurity>
  <Lines>3885</Lines>
  <Paragraphs>1056</Paragraphs>
  <ScaleCrop>false</ScaleCrop>
  <Company/>
  <LinksUpToDate>false</LinksUpToDate>
  <CharactersWithSpaces>52820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华强 李</dc:creator>
  <cp:lastModifiedBy>华强 李</cp:lastModifiedBy>
  <cp:revision>19</cp:revision>
  <dcterms:created xsi:type="dcterms:W3CDTF">2025-07-17T12:51:00Z</dcterms:created>
  <dcterms:modified xsi:type="dcterms:W3CDTF">2025-07-18T05:45:00Z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eyJoZGlkIjoiMTI1ODk0Mjc4MWY3NTgxMjQ0NDhjNzU1NjdiNzA5MjgiLCJ1c2VySWQiOiIzNzUyNjk5MjMifQ==</vt:lpwstr>
  </property>
  <property fmtid="{D5CDD505-2E9C-101B-9397-08002B2CF9AE}" pid="3" name="KSOProductBuildVer">
    <vt:lpwstr>2052-12.1.0.21915</vt:lpwstr>
  </property>
  <property fmtid="{D5CDD505-2E9C-101B-9397-08002B2CF9AE}" pid="4" name="ICV">
    <vt:lpwstr>DB0241E9DFF0427583CADAD5AF6562AB_12</vt:lpwstr>
  </property>
  <property fmtid="{D5CDD505-2E9C-101B-9397-08002B2CF9AE}" pid="5" name="Mendeley Document_1">
    <vt:lpwstr>True</vt:lpwstr>
  </property>
  <property fmtid="{D5CDD505-2E9C-101B-9397-08002B2CF9AE}" pid="6" name="Mendeley Unique User Id_1">
    <vt:lpwstr>f0a15bd1-2b22-3d0f-bf6d-779939a54c4f</vt:lpwstr>
  </property>
  <property fmtid="{D5CDD505-2E9C-101B-9397-08002B2CF9AE}" pid="7" name="Mendeley Citation Style_1">
    <vt:lpwstr>http://www.zotero.org/styles/apa</vt:lpwstr>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7th edition</vt:lpwstr>
  </property>
  <property fmtid="{D5CDD505-2E9C-101B-9397-08002B2CF9AE}" pid="12" name="Mendeley Recent Style Id 2_1">
    <vt:lpwstr>http://www.zotero.org/styles/american-sociological-association</vt:lpwstr>
  </property>
  <property fmtid="{D5CDD505-2E9C-101B-9397-08002B2CF9AE}" pid="13" name="Mendeley Recent Style Name 2_1">
    <vt:lpwstr>American Sociological Association 6th edition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17th edition (author-date)</vt:lpwstr>
  </property>
  <property fmtid="{D5CDD505-2E9C-101B-9397-08002B2CF9AE}" pid="16" name="Mendeley Recent Style Id 4_1">
    <vt:lpwstr>http://www.zotero.org/styles/harvard-cite-them-right</vt:lpwstr>
  </property>
  <property fmtid="{D5CDD505-2E9C-101B-9397-08002B2CF9AE}" pid="17" name="Mendeley Recent Style Name 4_1">
    <vt:lpwstr>Cite Them Right 10th edition - Harvard</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http://www.zotero.org/styles/modern-humanities-research-association</vt:lpwstr>
  </property>
  <property fmtid="{D5CDD505-2E9C-101B-9397-08002B2CF9AE}" pid="21" name="Mendeley Recent Style Name 6_1">
    <vt:lpwstr>Modern Humanities Research Association 3rd edition (note with bibliography)</vt:lpwstr>
  </property>
  <property fmtid="{D5CDD505-2E9C-101B-9397-08002B2CF9AE}" pid="22" name="Mendeley Recent Style Id 7_1">
    <vt:lpwstr>http://www.zotero.org/styles/modern-language-association</vt:lpwstr>
  </property>
  <property fmtid="{D5CDD505-2E9C-101B-9397-08002B2CF9AE}" pid="23" name="Mendeley Recent Style Name 7_1">
    <vt:lpwstr>Modern Language Association 8th edition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http://www.zotero.org/styles/plos-one</vt:lpwstr>
  </property>
  <property fmtid="{D5CDD505-2E9C-101B-9397-08002B2CF9AE}" pid="27" name="Mendeley Recent Style Name 9_1">
    <vt:lpwstr>PLOS ONE</vt:lpwstr>
  </property>
</Properties>
</file>