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before="200"/>
        <w:jc w:val="center"/>
      </w:pPr>
      <w:r>
        <w:rPr>
          <w:b/>
          <w:bCs/>
          <w:color w:val="1E3A8A"/>
          <w:sz w:val="34"/>
          <w:szCs w:val="34"/>
        </w:rPr>
        <w:t xml:space="preserve">💳 Subscription Lifecycle, Upgrade Triggers &amp; Payment Flow Guide</w:t>
      </w:r>
    </w:p>
    <w:p>
      <w:pPr>
        <w:spacing w:after="350"/>
        <w:jc w:val="center"/>
      </w:pPr>
      <w:r>
        <w:rPr>
          <w:i/>
          <w:iCs/>
          <w:color w:val="64748B"/>
          <w:sz w:val="22"/>
          <w:szCs w:val="22"/>
        </w:rPr>
        <w:t xml:space="preserve">Comprehensive Explanation of When Users Upgrade, Business Triggers, End-to-End Payment Flow &amp; Database Fulfillment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1F5F9" w:color="auto" w:val="clear"/>
          </w:tcPr>
          <w:p>
            <w:r>
              <w:rPr>
                <w:b/>
                <w:bCs/>
                <w:color w:val="0F172A"/>
              </w:rPr>
              <w:t xml:space="preserve">Subject: </w:t>
            </w:r>
            <w:r>
              <w:t xml:space="preserve">When does a user take a subscription, and how does the complete workflow operate?</w:t>
            </w:r>
          </w:p>
          <w:p>
            <w:r>
              <w:rPr>
                <w:b/>
                <w:bCs/>
                <w:color w:val="0F172A"/>
              </w:rPr>
              <w:t xml:space="preserve">Platforms Covered: </w:t>
            </w:r>
            <w:r>
              <w:t xml:space="preserve">family-together-backend (NestJS 11 + Stripe SDK) &amp; family-together-frontend (Next.js 16)</w:t>
            </w:r>
          </w:p>
          <w:p>
            <w:r>
              <w:rPr>
                <w:b/>
                <w:bCs/>
                <w:color w:val="0F172A"/>
              </w:rPr>
              <w:t xml:space="preserve">Subscription Tiers: </w:t>
            </w:r>
            <w:r>
              <w:t xml:space="preserve">Free Sanctuary (500MB, 25 members) -&gt; Heritage Pro (50GB, 150 members) -&gt; Dynasty Unlimited (500GB, 10k members)</w:t>
            </w:r>
          </w:p>
        </w:tc>
      </w:tr>
    </w:tbl>
    <w:p>
      <w:pPr>
        <w:spacing w:after="150" w:before="300"/>
      </w:pPr>
    </w:p>
    <w:p>
      <w:pPr>
        <w:pStyle w:val="Heading1"/>
      </w:pPr>
      <w:r>
        <w:rPr>
          <w:b/>
          <w:bCs/>
          <w:color w:val="1E3A8A"/>
          <w:sz w:val="26"/>
          <w:szCs w:val="26"/>
        </w:rPr>
        <w:t xml:space="preserve">1. When Does a User Take a Subscription? (The 4 Key Triggers)</w:t>
      </w:r>
    </w:p>
    <w:p>
      <w:pPr>
        <w:spacing w:after="150" w:before="100"/>
      </w:pPr>
      <w:r>
        <w:t xml:space="preserve">Users do not need to purchase a subscription immediately upon signup. Every new family starts with a </w:t>
      </w:r>
      <w:r>
        <w:rPr>
          <w:b/>
          <w:bCs/>
          <w:color w:val="0F172A"/>
        </w:rPr>
        <w:t xml:space="preserve">Free Sanctuary Plan</w:t>
      </w:r>
      <w:r>
        <w:t xml:space="preserve"> (500 MB storage and up to 25 members). A Sanctuary Owner is motivated to upgrade to a paid subscription under four specific scenarios:</w:t>
      </w:r>
    </w:p>
    <w:p>
      <w:pPr>
        <w:spacing w:after="100" w:before="100"/>
      </w:pPr>
      <w:r>
        <w:rPr>
          <w:b/>
          <w:bCs/>
          <w:color w:val="DC2626"/>
        </w:rPr>
        <w:t xml:space="preserve">Trigger 1: Cloud Storage Vault Exhaustion (The 500 MB Cap)
</w:t>
      </w:r>
      <w:r>
        <w:t xml:space="preserve">As family members upload high-resolution historical photos, birth certificates, video clips, and scanned documents, the sanctuary storage counter approaches 500 MB. When usage reaches 80% (400 MB) or 100% (500 MB), the dashboard alerts the Owner that upload capacity is full and prompts an upgrade to Heritage Pro (50 GB).</w:t>
      </w:r>
    </w:p>
    <w:p>
      <w:pPr>
        <w:spacing w:after="100" w:before="100"/>
      </w:pPr>
      <w:r>
        <w:rPr>
          <w:b/>
          <w:bCs/>
          <w:color w:val="DC2626"/>
        </w:rPr>
        <w:t xml:space="preserve">Trigger 2: Family Tree Growth Beyond 25 Members (The Lineage Cap)
</w:t>
      </w:r>
      <w:r>
        <w:t xml:space="preserve">The Free tier accommodates up to 25 relatives. When a growing family tree attempts to invite its 26th member (e.g. inviting extended cousins, in-laws, or second-generation relatives), the invitation system notifies the Owner that the 25-member ceiling has been reached, requiring an upgrade to Heritage Pro (up to 150 members) or Dynasty Unlimited (unlimited).</w:t>
      </w:r>
    </w:p>
    <w:p>
      <w:pPr>
        <w:spacing w:after="100" w:before="100"/>
      </w:pPr>
      <w:r>
        <w:rPr>
          <w:b/>
          <w:bCs/>
          <w:color w:val="2563EB"/>
        </w:rPr>
        <w:t xml:space="preserve">Trigger 3: Genealogical Research &amp; GEDCOM Data Migration
</w:t>
      </w:r>
      <w:r>
        <w:t xml:space="preserve">Dedicated family historians who have already built complex family trees on third-party platforms (Ancestry.com, MyHeritage, FamilySearch) want to import their entire lineage in one click using standard .GED files. GEDCOM import and high-resolution printable tree poster generation (SVG/PDF) are premium features available on Dynasty Unlimited ($24.99/mo).</w:t>
      </w:r>
    </w:p>
    <w:p>
      <w:pPr>
        <w:spacing w:after="100" w:before="100"/>
      </w:pPr>
      <w:r>
        <w:rPr>
          <w:b/>
          <w:bCs/>
          <w:color w:val="059669"/>
        </w:rPr>
        <w:t xml:space="preserve">Trigger 4: Voluntary Proactive Upgrade for Generational Peace of Mind
</w:t>
      </w:r>
      <w:r>
        <w:t xml:space="preserve">Many family patriarchs and matriarchs choose to upgrade immediately after creating their sanctuary to lock in the 17% annual discount ($99/year instead of $119.88/year) and ensure uninterrupted, high-definition memory archiving from day one.</w:t>
      </w:r>
    </w:p>
    <w:p>
      <w:pPr>
        <w:pStyle w:val="Heading1"/>
        <w:spacing w:after="150" w:before="300"/>
      </w:pPr>
      <w:r>
        <w:rPr>
          <w:b/>
          <w:bCs/>
          <w:color w:val="1E3A8A"/>
          <w:sz w:val="26"/>
          <w:szCs w:val="26"/>
        </w:rPr>
        <w:t xml:space="preserve">2. Step-by-Step: What Happens When a User Takes a Subscription?</w:t>
      </w:r>
    </w:p>
    <w:p>
      <w:pPr>
        <w:spacing w:after="150" w:before="100"/>
      </w:pPr>
      <w:r>
        <w:t xml:space="preserve">The end-to-end upgrade lifecycle connects the Next.js frontend, NestJS backend, Neon PostgreSQL multi-schema database, and Stripe payment gateway through six seamless steps:</w:t>
      </w:r>
    </w:p>
    <w:p>
      <w:pPr>
        <w:spacing w:after="100" w:before="100"/>
      </w:pPr>
      <w:r>
        <w:rPr>
          <w:b/>
          <w:bCs/>
          <w:color w:val="0F172A"/>
        </w:rPr>
        <w:t xml:space="preserve">Step 1: Plan Selection &amp; Pricing Interval Choice
</w:t>
      </w:r>
      <w:r>
        <w:t xml:space="preserve">The Owner opens /owner-dashboard/billing. They inspect the live storage meter and compare tiers. They toggle between "Monthly" and "Yearly (Save 17%)". They select "Heritage Pro" ($9.99/mo) and click "Upgrade to Heritage Pro".</w:t>
      </w:r>
    </w:p>
    <w:p>
      <w:pPr>
        <w:spacing w:after="100" w:before="100"/>
      </w:pPr>
      <w:r>
        <w:rPr>
          <w:b/>
          <w:bCs/>
          <w:color w:val="0F172A"/>
        </w:rPr>
        <w:t xml:space="preserve">Step 2: Frontend Mutation &amp; Checkout Session Request
</w:t>
      </w:r>
      <w:r>
        <w:t xml:space="preserve">The frontend executes the RTK Query mutation createCheckoutSession({ tier: "HERITAGE_PRO", interval: "MONTHLY" }). This sends a POST /billing/checkout request with the authenticated user credentials and family context.</w:t>
      </w:r>
    </w:p>
    <w:p>
      <w:pPr>
        <w:spacing w:after="100" w:before="100"/>
      </w:pPr>
      <w:r>
        <w:rPr>
          <w:b/>
          <w:bCs/>
          <w:color w:val="0F172A"/>
        </w:rPr>
        <w:t xml:space="preserve">Step 3: Backend Validation &amp; Stripe Session Creation
</w:t>
      </w:r>
      <w:r>
        <w:t xml:space="preserve">BillingService verifies that the requesting user is the Sanctuary Owner or Administrator. In Production mode, it calls stripe.checkout.sessions.create() with recurring subscription parameters and metadata. In local Sandbox mode, it simulates an instant approval and prepares the return URL.</w:t>
      </w:r>
    </w:p>
    <w:p>
      <w:pPr>
        <w:spacing w:after="100" w:before="100"/>
      </w:pPr>
      <w:r>
        <w:rPr>
          <w:b/>
          <w:bCs/>
          <w:color w:val="0F172A"/>
        </w:rPr>
        <w:t xml:space="preserve">Step 4: Secure Checkout on Stripe Hosted Page
</w:t>
      </w:r>
      <w:r>
        <w:t xml:space="preserve">The browser is redirected to Stripe's PCI-compliant hosted checkout portal. The Owner enters their payment method (Credit card, Apple Pay, Google Pay). Sensitive card data never touches your application servers.</w:t>
      </w:r>
    </w:p>
    <w:p>
      <w:pPr>
        <w:spacing w:after="100" w:before="100"/>
      </w:pPr>
      <w:r>
        <w:rPr>
          <w:b/>
          <w:bCs/>
          <w:color w:val="0F172A"/>
        </w:rPr>
        <w:t xml:space="preserve">Step 5: Webhook Verification &amp; PostgreSQL Database Fulfillment
</w:t>
      </w:r>
      <w:r>
        <w:t xml:space="preserve">Upon successful transaction, Stripe broadcasts a checkout.session.completed webhook to POST /billing/webhook. The backend verifies the cryptographic signature (stripe-signature) and updates the Neon PostgreSQL subscriptions table: tier is set to HERITAGE_PRO, storageLimitMb expands to 51,200 MB, maxMembersLimit expands to 150, and stripeCustomerId is securely stored.</w:t>
      </w:r>
    </w:p>
    <w:p>
      <w:pPr>
        <w:spacing w:after="100" w:before="100"/>
      </w:pPr>
      <w:r>
        <w:rPr>
          <w:b/>
          <w:bCs/>
          <w:color w:val="0F172A"/>
        </w:rPr>
        <w:t xml:space="preserve">Step 6: Real-Time UI Reflection Across All Family Members
</w:t>
      </w:r>
      <w:r>
        <w:t xml:space="preserve">The Owner is redirected back to /owner-dashboard/billing?status=success. RTK Query invalidates the Subscription tag, instantly refreshing the storage bar to reflect the new 50 GB capacity. Concurrently, all family members in /user-dashboard now have unrestricted access to upload high-definition photo albums and videos without encountering quota blocks.</w:t>
      </w:r>
    </w:p>
    <w:p>
      <w:pPr>
        <w:pStyle w:val="Heading1"/>
        <w:spacing w:after="150" w:before="300"/>
      </w:pPr>
      <w:r>
        <w:rPr>
          <w:b/>
          <w:bCs/>
          <w:color w:val="1E3A8A"/>
          <w:sz w:val="26"/>
          <w:szCs w:val="26"/>
        </w:rPr>
        <w:t xml:space="preserve">3. Subscription Tier Comparison &amp; Economic Model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1E3A8A" w:color="auto" w:val="clear"/>
          </w:tcPr>
          <w:p>
            <w:r>
              <w:rPr>
                <w:b/>
                <w:bCs/>
                <w:color w:val="FFFFFF"/>
              </w:rPr>
              <w:t xml:space="preserve">Plan Dimension</w:t>
            </w:r>
          </w:p>
        </w:tc>
        <w:tc>
          <w:tcPr>
            <w:shd w:fill="1E3A8A" w:color="auto" w:val="clear"/>
          </w:tcPr>
          <w:p>
            <w:r>
              <w:rPr>
                <w:b/>
                <w:bCs/>
                <w:color w:val="FFFFFF"/>
              </w:rPr>
              <w:t xml:space="preserve">Free Sanctuary</w:t>
            </w:r>
          </w:p>
        </w:tc>
        <w:tc>
          <w:tcPr>
            <w:shd w:fill="1E3A8A" w:color="auto" w:val="clear"/>
          </w:tcPr>
          <w:p>
            <w:r>
              <w:rPr>
                <w:b/>
                <w:bCs/>
                <w:color w:val="FFFFFF"/>
              </w:rPr>
              <w:t xml:space="preserve">Heritage Pro (Most Popular)</w:t>
            </w:r>
          </w:p>
        </w:tc>
        <w:tc>
          <w:tcPr>
            <w:shd w:fill="1E3A8A" w:color="auto" w:val="clear"/>
          </w:tcPr>
          <w:p>
            <w:r>
              <w:rPr>
                <w:b/>
                <w:bCs/>
                <w:color w:val="FFFFFF"/>
              </w:rPr>
              <w:t xml:space="preserve">Dynasty Unlimited</w:t>
            </w:r>
          </w:p>
        </w:tc>
      </w:tr>
      <w:tr>
        <w:tc>
          <w:p>
            <w:r>
              <w:rPr>
                <w:b/>
                <w:bCs/>
              </w:rPr>
              <w:t xml:space="preserve">Monthly Price</w:t>
            </w:r>
          </w:p>
        </w:tc>
        <w:tc>
          <w:p>
            <w:r>
              <w:t xml:space="preserve">$0.00 / mo</w:t>
            </w:r>
          </w:p>
        </w:tc>
        <w:tc>
          <w:p>
            <w:r>
              <w:t xml:space="preserve">$9.99 / mo</w:t>
            </w:r>
          </w:p>
        </w:tc>
        <w:tc>
          <w:p>
            <w:r>
              <w:t xml:space="preserve">$24.99 / mo</w:t>
            </w:r>
          </w:p>
        </w:tc>
      </w:tr>
      <w:tr>
        <w:tc>
          <w:p>
            <w:r>
              <w:rPr>
                <w:b/>
                <w:bCs/>
              </w:rPr>
              <w:t xml:space="preserve">Yearly Price (Save 17%)</w:t>
            </w:r>
          </w:p>
        </w:tc>
        <w:tc>
          <w:p>
            <w:r>
              <w:t xml:space="preserve">$0.00 / yr</w:t>
            </w:r>
          </w:p>
        </w:tc>
        <w:tc>
          <w:p>
            <w:r>
              <w:t xml:space="preserve">$99.00 / yr</w:t>
            </w:r>
          </w:p>
        </w:tc>
        <w:tc>
          <w:p>
            <w:r>
              <w:t xml:space="preserve">$249.00 / yr</w:t>
            </w:r>
          </w:p>
        </w:tc>
      </w:tr>
      <w:tr>
        <w:tc>
          <w:p>
            <w:r>
              <w:rPr>
                <w:b/>
                <w:bCs/>
              </w:rPr>
              <w:t xml:space="preserve">Encrypted Vault Storage</w:t>
            </w:r>
          </w:p>
        </w:tc>
        <w:tc>
          <w:p>
            <w:r>
              <w:t xml:space="preserve">500 MB</w:t>
            </w:r>
          </w:p>
        </w:tc>
        <w:tc>
          <w:p>
            <w:r>
              <w:t xml:space="preserve">50 GB (51,200 MB)</w:t>
            </w:r>
          </w:p>
        </w:tc>
        <w:tc>
          <w:p>
            <w:r>
              <w:t xml:space="preserve">500 GB (512,000 MB)</w:t>
            </w:r>
          </w:p>
        </w:tc>
      </w:tr>
      <w:tr>
        <w:tc>
          <w:p>
            <w:r>
              <w:rPr>
                <w:b/>
                <w:bCs/>
              </w:rPr>
              <w:t xml:space="preserve">Family Members Quota</w:t>
            </w:r>
          </w:p>
        </w:tc>
        <w:tc>
          <w:p>
            <w:r>
              <w:t xml:space="preserve">Up to 25 members</w:t>
            </w:r>
          </w:p>
        </w:tc>
        <w:tc>
          <w:p>
            <w:r>
              <w:t xml:space="preserve">Up to 150 members</w:t>
            </w:r>
          </w:p>
        </w:tc>
        <w:tc>
          <w:p>
            <w:r>
              <w:t xml:space="preserve">Unlimited (10,000+ members)</w:t>
            </w:r>
          </w:p>
        </w:tc>
      </w:tr>
      <w:tr>
        <w:tc>
          <w:p>
            <w:r>
              <w:rPr>
                <w:b/>
                <w:bCs/>
              </w:rPr>
              <w:t xml:space="preserve">GEDCOM Data Import/Export</w:t>
            </w:r>
          </w:p>
        </w:tc>
        <w:tc>
          <w:p>
            <w:r>
              <w:t xml:space="preserve">❌ No</w:t>
            </w:r>
          </w:p>
        </w:tc>
        <w:tc>
          <w:p>
            <w:r>
              <w:t xml:space="preserve">❌ No</w:t>
            </w:r>
          </w:p>
        </w:tc>
        <w:tc>
          <w:p>
            <w:r>
              <w:t xml:space="preserve">✅ Full .ged format support</w:t>
            </w:r>
          </w:p>
        </w:tc>
      </w:tr>
      <w:tr>
        <w:tc>
          <w:p>
            <w:r>
              <w:rPr>
                <w:b/>
                <w:bCs/>
              </w:rPr>
              <w:t xml:space="preserve">Target User Type</w:t>
            </w:r>
          </w:p>
        </w:tc>
        <w:tc>
          <w:p>
            <w:r>
              <w:t xml:space="preserve">New small families</w:t>
            </w:r>
          </w:p>
        </w:tc>
        <w:tc>
          <w:p>
            <w:r>
              <w:t xml:space="preserve">Active multi-branch families</w:t>
            </w:r>
          </w:p>
        </w:tc>
        <w:tc>
          <w:p>
            <w:r>
              <w:t xml:space="preserve">Genealogists &amp; large dynasties</w:t>
            </w:r>
          </w:p>
        </w:tc>
      </w:tr>
    </w:tbl>
    <w:p>
      <w:pPr>
        <w:pStyle w:val="Heading1"/>
        <w:spacing w:after="150" w:before="300"/>
      </w:pPr>
      <w:r>
        <w:rPr>
          <w:b/>
          <w:bCs/>
          <w:color w:val="1E3A8A"/>
          <w:sz w:val="26"/>
          <w:szCs w:val="26"/>
        </w:rPr>
        <w:t xml:space="preserve">4. What Happens if a User Cancels Their Subscription?</w:t>
      </w:r>
    </w:p>
    <w:p>
      <w:pPr>
        <w:spacing w:after="100" w:before="100"/>
      </w:pPr>
      <w:r>
        <w:rPr>
          <w:b/>
          <w:bCs/>
          <w:color w:val="0F172A"/>
        </w:rPr>
        <w:t xml:space="preserve">Grace Period &amp; Data Preservation:
</w:t>
      </w:r>
      <w:r>
        <w:t xml:space="preserve">If an Owner clicks "Stripe Customer Portal" and cancels their subscription, Stripe sets cancelAtPeriodEnd = true. The family retains their 50 GB or 500 GB storage until the end of the billing cycle. Even after downgrading to Free, existing memories and documents are never deleted; the family simply enters a read-only upload pause until storage is cleaned or a plan is renewed.</w:t>
      </w:r>
    </w:p>
    <w:p>
      <w:pPr>
        <w:spacing w:after="150" w:before="300"/>
      </w:pPr>
      <w:r>
        <w:rPr>
          <w:b/>
          <w:bCs/>
          <w:color w:val="059669"/>
        </w:rPr>
        <w:t xml:space="preserve">Conclusion: </w:t>
      </w:r>
      <w:r>
        <w:t xml:space="preserve">The subscription model balances generous free onboarding with frictionless monetization triggers, ensuring zero billing friction for invited family members while providing robust, predictable SaaS revenue from sanctuary owners.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2026-10-11T07:04:10.020Z</dcterms:created>
  <dcterms:modified xsi:type="dcterms:W3CDTF">2026-10-11T07:04:10.021Z</dcterms:modified>
</cp:coreProperties>
</file>

<file path=docProps/custom.xml><?xml version="1.0" encoding="utf-8"?>
<Properties xmlns="http://schemas.openxmlformats.org/officeDocument/2006/custom-properties" xmlns:vt="http://schemas.openxmlformats.org/officeDocument/2006/docPropsVTypes"/>
</file>