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CB7" w:rsidRPr="00FD2D3C" w:rsidRDefault="00E73613" w:rsidP="00AD5134">
      <w:pPr>
        <w:pStyle w:val="NoSpacing"/>
        <w:tabs>
          <w:tab w:val="left" w:pos="5670"/>
        </w:tabs>
        <w:ind w:left="426"/>
        <w:rPr>
          <w:rFonts w:ascii="Times New Roman" w:hAnsi="Times New Roman" w:cs="Times New Roman"/>
          <w:sz w:val="24"/>
          <w:szCs w:val="24"/>
        </w:rPr>
      </w:pPr>
      <w:r>
        <w:tab/>
      </w:r>
      <w:r w:rsidRPr="00FD2D3C">
        <w:rPr>
          <w:rFonts w:ascii="Times New Roman" w:hAnsi="Times New Roman" w:cs="Times New Roman"/>
          <w:sz w:val="24"/>
          <w:szCs w:val="24"/>
        </w:rPr>
        <w:t>PATVIRTINTA</w:t>
      </w:r>
    </w:p>
    <w:p w:rsidR="00E73613" w:rsidRPr="00FD2D3C" w:rsidRDefault="00E73613" w:rsidP="00AD5134">
      <w:pPr>
        <w:pStyle w:val="NoSpacing"/>
        <w:tabs>
          <w:tab w:val="left" w:pos="5670"/>
        </w:tabs>
        <w:ind w:left="426"/>
        <w:rPr>
          <w:rFonts w:ascii="Times New Roman" w:hAnsi="Times New Roman" w:cs="Times New Roman"/>
          <w:sz w:val="24"/>
          <w:szCs w:val="24"/>
        </w:rPr>
      </w:pPr>
      <w:r w:rsidRPr="00FD2D3C">
        <w:rPr>
          <w:rFonts w:ascii="Times New Roman" w:hAnsi="Times New Roman" w:cs="Times New Roman"/>
          <w:sz w:val="24"/>
          <w:szCs w:val="24"/>
        </w:rPr>
        <w:tab/>
      </w:r>
      <w:r w:rsidR="002A6BC4" w:rsidRPr="00FD2D3C">
        <w:rPr>
          <w:rFonts w:ascii="Times New Roman" w:hAnsi="Times New Roman" w:cs="Times New Roman"/>
          <w:sz w:val="24"/>
          <w:szCs w:val="24"/>
        </w:rPr>
        <w:t>Kazlų Rūdos</w:t>
      </w:r>
      <w:r w:rsidRPr="00FD2D3C">
        <w:rPr>
          <w:rFonts w:ascii="Times New Roman" w:hAnsi="Times New Roman" w:cs="Times New Roman"/>
          <w:sz w:val="24"/>
          <w:szCs w:val="24"/>
        </w:rPr>
        <w:t xml:space="preserve"> savivaldybės tarybos</w:t>
      </w:r>
    </w:p>
    <w:p w:rsidR="00E73613" w:rsidRPr="00FD2D3C" w:rsidRDefault="00E73613" w:rsidP="00AD5134">
      <w:pPr>
        <w:pStyle w:val="NoSpacing"/>
        <w:tabs>
          <w:tab w:val="left" w:pos="5670"/>
        </w:tabs>
        <w:ind w:left="426"/>
        <w:rPr>
          <w:rFonts w:ascii="Times New Roman" w:hAnsi="Times New Roman" w:cs="Times New Roman"/>
          <w:sz w:val="24"/>
          <w:szCs w:val="24"/>
          <w:lang w:val="en-US"/>
        </w:rPr>
      </w:pPr>
      <w:r w:rsidRPr="00FD2D3C">
        <w:rPr>
          <w:rFonts w:ascii="Times New Roman" w:hAnsi="Times New Roman" w:cs="Times New Roman"/>
          <w:sz w:val="24"/>
          <w:szCs w:val="24"/>
        </w:rPr>
        <w:tab/>
      </w:r>
      <w:r w:rsidR="00F72E52" w:rsidRPr="00FD2D3C">
        <w:rPr>
          <w:rFonts w:ascii="Times New Roman" w:hAnsi="Times New Roman" w:cs="Times New Roman"/>
          <w:sz w:val="24"/>
          <w:szCs w:val="24"/>
          <w:lang w:val="en-US"/>
        </w:rPr>
        <w:t>201</w:t>
      </w:r>
      <w:r w:rsidR="002A6BC4" w:rsidRPr="00FD2D3C">
        <w:rPr>
          <w:rFonts w:ascii="Times New Roman" w:hAnsi="Times New Roman" w:cs="Times New Roman"/>
          <w:sz w:val="24"/>
          <w:szCs w:val="24"/>
          <w:lang w:val="en-US"/>
        </w:rPr>
        <w:t xml:space="preserve">8 m.    </w:t>
      </w:r>
      <w:r w:rsidR="00E17ED4" w:rsidRPr="00FD2D3C">
        <w:rPr>
          <w:rFonts w:ascii="Times New Roman" w:hAnsi="Times New Roman" w:cs="Times New Roman"/>
          <w:sz w:val="24"/>
          <w:szCs w:val="24"/>
        </w:rPr>
        <w:tab/>
      </w:r>
      <w:r w:rsidR="002A6BC4" w:rsidRPr="00FD2D3C">
        <w:rPr>
          <w:rFonts w:ascii="Times New Roman" w:hAnsi="Times New Roman" w:cs="Times New Roman"/>
          <w:sz w:val="24"/>
          <w:szCs w:val="24"/>
        </w:rPr>
        <w:t xml:space="preserve">       </w:t>
      </w:r>
      <w:proofErr w:type="gramStart"/>
      <w:r w:rsidRPr="00FD2D3C">
        <w:rPr>
          <w:rFonts w:ascii="Times New Roman" w:hAnsi="Times New Roman" w:cs="Times New Roman"/>
          <w:sz w:val="24"/>
          <w:szCs w:val="24"/>
          <w:lang w:val="en-US"/>
        </w:rPr>
        <w:t>d</w:t>
      </w:r>
      <w:proofErr w:type="gramEnd"/>
      <w:r w:rsidRPr="00FD2D3C">
        <w:rPr>
          <w:rFonts w:ascii="Times New Roman" w:hAnsi="Times New Roman" w:cs="Times New Roman"/>
          <w:sz w:val="24"/>
          <w:szCs w:val="24"/>
          <w:lang w:val="en-US"/>
        </w:rPr>
        <w:t>.</w:t>
      </w:r>
    </w:p>
    <w:p w:rsidR="00E73613" w:rsidRPr="00FD2D3C" w:rsidRDefault="00E73613" w:rsidP="00AD5134">
      <w:pPr>
        <w:pStyle w:val="NoSpacing"/>
        <w:tabs>
          <w:tab w:val="left" w:pos="5670"/>
        </w:tabs>
        <w:ind w:left="426"/>
        <w:rPr>
          <w:rFonts w:ascii="Times New Roman" w:hAnsi="Times New Roman" w:cs="Times New Roman"/>
          <w:sz w:val="24"/>
          <w:szCs w:val="24"/>
          <w:lang w:val="en-US"/>
        </w:rPr>
      </w:pPr>
      <w:r w:rsidRPr="00FD2D3C">
        <w:rPr>
          <w:rFonts w:ascii="Times New Roman" w:hAnsi="Times New Roman" w:cs="Times New Roman"/>
          <w:sz w:val="24"/>
          <w:szCs w:val="24"/>
          <w:lang w:val="en-US"/>
        </w:rPr>
        <w:tab/>
      </w:r>
      <w:proofErr w:type="spellStart"/>
      <w:proofErr w:type="gramStart"/>
      <w:r w:rsidRPr="00FD2D3C">
        <w:rPr>
          <w:rFonts w:ascii="Times New Roman" w:hAnsi="Times New Roman" w:cs="Times New Roman"/>
          <w:sz w:val="24"/>
          <w:szCs w:val="24"/>
          <w:lang w:val="en-US"/>
        </w:rPr>
        <w:t>sprendimu</w:t>
      </w:r>
      <w:proofErr w:type="spellEnd"/>
      <w:proofErr w:type="gramEnd"/>
      <w:r w:rsidRPr="00FD2D3C">
        <w:rPr>
          <w:rFonts w:ascii="Times New Roman" w:hAnsi="Times New Roman" w:cs="Times New Roman"/>
          <w:sz w:val="24"/>
          <w:szCs w:val="24"/>
          <w:lang w:val="en-US"/>
        </w:rPr>
        <w:t xml:space="preserve"> </w:t>
      </w:r>
      <w:proofErr w:type="spellStart"/>
      <w:r w:rsidRPr="00FD2D3C">
        <w:rPr>
          <w:rFonts w:ascii="Times New Roman" w:hAnsi="Times New Roman" w:cs="Times New Roman"/>
          <w:sz w:val="24"/>
          <w:szCs w:val="24"/>
          <w:lang w:val="en-US"/>
        </w:rPr>
        <w:t>Nr</w:t>
      </w:r>
      <w:proofErr w:type="spellEnd"/>
      <w:r w:rsidRPr="00FD2D3C">
        <w:rPr>
          <w:rFonts w:ascii="Times New Roman" w:hAnsi="Times New Roman" w:cs="Times New Roman"/>
          <w:sz w:val="24"/>
          <w:szCs w:val="24"/>
          <w:lang w:val="en-US"/>
        </w:rPr>
        <w:t>.</w:t>
      </w:r>
    </w:p>
    <w:p w:rsidR="00E569ED" w:rsidRPr="00FD2D3C" w:rsidRDefault="00E569ED" w:rsidP="00AD5134">
      <w:pPr>
        <w:pStyle w:val="NoSpacing"/>
        <w:tabs>
          <w:tab w:val="left" w:pos="5670"/>
        </w:tabs>
        <w:ind w:left="426"/>
        <w:rPr>
          <w:rFonts w:ascii="Times New Roman" w:hAnsi="Times New Roman" w:cs="Times New Roman"/>
          <w:sz w:val="24"/>
          <w:szCs w:val="24"/>
          <w:lang w:val="en-US"/>
        </w:rPr>
      </w:pPr>
    </w:p>
    <w:p w:rsidR="00E73613" w:rsidRPr="00FD2D3C" w:rsidRDefault="00E73613" w:rsidP="00AD5134">
      <w:pPr>
        <w:pStyle w:val="NoSpacing"/>
        <w:tabs>
          <w:tab w:val="left" w:pos="5670"/>
        </w:tabs>
        <w:ind w:left="426"/>
        <w:rPr>
          <w:rFonts w:ascii="Times New Roman" w:hAnsi="Times New Roman" w:cs="Times New Roman"/>
          <w:b/>
          <w:sz w:val="24"/>
          <w:szCs w:val="24"/>
          <w:lang w:val="en-US"/>
        </w:rPr>
      </w:pPr>
      <w:r w:rsidRPr="00363E9E">
        <w:rPr>
          <w:rFonts w:ascii="Times New Roman" w:hAnsi="Times New Roman" w:cs="Times New Roman"/>
        </w:rPr>
        <w:tab/>
      </w:r>
      <w:r w:rsidRPr="00363E9E">
        <w:rPr>
          <w:rFonts w:ascii="Times New Roman" w:hAnsi="Times New Roman" w:cs="Times New Roman"/>
        </w:rPr>
        <w:tab/>
      </w:r>
      <w:r w:rsidRPr="00363E9E">
        <w:rPr>
          <w:rFonts w:ascii="Times New Roman" w:hAnsi="Times New Roman" w:cs="Times New Roman"/>
        </w:rPr>
        <w:tab/>
      </w:r>
      <w:r w:rsidRPr="00FD2D3C">
        <w:rPr>
          <w:rFonts w:ascii="Times New Roman" w:hAnsi="Times New Roman" w:cs="Times New Roman"/>
          <w:b/>
          <w:sz w:val="24"/>
          <w:szCs w:val="24"/>
          <w:lang w:val="en-US"/>
        </w:rPr>
        <w:t>1a forma</w:t>
      </w:r>
    </w:p>
    <w:p w:rsidR="00E73613" w:rsidRDefault="00E73613" w:rsidP="00AD5134">
      <w:pPr>
        <w:pStyle w:val="NoSpacing"/>
        <w:tabs>
          <w:tab w:val="left" w:pos="5670"/>
        </w:tabs>
        <w:ind w:left="426"/>
        <w:rPr>
          <w:rFonts w:ascii="Times New Roman" w:hAnsi="Times New Roman" w:cs="Times New Roman"/>
          <w:b/>
          <w:lang w:val="en-US"/>
        </w:rPr>
      </w:pPr>
    </w:p>
    <w:p w:rsidR="00E73613" w:rsidRPr="00FD2D3C" w:rsidRDefault="002A6BC4" w:rsidP="00AD5134">
      <w:pPr>
        <w:pStyle w:val="NoSpacing"/>
        <w:tabs>
          <w:tab w:val="left" w:pos="5670"/>
        </w:tabs>
        <w:ind w:left="426"/>
        <w:jc w:val="center"/>
        <w:rPr>
          <w:rFonts w:ascii="Times New Roman" w:hAnsi="Times New Roman" w:cs="Times New Roman"/>
          <w:b/>
          <w:sz w:val="24"/>
          <w:szCs w:val="24"/>
        </w:rPr>
      </w:pPr>
      <w:r w:rsidRPr="00FD2D3C">
        <w:rPr>
          <w:rFonts w:ascii="Times New Roman" w:hAnsi="Times New Roman" w:cs="Times New Roman"/>
          <w:b/>
          <w:sz w:val="24"/>
          <w:szCs w:val="24"/>
        </w:rPr>
        <w:t>KAZLŲ RŪDOS</w:t>
      </w:r>
      <w:r w:rsidR="00E73613" w:rsidRPr="00FD2D3C">
        <w:rPr>
          <w:rFonts w:ascii="Times New Roman" w:hAnsi="Times New Roman" w:cs="Times New Roman"/>
          <w:b/>
          <w:sz w:val="24"/>
          <w:szCs w:val="24"/>
        </w:rPr>
        <w:t xml:space="preserve"> SAVIVALDYBĖS</w:t>
      </w:r>
      <w:r w:rsidR="00F72E52" w:rsidRPr="00FD2D3C">
        <w:rPr>
          <w:rFonts w:ascii="Times New Roman" w:hAnsi="Times New Roman" w:cs="Times New Roman"/>
          <w:b/>
          <w:sz w:val="24"/>
          <w:szCs w:val="24"/>
        </w:rPr>
        <w:t xml:space="preserve"> 201</w:t>
      </w:r>
      <w:r w:rsidRPr="00FD2D3C">
        <w:rPr>
          <w:rFonts w:ascii="Times New Roman" w:hAnsi="Times New Roman" w:cs="Times New Roman"/>
          <w:b/>
          <w:sz w:val="24"/>
          <w:szCs w:val="24"/>
          <w:lang w:val="en-US"/>
        </w:rPr>
        <w:t>8</w:t>
      </w:r>
      <w:r w:rsidR="00E569ED" w:rsidRPr="00FD2D3C">
        <w:rPr>
          <w:sz w:val="24"/>
          <w:szCs w:val="24"/>
        </w:rPr>
        <w:t>–</w:t>
      </w:r>
      <w:r w:rsidRPr="00FD2D3C">
        <w:rPr>
          <w:rFonts w:ascii="Times New Roman" w:hAnsi="Times New Roman" w:cs="Times New Roman"/>
          <w:b/>
          <w:sz w:val="24"/>
          <w:szCs w:val="24"/>
        </w:rPr>
        <w:t>2020</w:t>
      </w:r>
      <w:r w:rsidR="00E73613" w:rsidRPr="00FD2D3C">
        <w:rPr>
          <w:rFonts w:ascii="Times New Roman" w:hAnsi="Times New Roman" w:cs="Times New Roman"/>
          <w:b/>
          <w:sz w:val="24"/>
          <w:szCs w:val="24"/>
        </w:rPr>
        <w:t xml:space="preserve"> METŲ STRATEGINIS VEIKLOS PLANAS</w:t>
      </w:r>
    </w:p>
    <w:p w:rsidR="00E73613" w:rsidRPr="00FD2D3C" w:rsidRDefault="00E73613" w:rsidP="00AD5134">
      <w:pPr>
        <w:pStyle w:val="NoSpacing"/>
        <w:tabs>
          <w:tab w:val="left" w:pos="5670"/>
        </w:tabs>
        <w:ind w:left="426"/>
        <w:jc w:val="center"/>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689"/>
        <w:gridCol w:w="1984"/>
      </w:tblGrid>
      <w:tr w:rsidR="00E73613" w:rsidRPr="00FD2D3C" w:rsidTr="009139FB">
        <w:tc>
          <w:tcPr>
            <w:tcW w:w="2689" w:type="dxa"/>
          </w:tcPr>
          <w:p w:rsidR="00E73613" w:rsidRPr="00FD2D3C" w:rsidRDefault="00E73613" w:rsidP="00AD5134">
            <w:pPr>
              <w:pStyle w:val="NoSpacing"/>
              <w:tabs>
                <w:tab w:val="left" w:pos="5670"/>
              </w:tabs>
              <w:ind w:left="426"/>
              <w:rPr>
                <w:rFonts w:ascii="Times New Roman" w:hAnsi="Times New Roman" w:cs="Times New Roman"/>
                <w:b/>
                <w:sz w:val="24"/>
                <w:szCs w:val="24"/>
              </w:rPr>
            </w:pPr>
            <w:r w:rsidRPr="00FD2D3C">
              <w:rPr>
                <w:rFonts w:ascii="Times New Roman" w:hAnsi="Times New Roman" w:cs="Times New Roman"/>
                <w:b/>
                <w:sz w:val="24"/>
                <w:szCs w:val="24"/>
              </w:rPr>
              <w:t>Biudžetiniai metai</w:t>
            </w:r>
          </w:p>
        </w:tc>
        <w:tc>
          <w:tcPr>
            <w:tcW w:w="1984" w:type="dxa"/>
          </w:tcPr>
          <w:p w:rsidR="00E73613" w:rsidRPr="00FD2D3C" w:rsidRDefault="00E73613" w:rsidP="00AD5134">
            <w:pPr>
              <w:pStyle w:val="NoSpacing"/>
              <w:tabs>
                <w:tab w:val="left" w:pos="5670"/>
              </w:tabs>
              <w:ind w:left="426"/>
              <w:rPr>
                <w:rFonts w:ascii="Times New Roman" w:hAnsi="Times New Roman" w:cs="Times New Roman"/>
                <w:b/>
                <w:sz w:val="24"/>
                <w:szCs w:val="24"/>
                <w:lang w:val="en-US"/>
              </w:rPr>
            </w:pPr>
            <w:r w:rsidRPr="00FD2D3C">
              <w:rPr>
                <w:rFonts w:ascii="Times New Roman" w:hAnsi="Times New Roman" w:cs="Times New Roman"/>
                <w:b/>
                <w:sz w:val="24"/>
                <w:szCs w:val="24"/>
              </w:rPr>
              <w:t>201</w:t>
            </w:r>
            <w:r w:rsidR="002A6BC4" w:rsidRPr="00FD2D3C">
              <w:rPr>
                <w:rFonts w:ascii="Times New Roman" w:hAnsi="Times New Roman" w:cs="Times New Roman"/>
                <w:b/>
                <w:sz w:val="24"/>
                <w:szCs w:val="24"/>
              </w:rPr>
              <w:t>8</w:t>
            </w:r>
          </w:p>
        </w:tc>
      </w:tr>
    </w:tbl>
    <w:p w:rsidR="00916305" w:rsidRPr="00916305" w:rsidRDefault="00916305" w:rsidP="009139FB">
      <w:pPr>
        <w:spacing w:before="100" w:beforeAutospacing="1" w:after="100" w:afterAutospacing="1"/>
        <w:jc w:val="center"/>
        <w:rPr>
          <w:rFonts w:ascii="Times New Roman" w:eastAsia="Times New Roman" w:hAnsi="Times New Roman"/>
          <w:sz w:val="24"/>
          <w:szCs w:val="24"/>
        </w:rPr>
      </w:pPr>
      <w:r w:rsidRPr="00916305">
        <w:rPr>
          <w:rFonts w:ascii="Times New Roman" w:eastAsia="Times New Roman" w:hAnsi="Times New Roman"/>
          <w:b/>
          <w:bCs/>
          <w:sz w:val="24"/>
          <w:szCs w:val="24"/>
        </w:rPr>
        <w:t>MISIJA</w:t>
      </w:r>
    </w:p>
    <w:p w:rsidR="00916305" w:rsidRPr="00916305" w:rsidRDefault="00A46CD3" w:rsidP="00E46760">
      <w:pPr>
        <w:spacing w:before="100" w:beforeAutospacing="1" w:after="100" w:afterAutospacing="1"/>
        <w:ind w:left="426"/>
        <w:jc w:val="both"/>
        <w:rPr>
          <w:rFonts w:ascii="Times New Roman" w:eastAsia="Times New Roman" w:hAnsi="Times New Roman"/>
          <w:sz w:val="24"/>
          <w:szCs w:val="24"/>
        </w:rPr>
      </w:pPr>
      <w:r w:rsidRPr="00A46CD3">
        <w:rPr>
          <w:rFonts w:ascii="Times New Roman" w:eastAsia="Times New Roman" w:hAnsi="Times New Roman"/>
          <w:sz w:val="24"/>
          <w:szCs w:val="24"/>
        </w:rPr>
        <w:t>Įgyvendindama vietos savivaldos teises ir principus Kazlų Rūdos savivaldybė siekia sukurti bendruomenei patrauklias sąlygas ir aplinką gyvenimui, darbui, poilsiui ir saviraiškai.</w:t>
      </w:r>
      <w:r w:rsidR="00916305" w:rsidRPr="00916305">
        <w:rPr>
          <w:rFonts w:ascii="Times New Roman" w:eastAsia="Times New Roman" w:hAnsi="Times New Roman"/>
          <w:sz w:val="24"/>
          <w:szCs w:val="24"/>
        </w:rPr>
        <w:t> </w:t>
      </w:r>
    </w:p>
    <w:p w:rsidR="00B03FEC" w:rsidRPr="009139FB" w:rsidRDefault="00916305" w:rsidP="009139FB">
      <w:pPr>
        <w:spacing w:before="100" w:beforeAutospacing="1" w:after="100" w:afterAutospacing="1"/>
        <w:ind w:left="426"/>
        <w:jc w:val="center"/>
        <w:rPr>
          <w:rFonts w:ascii="Times New Roman" w:eastAsia="Times New Roman" w:hAnsi="Times New Roman"/>
          <w:sz w:val="24"/>
          <w:szCs w:val="24"/>
        </w:rPr>
      </w:pPr>
      <w:r w:rsidRPr="00FD2D3C">
        <w:rPr>
          <w:rFonts w:ascii="Times New Roman" w:eastAsia="Times New Roman" w:hAnsi="Times New Roman"/>
          <w:b/>
          <w:bCs/>
          <w:sz w:val="24"/>
          <w:szCs w:val="24"/>
        </w:rPr>
        <w:t>SITUACIJOS ANALIZĖ</w:t>
      </w:r>
      <w:r w:rsidR="00FD2D3C" w:rsidRPr="00FD2D3C">
        <w:rPr>
          <w:rFonts w:ascii="Times New Roman" w:eastAsia="Times New Roman" w:hAnsi="Times New Roman"/>
          <w:sz w:val="24"/>
          <w:szCs w:val="24"/>
        </w:rPr>
        <w:t> </w:t>
      </w:r>
      <w:r w:rsidRPr="00FD2D3C">
        <w:rPr>
          <w:rFonts w:ascii="Times New Roman" w:eastAsia="Times New Roman" w:hAnsi="Times New Roman"/>
          <w:b/>
          <w:bCs/>
          <w:sz w:val="24"/>
          <w:szCs w:val="24"/>
        </w:rPr>
        <w:t> </w:t>
      </w:r>
    </w:p>
    <w:p w:rsidR="00B03FEC" w:rsidRPr="00F07F55" w:rsidRDefault="00111156" w:rsidP="00111156">
      <w:p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 xml:space="preserve">       </w:t>
      </w:r>
      <w:r w:rsidR="00B03FEC" w:rsidRPr="00F07F55">
        <w:rPr>
          <w:rFonts w:ascii="Times New Roman" w:eastAsia="Times New Roman" w:hAnsi="Times New Roman"/>
          <w:b/>
          <w:bCs/>
          <w:sz w:val="24"/>
          <w:szCs w:val="24"/>
        </w:rPr>
        <w:t>Ekonominiai veiksniai</w:t>
      </w:r>
    </w:p>
    <w:p w:rsidR="00B03FEC" w:rsidRPr="00752794" w:rsidRDefault="00B03FEC" w:rsidP="00752794">
      <w:pPr>
        <w:pStyle w:val="NoSpacing"/>
        <w:tabs>
          <w:tab w:val="left" w:pos="5670"/>
        </w:tabs>
        <w:ind w:left="426"/>
        <w:jc w:val="both"/>
        <w:rPr>
          <w:rFonts w:ascii="Times New Roman" w:eastAsia="Calibri" w:hAnsi="Times New Roman" w:cs="Times New Roman"/>
          <w:color w:val="000000"/>
          <w:sz w:val="24"/>
          <w:szCs w:val="24"/>
          <w:lang w:eastAsia="lt-LT"/>
        </w:rPr>
      </w:pPr>
      <w:r w:rsidRPr="00F07F55">
        <w:rPr>
          <w:rFonts w:ascii="Times New Roman" w:eastAsia="Times New Roman" w:hAnsi="Times New Roman" w:cs="Times New Roman"/>
          <w:i/>
          <w:iCs/>
          <w:sz w:val="24"/>
          <w:szCs w:val="24"/>
          <w:lang w:eastAsia="lt-LT"/>
        </w:rPr>
        <w:t xml:space="preserve">Ekonomistų skelbtos prognozės dėl spartesnio Lietuvos ekonomikos augimo 2017 m. pasiteisino. </w:t>
      </w:r>
      <w:r w:rsidRPr="00F07F55">
        <w:rPr>
          <w:rFonts w:ascii="Times New Roman" w:eastAsia="Times New Roman" w:hAnsi="Times New Roman" w:cs="Times New Roman"/>
          <w:sz w:val="24"/>
          <w:szCs w:val="24"/>
          <w:lang w:eastAsia="lt-LT"/>
        </w:rPr>
        <w:t xml:space="preserve">Pagal Lietuvos statistikos departamento paskelbtą informaciją, realus BVP augimas 2017 m. pirmąjį pusmetį siekė 4,0 proc. (pašalinus sezono ir darbo dienų įtaką). Lietuvos banko teigimu, </w:t>
      </w:r>
      <w:r w:rsidRPr="00F07F55">
        <w:rPr>
          <w:rFonts w:ascii="Times New Roman" w:eastAsia="Calibri" w:hAnsi="Times New Roman" w:cs="Times New Roman"/>
          <w:sz w:val="24"/>
          <w:szCs w:val="24"/>
          <w:lang w:eastAsia="lt-LT"/>
        </w:rPr>
        <w:t xml:space="preserve">Nemažą didesnio ekonomikos augimo dalį lemia pagerėjusi ūkio raida užsienio šalyse. Euro zonoje – Lietuvos gamintojams ypač svarbiame regione – ūkio augimą didina atsigaunanti darbo rinka ir namų ūkių vartojimas, o geresni pasitikėjimo rodikliai, aukštesnis gamybos </w:t>
      </w:r>
      <w:proofErr w:type="spellStart"/>
      <w:r w:rsidRPr="00F07F55">
        <w:rPr>
          <w:rFonts w:ascii="Times New Roman" w:eastAsia="Calibri" w:hAnsi="Times New Roman" w:cs="Times New Roman"/>
          <w:sz w:val="24"/>
          <w:szCs w:val="24"/>
          <w:lang w:eastAsia="lt-LT"/>
        </w:rPr>
        <w:t>pajėgumų</w:t>
      </w:r>
      <w:proofErr w:type="spellEnd"/>
      <w:r w:rsidRPr="00F07F55">
        <w:rPr>
          <w:rFonts w:ascii="Times New Roman" w:eastAsia="Calibri" w:hAnsi="Times New Roman" w:cs="Times New Roman"/>
          <w:sz w:val="24"/>
          <w:szCs w:val="24"/>
          <w:lang w:eastAsia="lt-LT"/>
        </w:rPr>
        <w:t xml:space="preserve"> panaudojimo lygis ir pagausėję užsakymai skatina investicijas. Ūgtelėjusį ūkio aktyvumą euro zonoje lemia ir aktyvesnė užsienio prekyba. Geresnė padėtis pastebima žaliavas eksportuojančių šalių ūkiuose. </w:t>
      </w:r>
      <w:r w:rsidRPr="00F07F55">
        <w:rPr>
          <w:rFonts w:ascii="Times New Roman" w:hAnsi="Times New Roman" w:cs="Times New Roman"/>
          <w:sz w:val="24"/>
          <w:szCs w:val="24"/>
        </w:rPr>
        <w:t xml:space="preserve">Didesnį ūkio aktyvumą lemia ir pagausėjusios statybos. Padidėjus investicijų paklausai, padaugėjo negyvenamųjų pastatų statybų, nors ir statybų augimas nepasiekė ankstesnių metų lygio. </w:t>
      </w:r>
      <w:r w:rsidRPr="00F07F55">
        <w:rPr>
          <w:rFonts w:ascii="Times New Roman" w:eastAsia="Times New Roman" w:hAnsi="Times New Roman" w:cs="Times New Roman"/>
          <w:sz w:val="24"/>
          <w:szCs w:val="24"/>
          <w:lang w:eastAsia="lt-LT"/>
        </w:rPr>
        <w:t>Pastarieji veiksniai kartu su sparčiai augančiu namų ūkių vartojimu, kurį didina darbo užmokesčio augimas ir bendra palanki situacija darbo rinkoje, turėtų toliau būti pagrindiniais ekonominio augimo stūmokliais ir ateityje</w:t>
      </w:r>
      <w:r w:rsidR="00C5362C" w:rsidRPr="00F07F55">
        <w:rPr>
          <w:rFonts w:ascii="Times New Roman" w:eastAsia="Times New Roman" w:hAnsi="Times New Roman" w:cs="Times New Roman"/>
          <w:sz w:val="24"/>
          <w:szCs w:val="24"/>
          <w:lang w:eastAsia="lt-LT"/>
        </w:rPr>
        <w:t xml:space="preserve">. </w:t>
      </w:r>
      <w:r w:rsidR="00D8096E" w:rsidRPr="00F07F55">
        <w:rPr>
          <w:rFonts w:ascii="Times New Roman" w:eastAsia="Calibri" w:hAnsi="Times New Roman" w:cs="Times New Roman"/>
          <w:color w:val="000000"/>
          <w:sz w:val="24"/>
          <w:szCs w:val="24"/>
          <w:lang w:eastAsia="lt-LT"/>
        </w:rPr>
        <w:t xml:space="preserve">Be to, pastaruoju metu stebimas 2014–2020 m. laikotarpio Europos Sąjungos lėšomis įgyvendinamų projektų pagyvėjimas: „Naujausiais duomenimis, šiems projektams jau skirta beveik 40% šio laikotarpio lėšų - 2,5 mlrd. </w:t>
      </w:r>
      <w:proofErr w:type="spellStart"/>
      <w:r w:rsidR="00D8096E" w:rsidRPr="00F07F55">
        <w:rPr>
          <w:rFonts w:ascii="Times New Roman" w:eastAsia="Calibri" w:hAnsi="Times New Roman" w:cs="Times New Roman"/>
          <w:color w:val="000000"/>
          <w:sz w:val="24"/>
          <w:szCs w:val="24"/>
          <w:lang w:eastAsia="lt-LT"/>
        </w:rPr>
        <w:t>Eur</w:t>
      </w:r>
      <w:proofErr w:type="spellEnd"/>
      <w:r w:rsidR="00D8096E" w:rsidRPr="00F07F55">
        <w:rPr>
          <w:rFonts w:ascii="Times New Roman" w:eastAsia="Calibri" w:hAnsi="Times New Roman" w:cs="Times New Roman"/>
          <w:color w:val="000000"/>
          <w:sz w:val="24"/>
          <w:szCs w:val="24"/>
          <w:lang w:eastAsia="lt-LT"/>
        </w:rPr>
        <w:t xml:space="preserve">. Iš jų 1 mlrd. </w:t>
      </w:r>
      <w:proofErr w:type="spellStart"/>
      <w:r w:rsidR="00D8096E" w:rsidRPr="00F07F55">
        <w:rPr>
          <w:rFonts w:ascii="Times New Roman" w:eastAsia="Calibri" w:hAnsi="Times New Roman" w:cs="Times New Roman"/>
          <w:color w:val="000000"/>
          <w:sz w:val="24"/>
          <w:szCs w:val="24"/>
          <w:lang w:eastAsia="lt-LT"/>
        </w:rPr>
        <w:t>Eur</w:t>
      </w:r>
      <w:proofErr w:type="spellEnd"/>
      <w:r w:rsidR="00D8096E" w:rsidRPr="00F07F55">
        <w:rPr>
          <w:rFonts w:ascii="Times New Roman" w:eastAsia="Calibri" w:hAnsi="Times New Roman" w:cs="Times New Roman"/>
          <w:color w:val="000000"/>
          <w:sz w:val="24"/>
          <w:szCs w:val="24"/>
          <w:lang w:eastAsia="lt-LT"/>
        </w:rPr>
        <w:t xml:space="preserve"> už atliktas investicijas jau pasiekė projektų vykdytojus. Skaičiuojama, kad pagal ES investicijų spartą Lietuva yra pirmoji tarp</w:t>
      </w:r>
      <w:r w:rsidR="00752794">
        <w:rPr>
          <w:rFonts w:ascii="Times New Roman" w:eastAsia="Calibri" w:hAnsi="Times New Roman" w:cs="Times New Roman"/>
          <w:color w:val="000000"/>
          <w:sz w:val="24"/>
          <w:szCs w:val="24"/>
          <w:lang w:eastAsia="lt-LT"/>
        </w:rPr>
        <w:t xml:space="preserve"> </w:t>
      </w:r>
      <w:r w:rsidR="00D8096E" w:rsidRPr="00F07F55">
        <w:rPr>
          <w:rFonts w:ascii="Times New Roman" w:eastAsia="Calibri" w:hAnsi="Times New Roman" w:cs="Times New Roman"/>
          <w:color w:val="000000"/>
          <w:sz w:val="24"/>
          <w:szCs w:val="24"/>
          <w:lang w:eastAsia="lt-LT"/>
        </w:rPr>
        <w:t xml:space="preserve"> naujųjų ES šalių bei šešta tarp visų narių.“</w:t>
      </w:r>
      <w:r w:rsidR="00D8096E" w:rsidRPr="00F07F55">
        <w:rPr>
          <w:rFonts w:ascii="Times New Roman" w:eastAsia="Calibri" w:hAnsi="Times New Roman" w:cs="Times New Roman"/>
          <w:color w:val="000000"/>
          <w:sz w:val="24"/>
          <w:szCs w:val="24"/>
          <w:lang w:eastAsia="lt-LT"/>
        </w:rPr>
        <w:br/>
      </w:r>
      <w:r w:rsidR="00C5362C" w:rsidRPr="00F07F55">
        <w:rPr>
          <w:rFonts w:ascii="Times New Roman" w:eastAsia="Times New Roman" w:hAnsi="Times New Roman" w:cs="Times New Roman"/>
          <w:sz w:val="24"/>
          <w:szCs w:val="24"/>
          <w:lang w:eastAsia="lt-LT"/>
        </w:rPr>
        <w:t xml:space="preserve">Pagal teikiamą LR finansų ministerijos informaciją, </w:t>
      </w:r>
      <w:r w:rsidR="00C5362C" w:rsidRPr="00F07F55">
        <w:rPr>
          <w:rFonts w:ascii="Times New Roman" w:hAnsi="Times New Roman" w:cs="Times New Roman"/>
          <w:sz w:val="24"/>
          <w:szCs w:val="24"/>
        </w:rPr>
        <w:t>Europos Komisija (EK), įvertinusi vykdomą atsakingą fiskalinę politiką, Lietuvai projektuoja vieną sparčiausių visoje Europos Sąjungoje (ES) ir didesnį, nei prognozuota šių metų pavasarį, ekonomikos augimą. EK nuomone, 2017 m. mūsų šalies ekonomika augs 3,8 proc. BVP, 2018 m. – 2,9 proc. BVP.</w:t>
      </w:r>
      <w:r w:rsidR="00AC1FA6" w:rsidRPr="00AC1FA6">
        <w:rPr>
          <w:rFonts w:ascii="Times New Roman" w:hAnsi="Times New Roman" w:cs="Times New Roman"/>
          <w:sz w:val="24"/>
          <w:szCs w:val="24"/>
          <w:vertAlign w:val="superscript"/>
        </w:rPr>
        <w:t>1</w:t>
      </w:r>
    </w:p>
    <w:p w:rsidR="003000A6" w:rsidRDefault="00C5362C" w:rsidP="00E46760">
      <w:pPr>
        <w:pStyle w:val="NoSpacing"/>
        <w:tabs>
          <w:tab w:val="left" w:pos="5670"/>
        </w:tabs>
        <w:ind w:left="426"/>
        <w:jc w:val="both"/>
        <w:rPr>
          <w:rFonts w:ascii="Times New Roman" w:hAnsi="Times New Roman" w:cs="Times New Roman"/>
          <w:sz w:val="24"/>
          <w:szCs w:val="24"/>
        </w:rPr>
      </w:pPr>
      <w:r w:rsidRPr="00F07F55">
        <w:rPr>
          <w:rFonts w:ascii="Times New Roman" w:hAnsi="Times New Roman" w:cs="Times New Roman"/>
          <w:sz w:val="24"/>
          <w:szCs w:val="24"/>
        </w:rPr>
        <w:t>Europos Komisijos vertinimu, infliacija Lietuvoje 2017 m. sieks 3,8 proc., o 2018 m. sumažės iki 2,9 proc. Be to, numatoma, kad nedarbas šalyje ir toliau mažės – nuo 7,3 pro</w:t>
      </w:r>
      <w:r w:rsidR="00FD2D3C">
        <w:rPr>
          <w:rFonts w:ascii="Times New Roman" w:hAnsi="Times New Roman" w:cs="Times New Roman"/>
          <w:sz w:val="24"/>
          <w:szCs w:val="24"/>
        </w:rPr>
        <w:t>c. šiemet iki 6,8 proc. 2018 m.</w:t>
      </w:r>
    </w:p>
    <w:p w:rsidR="009139FB" w:rsidRDefault="009139FB" w:rsidP="00E46760">
      <w:pPr>
        <w:pStyle w:val="NoSpacing"/>
        <w:tabs>
          <w:tab w:val="left" w:pos="5670"/>
        </w:tabs>
        <w:ind w:left="426"/>
        <w:jc w:val="both"/>
        <w:rPr>
          <w:rFonts w:ascii="Times New Roman" w:hAnsi="Times New Roman" w:cs="Times New Roman"/>
          <w:sz w:val="24"/>
          <w:szCs w:val="24"/>
        </w:rPr>
      </w:pPr>
    </w:p>
    <w:p w:rsidR="009139FB" w:rsidRDefault="009139FB" w:rsidP="00E46760">
      <w:pPr>
        <w:pStyle w:val="NoSpacing"/>
        <w:tabs>
          <w:tab w:val="left" w:pos="5670"/>
        </w:tabs>
        <w:ind w:left="426"/>
        <w:jc w:val="both"/>
        <w:rPr>
          <w:rFonts w:ascii="Times New Roman" w:hAnsi="Times New Roman" w:cs="Times New Roman"/>
          <w:sz w:val="24"/>
          <w:szCs w:val="24"/>
        </w:rPr>
      </w:pPr>
    </w:p>
    <w:p w:rsidR="009139FB" w:rsidRDefault="009139FB" w:rsidP="00E46760">
      <w:pPr>
        <w:pStyle w:val="NoSpacing"/>
        <w:tabs>
          <w:tab w:val="left" w:pos="5670"/>
        </w:tabs>
        <w:ind w:left="426"/>
        <w:jc w:val="both"/>
        <w:rPr>
          <w:rFonts w:ascii="Times New Roman" w:hAnsi="Times New Roman" w:cs="Times New Roman"/>
          <w:sz w:val="24"/>
          <w:szCs w:val="24"/>
        </w:rPr>
      </w:pPr>
    </w:p>
    <w:p w:rsidR="009139FB" w:rsidRDefault="009139FB" w:rsidP="00E46760">
      <w:pPr>
        <w:pStyle w:val="NoSpacing"/>
        <w:tabs>
          <w:tab w:val="left" w:pos="5670"/>
        </w:tabs>
        <w:ind w:left="426"/>
        <w:jc w:val="both"/>
        <w:rPr>
          <w:rFonts w:ascii="Times New Roman" w:hAnsi="Times New Roman" w:cs="Times New Roman"/>
          <w:sz w:val="24"/>
          <w:szCs w:val="24"/>
        </w:rPr>
      </w:pPr>
    </w:p>
    <w:p w:rsidR="009139FB" w:rsidRDefault="009139FB" w:rsidP="00E46760">
      <w:pPr>
        <w:pStyle w:val="NoSpacing"/>
        <w:tabs>
          <w:tab w:val="left" w:pos="5670"/>
        </w:tabs>
        <w:ind w:left="426"/>
        <w:jc w:val="both"/>
        <w:rPr>
          <w:rFonts w:ascii="Times New Roman" w:hAnsi="Times New Roman" w:cs="Times New Roman"/>
          <w:sz w:val="24"/>
          <w:szCs w:val="24"/>
        </w:rPr>
      </w:pPr>
    </w:p>
    <w:p w:rsidR="009139FB" w:rsidRDefault="009139FB" w:rsidP="00E46760">
      <w:pPr>
        <w:pStyle w:val="NoSpacing"/>
        <w:tabs>
          <w:tab w:val="left" w:pos="5670"/>
        </w:tabs>
        <w:ind w:left="426"/>
        <w:jc w:val="both"/>
        <w:rPr>
          <w:rFonts w:ascii="Times New Roman" w:hAnsi="Times New Roman" w:cs="Times New Roman"/>
          <w:sz w:val="24"/>
          <w:szCs w:val="24"/>
        </w:rPr>
      </w:pPr>
    </w:p>
    <w:p w:rsidR="009139FB" w:rsidRDefault="009139FB" w:rsidP="00E46760">
      <w:pPr>
        <w:pStyle w:val="NoSpacing"/>
        <w:tabs>
          <w:tab w:val="left" w:pos="5670"/>
        </w:tabs>
        <w:ind w:left="426"/>
        <w:jc w:val="both"/>
        <w:rPr>
          <w:rFonts w:ascii="Times New Roman" w:hAnsi="Times New Roman" w:cs="Times New Roman"/>
          <w:sz w:val="24"/>
          <w:szCs w:val="24"/>
        </w:rPr>
      </w:pPr>
    </w:p>
    <w:p w:rsidR="009139FB" w:rsidRDefault="009139FB" w:rsidP="00E46760">
      <w:pPr>
        <w:pStyle w:val="NoSpacing"/>
        <w:tabs>
          <w:tab w:val="left" w:pos="5670"/>
        </w:tabs>
        <w:ind w:left="426"/>
        <w:jc w:val="both"/>
        <w:rPr>
          <w:rFonts w:ascii="Times New Roman" w:hAnsi="Times New Roman" w:cs="Times New Roman"/>
          <w:sz w:val="24"/>
          <w:szCs w:val="24"/>
        </w:rPr>
      </w:pPr>
    </w:p>
    <w:p w:rsidR="009139FB" w:rsidRPr="00E46760" w:rsidRDefault="009139FB" w:rsidP="00E46760">
      <w:pPr>
        <w:pStyle w:val="NoSpacing"/>
        <w:tabs>
          <w:tab w:val="left" w:pos="5670"/>
        </w:tabs>
        <w:ind w:left="426"/>
        <w:jc w:val="both"/>
        <w:rPr>
          <w:rFonts w:ascii="Times New Roman" w:hAnsi="Times New Roman" w:cs="Times New Roman"/>
          <w:sz w:val="24"/>
          <w:szCs w:val="24"/>
        </w:rPr>
      </w:pPr>
    </w:p>
    <w:tbl>
      <w:tblPr>
        <w:tblW w:w="10229" w:type="dxa"/>
        <w:tblCellMar>
          <w:left w:w="0" w:type="dxa"/>
          <w:right w:w="0" w:type="dxa"/>
        </w:tblCellMar>
        <w:tblLook w:val="04A0" w:firstRow="1" w:lastRow="0" w:firstColumn="1" w:lastColumn="0" w:noHBand="0" w:noVBand="1"/>
      </w:tblPr>
      <w:tblGrid>
        <w:gridCol w:w="2818"/>
        <w:gridCol w:w="1482"/>
        <w:gridCol w:w="1482"/>
        <w:gridCol w:w="1482"/>
        <w:gridCol w:w="1482"/>
        <w:gridCol w:w="1483"/>
      </w:tblGrid>
      <w:tr w:rsidR="003000A6" w:rsidRPr="003000A6" w:rsidTr="00CE0D7B">
        <w:trPr>
          <w:trHeight w:val="234"/>
        </w:trPr>
        <w:tc>
          <w:tcPr>
            <w:tcW w:w="2818"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3000A6" w:rsidRPr="003000A6" w:rsidRDefault="003000A6" w:rsidP="00AD5134">
            <w:pPr>
              <w:spacing w:before="100" w:beforeAutospacing="1" w:after="100" w:afterAutospacing="1"/>
              <w:ind w:left="426"/>
              <w:jc w:val="right"/>
              <w:rPr>
                <w:rFonts w:ascii="Times New Roman" w:eastAsia="Times New Roman" w:hAnsi="Times New Roman"/>
                <w:sz w:val="24"/>
                <w:szCs w:val="24"/>
              </w:rPr>
            </w:pPr>
            <w:r w:rsidRPr="003000A6">
              <w:rPr>
                <w:rFonts w:ascii="Times New Roman" w:eastAsia="Times New Roman" w:hAnsi="Times New Roman"/>
                <w:b/>
                <w:bCs/>
                <w:sz w:val="24"/>
                <w:szCs w:val="24"/>
              </w:rPr>
              <w:lastRenderedPageBreak/>
              <w:t>Metai ►</w:t>
            </w:r>
          </w:p>
        </w:tc>
        <w:tc>
          <w:tcPr>
            <w:tcW w:w="1482" w:type="dxa"/>
            <w:vMerge w:val="restart"/>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b/>
                <w:bCs/>
                <w:sz w:val="24"/>
                <w:szCs w:val="24"/>
              </w:rPr>
              <w:t>2016</w:t>
            </w:r>
          </w:p>
        </w:tc>
        <w:tc>
          <w:tcPr>
            <w:tcW w:w="1482" w:type="dxa"/>
            <w:vMerge w:val="restart"/>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b/>
                <w:bCs/>
                <w:sz w:val="24"/>
                <w:szCs w:val="24"/>
              </w:rPr>
              <w:t>2017</w:t>
            </w:r>
          </w:p>
        </w:tc>
        <w:tc>
          <w:tcPr>
            <w:tcW w:w="1482" w:type="dxa"/>
            <w:vMerge w:val="restart"/>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b/>
                <w:bCs/>
                <w:sz w:val="24"/>
                <w:szCs w:val="24"/>
              </w:rPr>
              <w:t>2018</w:t>
            </w:r>
          </w:p>
        </w:tc>
        <w:tc>
          <w:tcPr>
            <w:tcW w:w="1482" w:type="dxa"/>
            <w:vMerge w:val="restart"/>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b/>
                <w:bCs/>
                <w:sz w:val="24"/>
                <w:szCs w:val="24"/>
              </w:rPr>
              <w:t>2019</w:t>
            </w:r>
          </w:p>
        </w:tc>
        <w:tc>
          <w:tcPr>
            <w:tcW w:w="1483" w:type="dxa"/>
            <w:vMerge w:val="restart"/>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b/>
                <w:bCs/>
                <w:sz w:val="24"/>
                <w:szCs w:val="24"/>
              </w:rPr>
              <w:t>2020</w:t>
            </w:r>
          </w:p>
        </w:tc>
      </w:tr>
      <w:tr w:rsidR="003000A6" w:rsidRPr="003000A6" w:rsidTr="00CE0D7B">
        <w:trPr>
          <w:trHeight w:val="359"/>
        </w:trPr>
        <w:tc>
          <w:tcPr>
            <w:tcW w:w="2818" w:type="dxa"/>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b/>
                <w:bCs/>
                <w:sz w:val="24"/>
                <w:szCs w:val="24"/>
              </w:rPr>
              <w:t>Rodiklio pavadinimas ▼</w:t>
            </w:r>
          </w:p>
        </w:tc>
        <w:tc>
          <w:tcPr>
            <w:tcW w:w="0" w:type="auto"/>
            <w:vMerge/>
            <w:tcBorders>
              <w:top w:val="single" w:sz="8" w:space="0" w:color="auto"/>
              <w:left w:val="nil"/>
              <w:bottom w:val="single" w:sz="8" w:space="0" w:color="auto"/>
              <w:right w:val="single" w:sz="8" w:space="0" w:color="auto"/>
            </w:tcBorders>
            <w:vAlign w:val="center"/>
            <w:hideMark/>
          </w:tcPr>
          <w:p w:rsidR="003000A6" w:rsidRPr="003000A6" w:rsidRDefault="003000A6" w:rsidP="00AD5134">
            <w:pPr>
              <w:ind w:left="426"/>
              <w:rPr>
                <w:rFonts w:ascii="Times New Roman" w:eastAsia="Times New Roman" w:hAnsi="Times New Roman"/>
                <w:sz w:val="24"/>
                <w:szCs w:val="24"/>
              </w:rPr>
            </w:pPr>
          </w:p>
        </w:tc>
        <w:tc>
          <w:tcPr>
            <w:tcW w:w="0" w:type="auto"/>
            <w:vMerge/>
            <w:tcBorders>
              <w:top w:val="single" w:sz="8" w:space="0" w:color="auto"/>
              <w:left w:val="nil"/>
              <w:bottom w:val="single" w:sz="8" w:space="0" w:color="auto"/>
              <w:right w:val="single" w:sz="8" w:space="0" w:color="auto"/>
            </w:tcBorders>
            <w:vAlign w:val="center"/>
            <w:hideMark/>
          </w:tcPr>
          <w:p w:rsidR="003000A6" w:rsidRPr="003000A6" w:rsidRDefault="003000A6" w:rsidP="00AD5134">
            <w:pPr>
              <w:ind w:left="426"/>
              <w:rPr>
                <w:rFonts w:ascii="Times New Roman" w:eastAsia="Times New Roman" w:hAnsi="Times New Roman"/>
                <w:sz w:val="24"/>
                <w:szCs w:val="24"/>
              </w:rPr>
            </w:pPr>
          </w:p>
        </w:tc>
        <w:tc>
          <w:tcPr>
            <w:tcW w:w="0" w:type="auto"/>
            <w:vMerge/>
            <w:tcBorders>
              <w:top w:val="single" w:sz="8" w:space="0" w:color="auto"/>
              <w:left w:val="nil"/>
              <w:bottom w:val="single" w:sz="8" w:space="0" w:color="auto"/>
              <w:right w:val="single" w:sz="8" w:space="0" w:color="auto"/>
            </w:tcBorders>
            <w:vAlign w:val="center"/>
            <w:hideMark/>
          </w:tcPr>
          <w:p w:rsidR="003000A6" w:rsidRPr="003000A6" w:rsidRDefault="003000A6" w:rsidP="00AD5134">
            <w:pPr>
              <w:ind w:left="426"/>
              <w:rPr>
                <w:rFonts w:ascii="Times New Roman" w:eastAsia="Times New Roman" w:hAnsi="Times New Roman"/>
                <w:sz w:val="24"/>
                <w:szCs w:val="24"/>
              </w:rPr>
            </w:pPr>
          </w:p>
        </w:tc>
        <w:tc>
          <w:tcPr>
            <w:tcW w:w="0" w:type="auto"/>
            <w:vMerge/>
            <w:tcBorders>
              <w:top w:val="single" w:sz="8" w:space="0" w:color="auto"/>
              <w:left w:val="nil"/>
              <w:bottom w:val="single" w:sz="8" w:space="0" w:color="auto"/>
              <w:right w:val="single" w:sz="8" w:space="0" w:color="auto"/>
            </w:tcBorders>
            <w:vAlign w:val="center"/>
            <w:hideMark/>
          </w:tcPr>
          <w:p w:rsidR="003000A6" w:rsidRPr="003000A6" w:rsidRDefault="003000A6" w:rsidP="00AD5134">
            <w:pPr>
              <w:ind w:left="426"/>
              <w:rPr>
                <w:rFonts w:ascii="Times New Roman" w:eastAsia="Times New Roman" w:hAnsi="Times New Roman"/>
                <w:sz w:val="24"/>
                <w:szCs w:val="24"/>
              </w:rPr>
            </w:pPr>
          </w:p>
        </w:tc>
        <w:tc>
          <w:tcPr>
            <w:tcW w:w="0" w:type="auto"/>
            <w:vMerge/>
            <w:tcBorders>
              <w:top w:val="single" w:sz="8" w:space="0" w:color="auto"/>
              <w:left w:val="nil"/>
              <w:bottom w:val="single" w:sz="8" w:space="0" w:color="auto"/>
              <w:right w:val="single" w:sz="8" w:space="0" w:color="auto"/>
            </w:tcBorders>
            <w:vAlign w:val="center"/>
            <w:hideMark/>
          </w:tcPr>
          <w:p w:rsidR="003000A6" w:rsidRPr="003000A6" w:rsidRDefault="003000A6" w:rsidP="00AD5134">
            <w:pPr>
              <w:ind w:left="426"/>
              <w:rPr>
                <w:rFonts w:ascii="Times New Roman" w:eastAsia="Times New Roman" w:hAnsi="Times New Roman"/>
                <w:sz w:val="24"/>
                <w:szCs w:val="24"/>
              </w:rPr>
            </w:pPr>
          </w:p>
        </w:tc>
      </w:tr>
      <w:tr w:rsidR="003000A6" w:rsidRPr="003000A6" w:rsidTr="00CE0D7B">
        <w:trPr>
          <w:trHeight w:val="605"/>
        </w:trPr>
        <w:tc>
          <w:tcPr>
            <w:tcW w:w="2818" w:type="dxa"/>
            <w:tcBorders>
              <w:top w:val="nil"/>
              <w:left w:val="single" w:sz="8" w:space="0" w:color="auto"/>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rPr>
                <w:rFonts w:ascii="Times New Roman" w:eastAsia="Times New Roman" w:hAnsi="Times New Roman"/>
                <w:sz w:val="24"/>
                <w:szCs w:val="24"/>
              </w:rPr>
            </w:pPr>
            <w:r w:rsidRPr="003000A6">
              <w:rPr>
                <w:rFonts w:ascii="Times New Roman" w:eastAsia="Times New Roman" w:hAnsi="Times New Roman"/>
                <w:i/>
                <w:iCs/>
                <w:sz w:val="20"/>
                <w:szCs w:val="20"/>
              </w:rPr>
              <w:t>BVP palyginamosiomis kainomis pokytis (proc.)</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2,3</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3,6</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2,9</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2,5</w:t>
            </w:r>
          </w:p>
        </w:tc>
        <w:tc>
          <w:tcPr>
            <w:tcW w:w="1483"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2,4</w:t>
            </w:r>
          </w:p>
        </w:tc>
      </w:tr>
      <w:tr w:rsidR="003000A6" w:rsidRPr="003000A6" w:rsidTr="00CE0D7B">
        <w:trPr>
          <w:cantSplit/>
          <w:trHeight w:val="405"/>
        </w:trPr>
        <w:tc>
          <w:tcPr>
            <w:tcW w:w="2818" w:type="dxa"/>
            <w:tcBorders>
              <w:top w:val="nil"/>
              <w:left w:val="single" w:sz="8" w:space="0" w:color="auto"/>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rPr>
                <w:rFonts w:ascii="Times New Roman" w:eastAsia="Times New Roman" w:hAnsi="Times New Roman"/>
                <w:sz w:val="24"/>
                <w:szCs w:val="24"/>
              </w:rPr>
            </w:pPr>
            <w:r w:rsidRPr="003000A6">
              <w:rPr>
                <w:rFonts w:ascii="Times New Roman" w:eastAsia="Times New Roman" w:hAnsi="Times New Roman"/>
                <w:i/>
                <w:iCs/>
                <w:sz w:val="20"/>
                <w:szCs w:val="20"/>
              </w:rPr>
              <w:t>Suderintas vartotojų kainų indeksas (vidutinis metinis)</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0,7</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3,5</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2,7</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2,5</w:t>
            </w:r>
          </w:p>
        </w:tc>
        <w:tc>
          <w:tcPr>
            <w:tcW w:w="1483"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2,5</w:t>
            </w:r>
          </w:p>
        </w:tc>
      </w:tr>
      <w:tr w:rsidR="003000A6" w:rsidRPr="003000A6" w:rsidTr="00CE0D7B">
        <w:trPr>
          <w:cantSplit/>
          <w:trHeight w:val="405"/>
        </w:trPr>
        <w:tc>
          <w:tcPr>
            <w:tcW w:w="2818" w:type="dxa"/>
            <w:tcBorders>
              <w:top w:val="nil"/>
              <w:left w:val="single" w:sz="8" w:space="0" w:color="auto"/>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rPr>
                <w:rFonts w:ascii="Times New Roman" w:eastAsia="Times New Roman" w:hAnsi="Times New Roman"/>
                <w:sz w:val="24"/>
                <w:szCs w:val="24"/>
              </w:rPr>
            </w:pPr>
            <w:r w:rsidRPr="003000A6">
              <w:rPr>
                <w:rFonts w:ascii="Times New Roman" w:eastAsia="Times New Roman" w:hAnsi="Times New Roman"/>
                <w:i/>
                <w:iCs/>
                <w:sz w:val="20"/>
                <w:szCs w:val="20"/>
              </w:rPr>
              <w:t>Užimtų gyventojų skaičiaus (pagal gyventojų užimtumo tyrimo apibrėžtį) pokytis (proc.)</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2,0</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-0,2</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-0,3</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-0,4</w:t>
            </w:r>
          </w:p>
        </w:tc>
        <w:tc>
          <w:tcPr>
            <w:tcW w:w="1483"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-0,4</w:t>
            </w:r>
          </w:p>
        </w:tc>
      </w:tr>
      <w:tr w:rsidR="003000A6" w:rsidRPr="003000A6" w:rsidTr="00CE0D7B">
        <w:trPr>
          <w:cantSplit/>
          <w:trHeight w:val="405"/>
        </w:trPr>
        <w:tc>
          <w:tcPr>
            <w:tcW w:w="2818" w:type="dxa"/>
            <w:tcBorders>
              <w:top w:val="nil"/>
              <w:left w:val="single" w:sz="8" w:space="0" w:color="auto"/>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rPr>
                <w:rFonts w:ascii="Times New Roman" w:eastAsia="Times New Roman" w:hAnsi="Times New Roman"/>
                <w:sz w:val="24"/>
                <w:szCs w:val="24"/>
              </w:rPr>
            </w:pPr>
            <w:r w:rsidRPr="003000A6">
              <w:rPr>
                <w:rFonts w:ascii="Times New Roman" w:eastAsia="Times New Roman" w:hAnsi="Times New Roman"/>
                <w:i/>
                <w:iCs/>
                <w:sz w:val="20"/>
                <w:szCs w:val="20"/>
              </w:rPr>
              <w:t xml:space="preserve">Vidutinis mėnesinis </w:t>
            </w:r>
            <w:proofErr w:type="spellStart"/>
            <w:r w:rsidRPr="003000A6">
              <w:rPr>
                <w:rFonts w:ascii="Times New Roman" w:eastAsia="Times New Roman" w:hAnsi="Times New Roman"/>
                <w:i/>
                <w:iCs/>
                <w:sz w:val="20"/>
                <w:szCs w:val="20"/>
              </w:rPr>
              <w:t>bruto</w:t>
            </w:r>
            <w:proofErr w:type="spellEnd"/>
            <w:r w:rsidRPr="003000A6">
              <w:rPr>
                <w:rFonts w:ascii="Times New Roman" w:eastAsia="Times New Roman" w:hAnsi="Times New Roman"/>
                <w:i/>
                <w:iCs/>
                <w:sz w:val="20"/>
                <w:szCs w:val="20"/>
              </w:rPr>
              <w:t xml:space="preserve"> darbo užmokestis (</w:t>
            </w:r>
            <w:proofErr w:type="spellStart"/>
            <w:r w:rsidRPr="003000A6">
              <w:rPr>
                <w:rFonts w:ascii="Times New Roman" w:eastAsia="Times New Roman" w:hAnsi="Times New Roman"/>
                <w:i/>
                <w:iCs/>
                <w:sz w:val="20"/>
                <w:szCs w:val="20"/>
              </w:rPr>
              <w:t>Eur</w:t>
            </w:r>
            <w:proofErr w:type="spellEnd"/>
            <w:r w:rsidRPr="003000A6">
              <w:rPr>
                <w:rFonts w:ascii="Times New Roman" w:eastAsia="Times New Roman" w:hAnsi="Times New Roman"/>
                <w:i/>
                <w:iCs/>
                <w:sz w:val="20"/>
                <w:szCs w:val="20"/>
              </w:rPr>
              <w:t>.)</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774,0</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838,3</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889,9</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945,2</w:t>
            </w:r>
          </w:p>
        </w:tc>
        <w:tc>
          <w:tcPr>
            <w:tcW w:w="1483"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1003,8</w:t>
            </w:r>
          </w:p>
        </w:tc>
      </w:tr>
      <w:tr w:rsidR="003000A6" w:rsidRPr="003000A6" w:rsidTr="00CE0D7B">
        <w:trPr>
          <w:cantSplit/>
          <w:trHeight w:val="405"/>
        </w:trPr>
        <w:tc>
          <w:tcPr>
            <w:tcW w:w="2818" w:type="dxa"/>
            <w:tcBorders>
              <w:top w:val="nil"/>
              <w:left w:val="single" w:sz="8" w:space="0" w:color="auto"/>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rPr>
                <w:rFonts w:ascii="Times New Roman" w:eastAsia="Times New Roman" w:hAnsi="Times New Roman"/>
                <w:sz w:val="24"/>
                <w:szCs w:val="24"/>
              </w:rPr>
            </w:pPr>
            <w:r w:rsidRPr="003000A6">
              <w:rPr>
                <w:rFonts w:ascii="Times New Roman" w:eastAsia="Times New Roman" w:hAnsi="Times New Roman"/>
                <w:i/>
                <w:iCs/>
                <w:sz w:val="20"/>
                <w:szCs w:val="20"/>
              </w:rPr>
              <w:t>Nedarbo lygis (pagal gyventojų užimtumo tyrimo apibrėžtį) (proc.)</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7,9</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7,0</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6,4</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5,9</w:t>
            </w:r>
          </w:p>
        </w:tc>
        <w:tc>
          <w:tcPr>
            <w:tcW w:w="1483"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5,4</w:t>
            </w:r>
          </w:p>
        </w:tc>
      </w:tr>
      <w:tr w:rsidR="003000A6" w:rsidRPr="003000A6" w:rsidTr="00CE0D7B">
        <w:trPr>
          <w:cantSplit/>
          <w:trHeight w:val="405"/>
        </w:trPr>
        <w:tc>
          <w:tcPr>
            <w:tcW w:w="2818" w:type="dxa"/>
            <w:tcBorders>
              <w:top w:val="nil"/>
              <w:left w:val="single" w:sz="8" w:space="0" w:color="auto"/>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rPr>
                <w:rFonts w:ascii="Times New Roman" w:eastAsia="Times New Roman" w:hAnsi="Times New Roman"/>
                <w:sz w:val="24"/>
                <w:szCs w:val="24"/>
              </w:rPr>
            </w:pPr>
            <w:r w:rsidRPr="003000A6">
              <w:rPr>
                <w:rFonts w:ascii="Times New Roman" w:eastAsia="Times New Roman" w:hAnsi="Times New Roman"/>
                <w:i/>
                <w:iCs/>
                <w:sz w:val="20"/>
                <w:szCs w:val="20"/>
              </w:rPr>
              <w:t>Bendrojo pagrindinio kapitalo formavimas</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-0,5</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6,3</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6,0</w:t>
            </w:r>
          </w:p>
        </w:tc>
        <w:tc>
          <w:tcPr>
            <w:tcW w:w="1482"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4,4</w:t>
            </w:r>
          </w:p>
        </w:tc>
        <w:tc>
          <w:tcPr>
            <w:tcW w:w="1483" w:type="dxa"/>
            <w:tcBorders>
              <w:top w:val="nil"/>
              <w:left w:val="nil"/>
              <w:bottom w:val="single" w:sz="8" w:space="0" w:color="auto"/>
              <w:right w:val="single" w:sz="8" w:space="0" w:color="auto"/>
            </w:tcBorders>
            <w:shd w:val="clear" w:color="auto" w:fill="ECF1F8"/>
            <w:tcMar>
              <w:top w:w="0" w:type="dxa"/>
              <w:left w:w="108" w:type="dxa"/>
              <w:bottom w:w="0" w:type="dxa"/>
              <w:right w:w="108" w:type="dxa"/>
            </w:tcMar>
            <w:vAlign w:val="center"/>
            <w:hideMark/>
          </w:tcPr>
          <w:p w:rsidR="003000A6" w:rsidRPr="003000A6" w:rsidRDefault="003000A6" w:rsidP="00AD5134">
            <w:pPr>
              <w:spacing w:before="100" w:beforeAutospacing="1" w:after="100" w:afterAutospacing="1"/>
              <w:ind w:left="426"/>
              <w:jc w:val="center"/>
              <w:rPr>
                <w:rFonts w:ascii="Times New Roman" w:eastAsia="Times New Roman" w:hAnsi="Times New Roman"/>
                <w:sz w:val="24"/>
                <w:szCs w:val="24"/>
              </w:rPr>
            </w:pPr>
            <w:r w:rsidRPr="003000A6">
              <w:rPr>
                <w:rFonts w:ascii="Times New Roman" w:eastAsia="Times New Roman" w:hAnsi="Times New Roman"/>
                <w:sz w:val="24"/>
                <w:szCs w:val="24"/>
              </w:rPr>
              <w:t>4,3</w:t>
            </w:r>
          </w:p>
        </w:tc>
      </w:tr>
    </w:tbl>
    <w:p w:rsidR="00C5362C" w:rsidRPr="00544EAE" w:rsidRDefault="00544EAE" w:rsidP="00544EAE">
      <w:pPr>
        <w:pStyle w:val="NoSpacing"/>
        <w:tabs>
          <w:tab w:val="left" w:pos="5670"/>
        </w:tabs>
        <w:ind w:left="426"/>
        <w:jc w:val="center"/>
        <w:rPr>
          <w:rFonts w:ascii="Times New Roman" w:hAnsi="Times New Roman" w:cs="Times New Roman"/>
          <w:b/>
          <w:sz w:val="24"/>
          <w:szCs w:val="24"/>
        </w:rPr>
      </w:pPr>
      <w:r w:rsidRPr="00544EAE">
        <w:rPr>
          <w:rFonts w:ascii="Times New Roman" w:eastAsia="Times New Roman" w:hAnsi="Times New Roman"/>
          <w:b/>
        </w:rPr>
        <w:t>1 lentelė.</w:t>
      </w:r>
      <w:r w:rsidRPr="00544EAE">
        <w:rPr>
          <w:rFonts w:ascii="Times New Roman" w:eastAsia="Times New Roman" w:hAnsi="Times New Roman" w:cs="Times New Roman"/>
          <w:b/>
          <w:bCs/>
        </w:rPr>
        <w:t xml:space="preserve"> Pagrindiniai Lietuvos makroekonominiai rodikliai</w:t>
      </w:r>
      <w:r w:rsidRPr="00544EAE">
        <w:rPr>
          <w:rFonts w:ascii="Times New Roman" w:eastAsia="Times New Roman" w:hAnsi="Times New Roman"/>
          <w:b/>
        </w:rPr>
        <w:t xml:space="preserve"> </w:t>
      </w:r>
    </w:p>
    <w:p w:rsidR="00E20186" w:rsidRPr="00C2451C" w:rsidRDefault="00E20186" w:rsidP="00AD5134">
      <w:pPr>
        <w:ind w:left="426"/>
        <w:jc w:val="center"/>
        <w:rPr>
          <w:rFonts w:ascii="Times New Roman" w:hAnsi="Times New Roman"/>
          <w:vanish/>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C2451C" w:rsidRPr="00C2451C" w:rsidTr="00BA5BFE">
        <w:trPr>
          <w:tblCellSpacing w:w="0" w:type="dxa"/>
          <w:jc w:val="center"/>
        </w:trPr>
        <w:tc>
          <w:tcPr>
            <w:tcW w:w="0" w:type="auto"/>
            <w:vAlign w:val="center"/>
            <w:hideMark/>
          </w:tcPr>
          <w:p w:rsidR="00E20186" w:rsidRPr="00C2451C" w:rsidRDefault="00E20186" w:rsidP="00AD5134">
            <w:pPr>
              <w:ind w:left="426"/>
              <w:jc w:val="center"/>
              <w:rPr>
                <w:rFonts w:ascii="Times New Roman" w:hAnsi="Times New Roman"/>
                <w:sz w:val="24"/>
                <w:szCs w:val="24"/>
              </w:rPr>
            </w:pPr>
          </w:p>
        </w:tc>
      </w:tr>
    </w:tbl>
    <w:p w:rsidR="004F364B" w:rsidRDefault="00E569ED" w:rsidP="00544EAE">
      <w:pPr>
        <w:spacing w:line="259" w:lineRule="auto"/>
        <w:ind w:left="426"/>
        <w:jc w:val="center"/>
        <w:rPr>
          <w:rFonts w:ascii="Times New Roman" w:hAnsi="Times New Roman"/>
          <w:sz w:val="20"/>
          <w:szCs w:val="20"/>
          <w:vertAlign w:val="superscript"/>
        </w:rPr>
      </w:pPr>
      <w:r w:rsidRPr="002F641B">
        <w:rPr>
          <w:rFonts w:ascii="Times New Roman" w:hAnsi="Times New Roman"/>
          <w:sz w:val="20"/>
          <w:szCs w:val="20"/>
        </w:rPr>
        <w:t xml:space="preserve">Šaltinis: </w:t>
      </w:r>
      <w:r w:rsidRPr="00E569ED">
        <w:rPr>
          <w:rFonts w:ascii="Times New Roman" w:hAnsi="Times New Roman"/>
          <w:sz w:val="20"/>
          <w:szCs w:val="20"/>
        </w:rPr>
        <w:t>Lietuvos Respublikos finansų ministerija</w:t>
      </w:r>
    </w:p>
    <w:p w:rsidR="003000A6" w:rsidRDefault="003000A6" w:rsidP="00AD5134">
      <w:pPr>
        <w:spacing w:line="259" w:lineRule="auto"/>
        <w:ind w:left="426"/>
        <w:jc w:val="right"/>
        <w:rPr>
          <w:rFonts w:ascii="Times New Roman" w:hAnsi="Times New Roman"/>
          <w:b/>
          <w:sz w:val="24"/>
          <w:szCs w:val="24"/>
        </w:rPr>
      </w:pPr>
    </w:p>
    <w:p w:rsidR="00FD2D3C" w:rsidRPr="00FD2D3C" w:rsidRDefault="00FD2D3C" w:rsidP="00FD2D3C">
      <w:pPr>
        <w:pStyle w:val="NormalWeb"/>
        <w:tabs>
          <w:tab w:val="left" w:pos="748"/>
        </w:tabs>
        <w:spacing w:before="0" w:beforeAutospacing="0" w:after="0" w:afterAutospacing="0"/>
        <w:ind w:left="426"/>
        <w:jc w:val="both"/>
        <w:rPr>
          <w:lang w:val="lt-LT"/>
        </w:rPr>
      </w:pPr>
      <w:r w:rsidRPr="00FD2D3C">
        <w:rPr>
          <w:lang w:val="lt-LT"/>
        </w:rPr>
        <w:t xml:space="preserve">Miestų ir rajonų ekonominę plėtrą bei ekonominio išsivystymo lygį geriausiai parodo tiesioginės užsienio investicijos (toliau – TUI) ir materialinės vidaus investicijos, tenkančios vienam gyventojui. </w:t>
      </w:r>
    </w:p>
    <w:p w:rsidR="00FD2D3C" w:rsidRPr="00FD2D3C" w:rsidRDefault="00FD2D3C" w:rsidP="00E46760">
      <w:pPr>
        <w:pStyle w:val="Teksto"/>
        <w:ind w:left="426" w:firstLine="0"/>
        <w:rPr>
          <w:bCs/>
          <w:highlight w:val="yellow"/>
        </w:rPr>
      </w:pPr>
      <w:r w:rsidRPr="00FD2D3C">
        <w:rPr>
          <w:bCs/>
        </w:rPr>
        <w:t xml:space="preserve">2015 m. pabaigoje TUI Kazlų Rūdos savivaldybėje siekė 99,99 mln. </w:t>
      </w:r>
      <w:proofErr w:type="spellStart"/>
      <w:r w:rsidRPr="00FD2D3C">
        <w:rPr>
          <w:bCs/>
        </w:rPr>
        <w:t>Eur</w:t>
      </w:r>
      <w:proofErr w:type="spellEnd"/>
      <w:r w:rsidRPr="00FD2D3C">
        <w:rPr>
          <w:bCs/>
        </w:rPr>
        <w:t xml:space="preserve"> ir sudarė 71,09  proc. Marijampolės apskrities TUI. 2016 m. tiesioginės užsienio investicijos mažėjo tiek Marijampolės apskrityje, tiek Kazlų Rūdos savivaldybėje. Metų pabaigoje TUI Kazlų Rūdos savivaldybėje sudarė 90,32 mln. </w:t>
      </w:r>
      <w:proofErr w:type="spellStart"/>
      <w:r w:rsidRPr="00FD2D3C">
        <w:rPr>
          <w:bCs/>
        </w:rPr>
        <w:t>Eur</w:t>
      </w:r>
      <w:proofErr w:type="spellEnd"/>
      <w:r w:rsidRPr="00FD2D3C">
        <w:rPr>
          <w:bCs/>
        </w:rPr>
        <w:t>.</w:t>
      </w:r>
    </w:p>
    <w:p w:rsidR="00FD2D3C" w:rsidRDefault="00FD2D3C" w:rsidP="00E46760">
      <w:pPr>
        <w:ind w:left="426"/>
        <w:jc w:val="both"/>
        <w:rPr>
          <w:rFonts w:ascii="Times New Roman" w:hAnsi="Times New Roman"/>
          <w:sz w:val="24"/>
          <w:szCs w:val="24"/>
        </w:rPr>
      </w:pPr>
      <w:r w:rsidRPr="00FD2D3C">
        <w:rPr>
          <w:rFonts w:ascii="Times New Roman" w:hAnsi="Times New Roman"/>
          <w:sz w:val="24"/>
          <w:szCs w:val="24"/>
        </w:rPr>
        <w:t>Žemiau esančioje lentelėje pateikiamas dalies Lietuvos savivaldybių pasiskirstymas pagal tiesiogines užsienio investicijas vienam gyventojui.</w:t>
      </w:r>
    </w:p>
    <w:p w:rsidR="00E46760" w:rsidRDefault="00E46760" w:rsidP="00544EAE">
      <w:pPr>
        <w:ind w:left="426" w:firstLine="872"/>
        <w:jc w:val="both"/>
        <w:rPr>
          <w:rFonts w:ascii="Times New Roman" w:hAnsi="Times New Roman"/>
          <w:sz w:val="24"/>
          <w:szCs w:val="24"/>
        </w:rPr>
      </w:pPr>
    </w:p>
    <w:tbl>
      <w:tblPr>
        <w:tblW w:w="861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A0" w:firstRow="1" w:lastRow="0" w:firstColumn="1" w:lastColumn="0" w:noHBand="0" w:noVBand="0"/>
      </w:tblPr>
      <w:tblGrid>
        <w:gridCol w:w="3618"/>
        <w:gridCol w:w="2498"/>
        <w:gridCol w:w="2499"/>
      </w:tblGrid>
      <w:tr w:rsidR="00FD2D3C" w:rsidRPr="00B460B5" w:rsidTr="00E46760">
        <w:trPr>
          <w:trHeight w:val="277"/>
        </w:trPr>
        <w:tc>
          <w:tcPr>
            <w:tcW w:w="3618" w:type="dxa"/>
            <w:shd w:val="clear" w:color="auto" w:fill="8EAADB" w:themeFill="accent5" w:themeFillTint="99"/>
          </w:tcPr>
          <w:p w:rsidR="00FD2D3C" w:rsidRPr="00A8573E" w:rsidRDefault="00FD2D3C" w:rsidP="00752794">
            <w:pPr>
              <w:adjustRightInd w:val="0"/>
              <w:spacing w:before="60" w:after="60"/>
              <w:ind w:left="426" w:right="-85"/>
              <w:jc w:val="both"/>
              <w:rPr>
                <w:rFonts w:ascii="Times New Roman" w:hAnsi="Times New Roman"/>
                <w:b/>
                <w:color w:val="000000" w:themeColor="text1"/>
                <w:sz w:val="24"/>
                <w:szCs w:val="24"/>
              </w:rPr>
            </w:pPr>
            <w:r w:rsidRPr="003000A6">
              <w:rPr>
                <w:rFonts w:ascii="Times New Roman" w:eastAsia="Times New Roman" w:hAnsi="Times New Roman"/>
                <w:b/>
                <w:bCs/>
                <w:sz w:val="24"/>
                <w:szCs w:val="24"/>
              </w:rPr>
              <w:t>Metai ►</w:t>
            </w:r>
          </w:p>
        </w:tc>
        <w:tc>
          <w:tcPr>
            <w:tcW w:w="2498" w:type="dxa"/>
            <w:vMerge w:val="restart"/>
            <w:shd w:val="clear" w:color="auto" w:fill="8EAADB" w:themeFill="accent5" w:themeFillTint="99"/>
          </w:tcPr>
          <w:p w:rsidR="00FD2D3C" w:rsidRPr="00FD2D3C" w:rsidRDefault="00FD2D3C" w:rsidP="00752794">
            <w:pPr>
              <w:adjustRightInd w:val="0"/>
              <w:spacing w:before="60" w:after="60"/>
              <w:ind w:left="426" w:right="-85"/>
              <w:jc w:val="center"/>
              <w:rPr>
                <w:rFonts w:ascii="Times New Roman" w:hAnsi="Times New Roman"/>
                <w:b/>
                <w:color w:val="000000" w:themeColor="text1"/>
                <w:sz w:val="24"/>
                <w:szCs w:val="24"/>
              </w:rPr>
            </w:pPr>
            <w:r w:rsidRPr="00FD2D3C">
              <w:rPr>
                <w:rFonts w:ascii="Times New Roman" w:hAnsi="Times New Roman"/>
                <w:b/>
                <w:color w:val="000000" w:themeColor="text1"/>
                <w:sz w:val="24"/>
                <w:szCs w:val="24"/>
              </w:rPr>
              <w:t>2015 m.</w:t>
            </w:r>
          </w:p>
        </w:tc>
        <w:tc>
          <w:tcPr>
            <w:tcW w:w="2499" w:type="dxa"/>
            <w:vMerge w:val="restart"/>
            <w:shd w:val="clear" w:color="auto" w:fill="8EAADB" w:themeFill="accent5" w:themeFillTint="99"/>
          </w:tcPr>
          <w:p w:rsidR="00FD2D3C" w:rsidRPr="00FD2D3C" w:rsidRDefault="00FD2D3C" w:rsidP="00752794">
            <w:pPr>
              <w:adjustRightInd w:val="0"/>
              <w:spacing w:before="60" w:after="60"/>
              <w:ind w:left="426" w:right="-85"/>
              <w:jc w:val="center"/>
              <w:rPr>
                <w:rFonts w:ascii="Times New Roman" w:hAnsi="Times New Roman"/>
                <w:b/>
                <w:color w:val="000000" w:themeColor="text1"/>
                <w:sz w:val="24"/>
                <w:szCs w:val="24"/>
              </w:rPr>
            </w:pPr>
            <w:r w:rsidRPr="00FD2D3C">
              <w:rPr>
                <w:rFonts w:ascii="Times New Roman" w:hAnsi="Times New Roman"/>
                <w:b/>
                <w:color w:val="000000" w:themeColor="text1"/>
                <w:sz w:val="24"/>
                <w:szCs w:val="24"/>
              </w:rPr>
              <w:t>2016 m.</w:t>
            </w:r>
          </w:p>
        </w:tc>
      </w:tr>
      <w:tr w:rsidR="00FD2D3C" w:rsidRPr="00B460B5" w:rsidTr="00E46760">
        <w:trPr>
          <w:trHeight w:val="303"/>
        </w:trPr>
        <w:tc>
          <w:tcPr>
            <w:tcW w:w="3618" w:type="dxa"/>
            <w:shd w:val="clear" w:color="auto" w:fill="8EAADB" w:themeFill="accent5" w:themeFillTint="99"/>
          </w:tcPr>
          <w:p w:rsidR="00FD2D3C" w:rsidRPr="00A8573E" w:rsidRDefault="00FD2D3C" w:rsidP="00752794">
            <w:pPr>
              <w:adjustRightInd w:val="0"/>
              <w:spacing w:before="60" w:after="60"/>
              <w:ind w:left="426" w:right="-85"/>
              <w:jc w:val="both"/>
              <w:rPr>
                <w:rFonts w:ascii="Times New Roman" w:hAnsi="Times New Roman"/>
                <w:b/>
                <w:color w:val="000000" w:themeColor="text1"/>
                <w:sz w:val="24"/>
                <w:szCs w:val="24"/>
              </w:rPr>
            </w:pPr>
            <w:r>
              <w:rPr>
                <w:rFonts w:ascii="Times New Roman" w:eastAsia="Times New Roman" w:hAnsi="Times New Roman"/>
                <w:b/>
                <w:bCs/>
                <w:sz w:val="24"/>
                <w:szCs w:val="24"/>
              </w:rPr>
              <w:t>Regiono</w:t>
            </w:r>
            <w:r w:rsidRPr="003000A6">
              <w:rPr>
                <w:rFonts w:ascii="Times New Roman" w:eastAsia="Times New Roman" w:hAnsi="Times New Roman"/>
                <w:b/>
                <w:bCs/>
                <w:sz w:val="24"/>
                <w:szCs w:val="24"/>
              </w:rPr>
              <w:t xml:space="preserve"> pavadinimas ▼</w:t>
            </w:r>
          </w:p>
        </w:tc>
        <w:tc>
          <w:tcPr>
            <w:tcW w:w="2498" w:type="dxa"/>
            <w:vMerge/>
          </w:tcPr>
          <w:p w:rsidR="00FD2D3C" w:rsidRPr="00FD2D3C" w:rsidRDefault="00FD2D3C" w:rsidP="00752794">
            <w:pPr>
              <w:adjustRightInd w:val="0"/>
              <w:spacing w:before="60" w:after="60"/>
              <w:ind w:left="426" w:right="-85"/>
              <w:jc w:val="center"/>
              <w:rPr>
                <w:rFonts w:ascii="Times New Roman" w:hAnsi="Times New Roman"/>
                <w:b/>
                <w:color w:val="000000" w:themeColor="text1"/>
                <w:sz w:val="24"/>
                <w:szCs w:val="24"/>
              </w:rPr>
            </w:pPr>
          </w:p>
        </w:tc>
        <w:tc>
          <w:tcPr>
            <w:tcW w:w="2499" w:type="dxa"/>
            <w:vMerge/>
          </w:tcPr>
          <w:p w:rsidR="00FD2D3C" w:rsidRPr="00FD2D3C" w:rsidRDefault="00FD2D3C" w:rsidP="00752794">
            <w:pPr>
              <w:adjustRightInd w:val="0"/>
              <w:spacing w:before="60" w:after="60"/>
              <w:ind w:left="426" w:right="-85"/>
              <w:jc w:val="center"/>
              <w:rPr>
                <w:rFonts w:ascii="Times New Roman" w:hAnsi="Times New Roman"/>
                <w:b/>
                <w:color w:val="000000" w:themeColor="text1"/>
                <w:sz w:val="24"/>
                <w:szCs w:val="24"/>
              </w:rPr>
            </w:pPr>
          </w:p>
        </w:tc>
      </w:tr>
      <w:tr w:rsidR="00FD2D3C" w:rsidRPr="00B460B5" w:rsidTr="00E46760">
        <w:trPr>
          <w:trHeight w:val="384"/>
        </w:trPr>
        <w:tc>
          <w:tcPr>
            <w:tcW w:w="3618" w:type="dxa"/>
            <w:shd w:val="clear" w:color="auto" w:fill="D9E2F3" w:themeFill="accent5" w:themeFillTint="33"/>
            <w:vAlign w:val="center"/>
          </w:tcPr>
          <w:p w:rsidR="00FD2D3C" w:rsidRPr="00FD2D3C" w:rsidRDefault="00FD2D3C" w:rsidP="00752794">
            <w:pPr>
              <w:adjustRightInd w:val="0"/>
              <w:spacing w:before="40" w:after="40"/>
              <w:ind w:left="426" w:right="-85"/>
              <w:rPr>
                <w:rFonts w:ascii="Times New Roman" w:hAnsi="Times New Roman"/>
                <w:bCs/>
                <w:i/>
                <w:color w:val="000000" w:themeColor="text1"/>
              </w:rPr>
            </w:pPr>
            <w:r w:rsidRPr="00FD2D3C">
              <w:rPr>
                <w:rFonts w:ascii="Times New Roman" w:hAnsi="Times New Roman"/>
                <w:bCs/>
                <w:i/>
                <w:color w:val="000000" w:themeColor="text1"/>
              </w:rPr>
              <w:t xml:space="preserve">Kazlų Rūdos sav. </w:t>
            </w:r>
          </w:p>
        </w:tc>
        <w:tc>
          <w:tcPr>
            <w:tcW w:w="2498"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8 077</w:t>
            </w:r>
          </w:p>
        </w:tc>
        <w:tc>
          <w:tcPr>
            <w:tcW w:w="2499" w:type="dxa"/>
            <w:shd w:val="clear" w:color="auto" w:fill="D9E2F3" w:themeFill="accent5" w:themeFillTint="33"/>
            <w:vAlign w:val="center"/>
          </w:tcPr>
          <w:p w:rsidR="00FD2D3C" w:rsidRPr="00FD2D3C" w:rsidRDefault="00FD2D3C" w:rsidP="00752794">
            <w:pPr>
              <w:ind w:left="426"/>
              <w:jc w:val="center"/>
              <w:rPr>
                <w:rFonts w:ascii="Times New Roman" w:hAnsi="Times New Roman"/>
                <w:bCs/>
                <w:color w:val="000000" w:themeColor="text1"/>
                <w:sz w:val="24"/>
                <w:szCs w:val="24"/>
              </w:rPr>
            </w:pPr>
            <w:r w:rsidRPr="00FD2D3C">
              <w:rPr>
                <w:rFonts w:ascii="Times New Roman" w:hAnsi="Times New Roman"/>
                <w:bCs/>
                <w:color w:val="000000" w:themeColor="text1"/>
                <w:sz w:val="24"/>
                <w:szCs w:val="24"/>
              </w:rPr>
              <w:t>7 449</w:t>
            </w:r>
          </w:p>
        </w:tc>
      </w:tr>
      <w:tr w:rsidR="00FD2D3C" w:rsidRPr="00B460B5" w:rsidTr="00E46760">
        <w:trPr>
          <w:trHeight w:val="167"/>
        </w:trPr>
        <w:tc>
          <w:tcPr>
            <w:tcW w:w="3618" w:type="dxa"/>
            <w:shd w:val="clear" w:color="auto" w:fill="D9E2F3" w:themeFill="accent5" w:themeFillTint="33"/>
            <w:vAlign w:val="bottom"/>
          </w:tcPr>
          <w:p w:rsidR="00FD2D3C" w:rsidRPr="00FD2D3C" w:rsidRDefault="00FD2D3C" w:rsidP="00752794">
            <w:pPr>
              <w:adjustRightInd w:val="0"/>
              <w:spacing w:before="112"/>
              <w:ind w:left="426" w:right="-85"/>
              <w:rPr>
                <w:rFonts w:ascii="Times New Roman" w:hAnsi="Times New Roman"/>
                <w:i/>
                <w:color w:val="000000" w:themeColor="text1"/>
              </w:rPr>
            </w:pPr>
            <w:r w:rsidRPr="00FD2D3C">
              <w:rPr>
                <w:rFonts w:ascii="Times New Roman" w:hAnsi="Times New Roman"/>
                <w:i/>
                <w:color w:val="000000" w:themeColor="text1"/>
              </w:rPr>
              <w:t>Kalvarijos sav.</w:t>
            </w:r>
          </w:p>
        </w:tc>
        <w:tc>
          <w:tcPr>
            <w:tcW w:w="2498"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36</w:t>
            </w:r>
          </w:p>
        </w:tc>
        <w:tc>
          <w:tcPr>
            <w:tcW w:w="2499" w:type="dxa"/>
            <w:shd w:val="clear" w:color="auto" w:fill="D9E2F3" w:themeFill="accent5" w:themeFillTint="33"/>
            <w:vAlign w:val="center"/>
          </w:tcPr>
          <w:p w:rsidR="00FD2D3C" w:rsidRPr="00FD2D3C" w:rsidRDefault="00FD2D3C" w:rsidP="00752794">
            <w:pPr>
              <w:ind w:left="426"/>
              <w:jc w:val="center"/>
              <w:rPr>
                <w:rFonts w:ascii="Times New Roman" w:hAnsi="Times New Roman"/>
                <w:bCs/>
                <w:color w:val="000000" w:themeColor="text1"/>
                <w:sz w:val="24"/>
                <w:szCs w:val="24"/>
              </w:rPr>
            </w:pPr>
            <w:r w:rsidRPr="00FD2D3C">
              <w:rPr>
                <w:rFonts w:ascii="Times New Roman" w:hAnsi="Times New Roman"/>
                <w:bCs/>
                <w:color w:val="000000" w:themeColor="text1"/>
                <w:sz w:val="24"/>
                <w:szCs w:val="24"/>
              </w:rPr>
              <w:t>45</w:t>
            </w:r>
          </w:p>
        </w:tc>
      </w:tr>
      <w:tr w:rsidR="00FD2D3C" w:rsidRPr="00B460B5" w:rsidTr="00E46760">
        <w:trPr>
          <w:trHeight w:val="291"/>
        </w:trPr>
        <w:tc>
          <w:tcPr>
            <w:tcW w:w="3618" w:type="dxa"/>
            <w:shd w:val="clear" w:color="auto" w:fill="D9E2F3" w:themeFill="accent5" w:themeFillTint="33"/>
            <w:vAlign w:val="bottom"/>
          </w:tcPr>
          <w:p w:rsidR="00FD2D3C" w:rsidRPr="00FD2D3C" w:rsidRDefault="00FD2D3C" w:rsidP="00752794">
            <w:pPr>
              <w:adjustRightInd w:val="0"/>
              <w:spacing w:before="112"/>
              <w:ind w:left="426" w:right="-85"/>
              <w:rPr>
                <w:rFonts w:ascii="Times New Roman" w:hAnsi="Times New Roman"/>
                <w:i/>
                <w:color w:val="000000" w:themeColor="text1"/>
              </w:rPr>
            </w:pPr>
            <w:r w:rsidRPr="00FD2D3C">
              <w:rPr>
                <w:rFonts w:ascii="Times New Roman" w:hAnsi="Times New Roman"/>
                <w:i/>
                <w:color w:val="000000" w:themeColor="text1"/>
              </w:rPr>
              <w:t>Marijampolės sav.</w:t>
            </w:r>
          </w:p>
        </w:tc>
        <w:tc>
          <w:tcPr>
            <w:tcW w:w="2498"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410</w:t>
            </w:r>
          </w:p>
        </w:tc>
        <w:tc>
          <w:tcPr>
            <w:tcW w:w="2499"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426</w:t>
            </w:r>
          </w:p>
        </w:tc>
      </w:tr>
      <w:tr w:rsidR="00FD2D3C" w:rsidRPr="00B460B5" w:rsidTr="00E46760">
        <w:trPr>
          <w:trHeight w:val="291"/>
        </w:trPr>
        <w:tc>
          <w:tcPr>
            <w:tcW w:w="3618" w:type="dxa"/>
            <w:shd w:val="clear" w:color="auto" w:fill="D9E2F3" w:themeFill="accent5" w:themeFillTint="33"/>
            <w:vAlign w:val="bottom"/>
          </w:tcPr>
          <w:p w:rsidR="00FD2D3C" w:rsidRPr="00FD2D3C" w:rsidRDefault="00FD2D3C" w:rsidP="00752794">
            <w:pPr>
              <w:adjustRightInd w:val="0"/>
              <w:spacing w:before="112"/>
              <w:ind w:left="426" w:right="-85"/>
              <w:rPr>
                <w:rFonts w:ascii="Times New Roman" w:hAnsi="Times New Roman"/>
                <w:i/>
                <w:color w:val="000000" w:themeColor="text1"/>
              </w:rPr>
            </w:pPr>
            <w:r w:rsidRPr="00FD2D3C">
              <w:rPr>
                <w:rFonts w:ascii="Times New Roman" w:hAnsi="Times New Roman"/>
                <w:i/>
                <w:color w:val="000000" w:themeColor="text1"/>
              </w:rPr>
              <w:t>Šakių r. sav.</w:t>
            </w:r>
          </w:p>
        </w:tc>
        <w:tc>
          <w:tcPr>
            <w:tcW w:w="2498"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457</w:t>
            </w:r>
          </w:p>
        </w:tc>
        <w:tc>
          <w:tcPr>
            <w:tcW w:w="2499"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516</w:t>
            </w:r>
          </w:p>
        </w:tc>
      </w:tr>
      <w:tr w:rsidR="00FD2D3C" w:rsidRPr="00B460B5" w:rsidTr="00E46760">
        <w:trPr>
          <w:trHeight w:val="291"/>
        </w:trPr>
        <w:tc>
          <w:tcPr>
            <w:tcW w:w="3618" w:type="dxa"/>
            <w:shd w:val="clear" w:color="auto" w:fill="D9E2F3" w:themeFill="accent5" w:themeFillTint="33"/>
            <w:vAlign w:val="bottom"/>
          </w:tcPr>
          <w:p w:rsidR="00FD2D3C" w:rsidRPr="00FD2D3C" w:rsidRDefault="00FD2D3C" w:rsidP="00752794">
            <w:pPr>
              <w:adjustRightInd w:val="0"/>
              <w:spacing w:before="112"/>
              <w:ind w:left="426" w:right="-85"/>
              <w:rPr>
                <w:rFonts w:ascii="Times New Roman" w:hAnsi="Times New Roman"/>
                <w:i/>
                <w:color w:val="000000" w:themeColor="text1"/>
              </w:rPr>
            </w:pPr>
            <w:r w:rsidRPr="00FD2D3C">
              <w:rPr>
                <w:rFonts w:ascii="Times New Roman" w:hAnsi="Times New Roman"/>
                <w:i/>
                <w:color w:val="000000" w:themeColor="text1"/>
              </w:rPr>
              <w:t>Vilkaviškio r. sav.</w:t>
            </w:r>
          </w:p>
        </w:tc>
        <w:tc>
          <w:tcPr>
            <w:tcW w:w="2498"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85</w:t>
            </w:r>
          </w:p>
        </w:tc>
        <w:tc>
          <w:tcPr>
            <w:tcW w:w="2499"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109</w:t>
            </w:r>
          </w:p>
        </w:tc>
      </w:tr>
      <w:tr w:rsidR="00FD2D3C" w:rsidRPr="00B460B5" w:rsidTr="00E46760">
        <w:trPr>
          <w:trHeight w:val="291"/>
        </w:trPr>
        <w:tc>
          <w:tcPr>
            <w:tcW w:w="3618" w:type="dxa"/>
            <w:shd w:val="clear" w:color="auto" w:fill="D9E2F3" w:themeFill="accent5" w:themeFillTint="33"/>
            <w:vAlign w:val="bottom"/>
          </w:tcPr>
          <w:p w:rsidR="00FD2D3C" w:rsidRPr="00FD2D3C" w:rsidRDefault="00FD2D3C" w:rsidP="00752794">
            <w:pPr>
              <w:adjustRightInd w:val="0"/>
              <w:spacing w:before="112"/>
              <w:ind w:left="426" w:right="-85"/>
              <w:rPr>
                <w:rFonts w:ascii="Times New Roman" w:hAnsi="Times New Roman"/>
                <w:i/>
                <w:color w:val="000000" w:themeColor="text1"/>
              </w:rPr>
            </w:pPr>
            <w:r w:rsidRPr="00FD2D3C">
              <w:rPr>
                <w:rFonts w:ascii="Times New Roman" w:hAnsi="Times New Roman"/>
                <w:i/>
                <w:color w:val="000000" w:themeColor="text1"/>
              </w:rPr>
              <w:t>Lietuvos Respublikoje</w:t>
            </w:r>
          </w:p>
        </w:tc>
        <w:tc>
          <w:tcPr>
            <w:tcW w:w="2498"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p>
        </w:tc>
        <w:tc>
          <w:tcPr>
            <w:tcW w:w="2499" w:type="dxa"/>
            <w:shd w:val="clear" w:color="auto" w:fill="D9E2F3" w:themeFill="accent5" w:themeFillTint="33"/>
            <w:vAlign w:val="center"/>
          </w:tcPr>
          <w:p w:rsidR="00FD2D3C" w:rsidRPr="00FD2D3C" w:rsidRDefault="00FD2D3C" w:rsidP="00752794">
            <w:pPr>
              <w:ind w:left="426"/>
              <w:jc w:val="center"/>
              <w:rPr>
                <w:rFonts w:ascii="Times New Roman" w:hAnsi="Times New Roman"/>
                <w:color w:val="000000" w:themeColor="text1"/>
                <w:sz w:val="24"/>
                <w:szCs w:val="24"/>
              </w:rPr>
            </w:pPr>
            <w:r w:rsidRPr="00FD2D3C">
              <w:rPr>
                <w:rFonts w:ascii="Times New Roman" w:hAnsi="Times New Roman"/>
                <w:color w:val="000000" w:themeColor="text1"/>
                <w:sz w:val="24"/>
                <w:szCs w:val="24"/>
              </w:rPr>
              <w:t>4 890</w:t>
            </w:r>
          </w:p>
        </w:tc>
      </w:tr>
    </w:tbl>
    <w:p w:rsidR="00544EAE" w:rsidRPr="00544EAE" w:rsidRDefault="00544EAE" w:rsidP="00544EAE">
      <w:pPr>
        <w:autoSpaceDE w:val="0"/>
        <w:autoSpaceDN w:val="0"/>
        <w:adjustRightInd w:val="0"/>
        <w:spacing w:line="276" w:lineRule="auto"/>
        <w:jc w:val="center"/>
        <w:rPr>
          <w:rFonts w:ascii="Times New Roman" w:hAnsi="Times New Roman"/>
          <w:b/>
        </w:rPr>
      </w:pPr>
      <w:r w:rsidRPr="00544EAE">
        <w:rPr>
          <w:rFonts w:ascii="Times New Roman" w:hAnsi="Times New Roman"/>
          <w:b/>
          <w:bCs/>
        </w:rPr>
        <w:t xml:space="preserve">2 lentelė. Tiesioginės užsienio investicijos, tenkančios vienam gyventojui, </w:t>
      </w:r>
      <w:proofErr w:type="spellStart"/>
      <w:r w:rsidRPr="00544EAE">
        <w:rPr>
          <w:rFonts w:ascii="Times New Roman" w:hAnsi="Times New Roman"/>
          <w:b/>
          <w:bCs/>
        </w:rPr>
        <w:t>Eur</w:t>
      </w:r>
      <w:proofErr w:type="spellEnd"/>
      <w:r w:rsidRPr="00544EAE">
        <w:rPr>
          <w:rFonts w:ascii="Times New Roman" w:hAnsi="Times New Roman"/>
          <w:b/>
          <w:bCs/>
        </w:rPr>
        <w:t xml:space="preserve"> (2016 m. </w:t>
      </w:r>
      <w:proofErr w:type="spellStart"/>
      <w:r w:rsidRPr="00544EAE">
        <w:rPr>
          <w:rFonts w:ascii="Times New Roman" w:hAnsi="Times New Roman"/>
          <w:b/>
          <w:bCs/>
        </w:rPr>
        <w:t>pab</w:t>
      </w:r>
      <w:proofErr w:type="spellEnd"/>
      <w:r w:rsidRPr="00544EAE">
        <w:rPr>
          <w:rFonts w:ascii="Times New Roman" w:hAnsi="Times New Roman"/>
          <w:b/>
          <w:bCs/>
        </w:rPr>
        <w:t>.)</w:t>
      </w:r>
    </w:p>
    <w:p w:rsidR="0025625F" w:rsidRDefault="0025625F" w:rsidP="00544EAE">
      <w:pPr>
        <w:spacing w:line="259" w:lineRule="auto"/>
        <w:jc w:val="center"/>
        <w:rPr>
          <w:rFonts w:ascii="Times New Roman" w:hAnsi="Times New Roman"/>
          <w:sz w:val="20"/>
          <w:szCs w:val="20"/>
        </w:rPr>
      </w:pPr>
      <w:r w:rsidRPr="002F641B">
        <w:rPr>
          <w:rFonts w:ascii="Times New Roman" w:hAnsi="Times New Roman"/>
          <w:sz w:val="20"/>
          <w:szCs w:val="20"/>
        </w:rPr>
        <w:t xml:space="preserve">Šaltinis: </w:t>
      </w:r>
      <w:r w:rsidRPr="00E569ED">
        <w:rPr>
          <w:rFonts w:ascii="Times New Roman" w:hAnsi="Times New Roman"/>
          <w:sz w:val="20"/>
          <w:szCs w:val="20"/>
        </w:rPr>
        <w:t xml:space="preserve">Lietuvos </w:t>
      </w:r>
      <w:r>
        <w:rPr>
          <w:rFonts w:ascii="Times New Roman" w:hAnsi="Times New Roman"/>
          <w:sz w:val="20"/>
          <w:szCs w:val="20"/>
        </w:rPr>
        <w:t>statistikos departamentas</w:t>
      </w:r>
    </w:p>
    <w:p w:rsidR="00CE0D7B" w:rsidRDefault="00CE0D7B" w:rsidP="00E46760">
      <w:pPr>
        <w:ind w:left="425"/>
        <w:jc w:val="both"/>
        <w:rPr>
          <w:rFonts w:ascii="Times New Roman" w:hAnsi="Times New Roman"/>
          <w:sz w:val="20"/>
          <w:szCs w:val="20"/>
        </w:rPr>
      </w:pPr>
    </w:p>
    <w:p w:rsidR="009139FB" w:rsidRDefault="009139FB" w:rsidP="00E46760">
      <w:pPr>
        <w:ind w:left="425"/>
        <w:jc w:val="both"/>
        <w:rPr>
          <w:rFonts w:ascii="Times New Roman" w:hAnsi="Times New Roman"/>
          <w:sz w:val="20"/>
          <w:szCs w:val="20"/>
        </w:rPr>
      </w:pPr>
    </w:p>
    <w:p w:rsidR="00CE0D7B" w:rsidRDefault="00CE0D7B" w:rsidP="00E46760">
      <w:pPr>
        <w:ind w:left="425"/>
        <w:jc w:val="both"/>
        <w:rPr>
          <w:rFonts w:ascii="Times New Roman" w:hAnsi="Times New Roman"/>
          <w:sz w:val="20"/>
          <w:szCs w:val="20"/>
        </w:rPr>
      </w:pPr>
      <w:r>
        <w:rPr>
          <w:rFonts w:ascii="Times New Roman" w:hAnsi="Times New Roman"/>
          <w:sz w:val="20"/>
          <w:szCs w:val="20"/>
        </w:rPr>
        <w:t>_________________________________</w:t>
      </w:r>
    </w:p>
    <w:p w:rsidR="009139FB" w:rsidRDefault="009139FB" w:rsidP="00E46760">
      <w:pPr>
        <w:ind w:left="425"/>
        <w:jc w:val="both"/>
        <w:rPr>
          <w:rFonts w:ascii="Times New Roman" w:hAnsi="Times New Roman"/>
          <w:sz w:val="20"/>
          <w:szCs w:val="20"/>
        </w:rPr>
      </w:pPr>
    </w:p>
    <w:p w:rsidR="00E46760" w:rsidRDefault="00E46760" w:rsidP="00CE0D7B">
      <w:pPr>
        <w:ind w:left="425"/>
        <w:jc w:val="both"/>
        <w:rPr>
          <w:rFonts w:ascii="Times New Roman" w:hAnsi="Times New Roman"/>
        </w:rPr>
      </w:pPr>
      <w:r w:rsidRPr="00E46760">
        <w:rPr>
          <w:rFonts w:ascii="Times New Roman" w:hAnsi="Times New Roman"/>
          <w:vertAlign w:val="superscript"/>
        </w:rPr>
        <w:t>1</w:t>
      </w:r>
      <w:r w:rsidRPr="00E46760">
        <w:rPr>
          <w:rFonts w:ascii="Times New Roman" w:hAnsi="Times New Roman"/>
        </w:rPr>
        <w:t>http://www.lb.lt/lt/apzvalgos-ir-prognozes</w:t>
      </w:r>
    </w:p>
    <w:p w:rsidR="009139FB" w:rsidRDefault="009139FB" w:rsidP="00CE0D7B">
      <w:pPr>
        <w:ind w:left="425"/>
        <w:jc w:val="both"/>
        <w:rPr>
          <w:rFonts w:ascii="Times New Roman" w:hAnsi="Times New Roman"/>
        </w:rPr>
      </w:pPr>
    </w:p>
    <w:p w:rsidR="009139FB" w:rsidRDefault="009139FB" w:rsidP="00CE0D7B">
      <w:pPr>
        <w:ind w:left="425"/>
        <w:jc w:val="both"/>
        <w:rPr>
          <w:rFonts w:ascii="Times New Roman" w:hAnsi="Times New Roman"/>
        </w:rPr>
      </w:pPr>
    </w:p>
    <w:p w:rsidR="009139FB" w:rsidRDefault="009139FB" w:rsidP="00CE0D7B">
      <w:pPr>
        <w:ind w:left="425"/>
        <w:jc w:val="both"/>
        <w:rPr>
          <w:rFonts w:ascii="Times New Roman" w:hAnsi="Times New Roman"/>
        </w:rPr>
      </w:pPr>
    </w:p>
    <w:p w:rsidR="009139FB" w:rsidRPr="00CE0D7B" w:rsidRDefault="009139FB" w:rsidP="00CE0D7B">
      <w:pPr>
        <w:ind w:left="425"/>
        <w:jc w:val="both"/>
        <w:rPr>
          <w:rFonts w:ascii="Times New Roman" w:hAnsi="Times New Roman"/>
          <w:sz w:val="24"/>
          <w:szCs w:val="24"/>
        </w:rPr>
      </w:pPr>
    </w:p>
    <w:p w:rsidR="0025625F" w:rsidRDefault="0025625F" w:rsidP="00111156">
      <w:pPr>
        <w:spacing w:line="259" w:lineRule="auto"/>
        <w:ind w:left="426"/>
        <w:jc w:val="both"/>
        <w:rPr>
          <w:rFonts w:ascii="Times New Roman" w:hAnsi="Times New Roman"/>
          <w:sz w:val="24"/>
          <w:szCs w:val="24"/>
        </w:rPr>
      </w:pPr>
      <w:r>
        <w:rPr>
          <w:rFonts w:ascii="Times New Roman" w:hAnsi="Times New Roman"/>
          <w:sz w:val="24"/>
          <w:szCs w:val="24"/>
        </w:rPr>
        <w:lastRenderedPageBreak/>
        <w:t>Gyventojų ekonominis užimtumas yra viena pagrindinių ekonominės gėrovės ir plėtros prielaidų, Lietuvos darbo rinkoje 2016 m. vyravo visų amžiaus grupių gyventojų užimtumo didėjimo ir nedarbo mažėjimo tendencijos. Lietuvos statistikos departamento duomenimis, 15 – 64 metų gyventojų užimtumo lygis 2016 m. sudarė 69,4 proc. ir per metus padidėjo 2,2 proc.</w:t>
      </w:r>
    </w:p>
    <w:p w:rsidR="00544EAE" w:rsidRPr="00CE0D7B" w:rsidRDefault="0025625F" w:rsidP="00111156">
      <w:pPr>
        <w:spacing w:line="259" w:lineRule="auto"/>
        <w:ind w:left="426"/>
        <w:jc w:val="both"/>
        <w:rPr>
          <w:rFonts w:ascii="Times New Roman" w:hAnsi="Times New Roman"/>
          <w:sz w:val="24"/>
          <w:szCs w:val="24"/>
        </w:rPr>
      </w:pPr>
      <w:r>
        <w:rPr>
          <w:rFonts w:ascii="Times New Roman" w:hAnsi="Times New Roman"/>
          <w:sz w:val="24"/>
          <w:szCs w:val="24"/>
        </w:rPr>
        <w:t>201</w:t>
      </w:r>
      <w:r w:rsidR="00544EAE">
        <w:rPr>
          <w:rFonts w:ascii="Times New Roman" w:hAnsi="Times New Roman"/>
          <w:sz w:val="24"/>
          <w:szCs w:val="24"/>
        </w:rPr>
        <w:t>7</w:t>
      </w:r>
      <w:r>
        <w:rPr>
          <w:rFonts w:ascii="Times New Roman" w:hAnsi="Times New Roman"/>
          <w:sz w:val="24"/>
          <w:szCs w:val="24"/>
        </w:rPr>
        <w:t xml:space="preserve"> m.</w:t>
      </w:r>
      <w:r w:rsidR="00544EAE">
        <w:rPr>
          <w:rFonts w:ascii="Times New Roman" w:hAnsi="Times New Roman"/>
          <w:sz w:val="24"/>
          <w:szCs w:val="24"/>
        </w:rPr>
        <w:t xml:space="preserve"> pabaigoje</w:t>
      </w:r>
      <w:r>
        <w:rPr>
          <w:rFonts w:ascii="Times New Roman" w:hAnsi="Times New Roman"/>
          <w:sz w:val="24"/>
          <w:szCs w:val="24"/>
        </w:rPr>
        <w:t xml:space="preserve"> Kazlų Rūdos savivaldybėje bedarbiai sudarė</w:t>
      </w:r>
      <w:r w:rsidR="00AF255D">
        <w:rPr>
          <w:rFonts w:ascii="Times New Roman" w:hAnsi="Times New Roman"/>
          <w:sz w:val="24"/>
          <w:szCs w:val="24"/>
        </w:rPr>
        <w:t xml:space="preserve"> 1</w:t>
      </w:r>
      <w:r w:rsidR="00544EAE">
        <w:rPr>
          <w:rFonts w:ascii="Times New Roman" w:hAnsi="Times New Roman"/>
          <w:sz w:val="24"/>
          <w:szCs w:val="24"/>
        </w:rPr>
        <w:t>0</w:t>
      </w:r>
      <w:r w:rsidR="00AF255D">
        <w:rPr>
          <w:rFonts w:ascii="Times New Roman" w:hAnsi="Times New Roman"/>
          <w:sz w:val="24"/>
          <w:szCs w:val="24"/>
        </w:rPr>
        <w:t>,</w:t>
      </w:r>
      <w:r w:rsidR="00544EAE">
        <w:rPr>
          <w:rFonts w:ascii="Times New Roman" w:hAnsi="Times New Roman"/>
          <w:sz w:val="24"/>
          <w:szCs w:val="24"/>
        </w:rPr>
        <w:t>7</w:t>
      </w:r>
      <w:r w:rsidR="00AF255D">
        <w:rPr>
          <w:rFonts w:ascii="Times New Roman" w:hAnsi="Times New Roman"/>
          <w:sz w:val="24"/>
          <w:szCs w:val="24"/>
        </w:rPr>
        <w:t xml:space="preserve"> proc. darbingo amžiaus gyventojų. Lyginant visas Marijampolės regiono savivaldybes, mažesnis nedarbas buvo registruotas Marijampolėje (8</w:t>
      </w:r>
      <w:r w:rsidR="00544EAE">
        <w:rPr>
          <w:rFonts w:ascii="Times New Roman" w:hAnsi="Times New Roman"/>
          <w:sz w:val="24"/>
          <w:szCs w:val="24"/>
        </w:rPr>
        <w:t>,3</w:t>
      </w:r>
      <w:r w:rsidR="00AF255D">
        <w:rPr>
          <w:rFonts w:ascii="Times New Roman" w:hAnsi="Times New Roman"/>
          <w:sz w:val="24"/>
          <w:szCs w:val="24"/>
        </w:rPr>
        <w:t xml:space="preserve"> proc.), Šakių rajone (</w:t>
      </w:r>
      <w:r w:rsidR="00544EAE">
        <w:rPr>
          <w:rFonts w:ascii="Times New Roman" w:hAnsi="Times New Roman"/>
          <w:sz w:val="24"/>
          <w:szCs w:val="24"/>
        </w:rPr>
        <w:t>6</w:t>
      </w:r>
      <w:r w:rsidR="00AF255D">
        <w:rPr>
          <w:rFonts w:ascii="Times New Roman" w:hAnsi="Times New Roman"/>
          <w:sz w:val="24"/>
          <w:szCs w:val="24"/>
        </w:rPr>
        <w:t>,6 proc.) ir Vilkaviškio rajone (</w:t>
      </w:r>
      <w:r w:rsidR="00544EAE">
        <w:rPr>
          <w:rFonts w:ascii="Times New Roman" w:hAnsi="Times New Roman"/>
          <w:sz w:val="24"/>
          <w:szCs w:val="24"/>
        </w:rPr>
        <w:t>8,7 proc.), tuo tarpu, Lietuvos Respublikoje nedarbo lygis buvo 7,7 proc.</w:t>
      </w:r>
    </w:p>
    <w:p w:rsidR="00544EAE" w:rsidRDefault="00CE0D7B" w:rsidP="00544EAE">
      <w:pPr>
        <w:spacing w:line="259" w:lineRule="auto"/>
        <w:ind w:left="426" w:hanging="426"/>
        <w:jc w:val="both"/>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2359025</wp:posOffset>
                </wp:positionV>
                <wp:extent cx="2714625" cy="476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714625" cy="476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94FD3" id="Rectangle 9" o:spid="_x0000_s1026" style="position:absolute;margin-left:162.55pt;margin-top:185.75pt;width:213.75pt;height:37.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dHkQIAAKwFAAAOAAAAZHJzL2Uyb0RvYy54bWysVN9PGzEMfp+0/yHK+7heVWCtuKIKxDQJ&#10;AQImntNc0ouUxFmS9tr99XNyP8oY2gNaH1Intj/b39m+uNwbTXbCBwW2ouXJhBJhOdTKbir64/nm&#10;y1dKQmS2ZhqsqOhBBHq5/PzponULMYUGdC08QRAbFq2raBOjWxRF4I0wLJyAExaVErxhEa9+U9Se&#10;tYhudDGdTM6KFnztPHARAr5ed0q6zPhSCh7vpQwiEl1RzC3m0+dznc5iecEWG89co3ifBvtAFoYp&#10;i0FHqGsWGdl69ReUUdxDABlPOJgCpFRc5BqwmnLyppqnhjmRa0FyghtpCv8Plt/tHjxRdUXnlFhm&#10;8BM9ImnMbrQg80RP68ICrZ7cg+9vAcVU6156k/6xCrLPlB5GSsU+Eo6P0/NydjY9pYSjbnaOYua8&#10;OHo7H+I3AYYkoaIeo2cm2e42RIyIpoNJChZAq/pGaZ0vqU3ElfZkx/ADrzdlyhg9/rDS9kOOCJM8&#10;i0RAV3KW4kGLhKfto5DIXCoyJ5x79pgM41zYWHaqhtWiy/F0gr8hyyH9nHMGTMgSqxuxe4DBsgMZ&#10;sLtie/vkKnLLj86TfyXWOY8eOTLYODobZcG/B6Cxqj5yZz+Q1FGTWFpDfcC+8tANXHD8RuHnvWUh&#10;PjCPE4aziFsj3uMhNbQVhV6ipAH/6733ZI+Nj1pKWpzYioafW+YFJfq7xZGYl7NZGvF8mZ2eT/Hi&#10;X2vWrzV2a64Ae6bE/eR4FpN91IMoPZgXXC6rFBVVzHKMXVEe/XC5it0mwfXExWqVzXCsHYu39snx&#10;BJ5YTe37vH9h3vU9HnE67mCYbrZ40+qdbfK0sNpGkCrPwZHXnm9cCblx+vWVds7re7Y6LtnlbwAA&#10;AP//AwBQSwMEFAAGAAgAAAAhAEX6pi/fAAAACAEAAA8AAABkcnMvZG93bnJldi54bWxMj8FOwzAQ&#10;RO9I/IO1SNyo09A2EOJUCIEQUg/QIsFxG9tJRLyOYicNf89ygtusZjT7ptjOrhOTGULrScFykYAw&#10;VHndUq3g/fB0dQMiRCSNnSej4NsE2JbnZwXm2p/ozUz7WAsuoZCjgibGPpcyVI1xGBa+N8Se9YPD&#10;yOdQSz3gictdJ9Mk2UiHLfGHBnvz0Jjqaz86BZ8Wnw+PL2EnbTrZ2/Z1/LDZqNTlxXx/ByKaOf6F&#10;4Ref0aFkpqMfSQfRKeAhUcF1tlyDYHuVZiyOLFabNciykP8HlD8AAAD//wMAUEsBAi0AFAAGAAgA&#10;AAAhALaDOJL+AAAA4QEAABMAAAAAAAAAAAAAAAAAAAAAAFtDb250ZW50X1R5cGVzXS54bWxQSwEC&#10;LQAUAAYACAAAACEAOP0h/9YAAACUAQAACwAAAAAAAAAAAAAAAAAvAQAAX3JlbHMvLnJlbHNQSwEC&#10;LQAUAAYACAAAACEAl4iHR5ECAACsBQAADgAAAAAAAAAAAAAAAAAuAgAAZHJzL2Uyb0RvYy54bWxQ&#10;SwECLQAUAAYACAAAACEARfqmL98AAAAIAQAADwAAAAAAAAAAAAAAAADrBAAAZHJzL2Rvd25yZXYu&#10;eG1sUEsFBgAAAAAEAAQA8wAAAPcFAAAAAA==&#10;" fillcolor="white [3212]" strokecolor="white [3212]" strokeweight="1pt">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237489</wp:posOffset>
                </wp:positionH>
                <wp:positionV relativeFrom="paragraph">
                  <wp:posOffset>46990</wp:posOffset>
                </wp:positionV>
                <wp:extent cx="5819775" cy="2571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1977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5BE93" id="Rectangle 11" o:spid="_x0000_s1026" style="position:absolute;margin-left:18.7pt;margin-top:3.7pt;width:45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RqkAIAAK4FAAAOAAAAZHJzL2Uyb0RvYy54bWysVFFPGzEMfp+0/xDlfVyvoitUXFEFYpqE&#10;AFEQz2ku6UVK4ixJe+1+/Zzc9QoM7QGtD6kT25/t72xfXO6MJlvhgwJb0fJkRImwHGpl1xV9frr5&#10;dkZJiMzWTIMVFd2LQC/nX79ctG4mxtCAroUnCGLDrHUVbWJ0s6IIvBGGhRNwwqJSgjcs4tWvi9qz&#10;FtGNLsaj0feiBV87D1yEgK/XnZLOM76Ugsd7KYOIRFcUc4v59PlcpbOYX7DZ2jPXKN6nwT6RhWHK&#10;YtAB6ppFRjZe/QVlFPcQQMYTDqYAKRUXuQasphy9q2bZMCdyLUhOcANN4f/B8rvtgyeqxm9XUmKZ&#10;wW/0iKwxu9aC4BsS1LowQ7ule/D9LaCYqt1Jb9I/1kF2mdT9QKrYRcLxcXJWnk+nE0o46saTaYky&#10;whRHb+dD/CHAkCRU1GP4zCXb3obYmR5MUrAAWtU3Sut8SY0irrQnW4afeLXOGSP4GyttP+WIMMmz&#10;SAR0JWcp7rVIeNo+ConcYZHjnHDu2mMyjHNhY9mpGlaLLsfJCH89BYNHJiQDJmSJ1Q3YPcDbQg/Y&#10;HT29fXIVuekH59G/EuucB48cGWwcnI2y4D8C0FhVH7mzP5DUUZNYWkG9x87y0I1ccPxG4ee9ZSE+&#10;MI8zhtOIeyPe4yE1tBWFXqKkAf/7o/dkj62PWkpanNmKhl8b5gUl+qfFoTgvT0/TkOfL6WQ6xot/&#10;rVm91tiNuQLsGex7zC6LyT7qgyg9mBdcL4sUFVXMcoxdUR794XIVu12CC4qLxSKb4WA7Fm/t0vEE&#10;nlhN7fu0e2He9T0ecTru4DDfbPau1Tvb5GlhsYkgVZ6DI68937gUcuP0Cyxtndf3bHVcs/M/AAAA&#10;//8DAFBLAwQUAAYACAAAACEAmsCS0d0AAAAHAQAADwAAAGRycy9kb3ducmV2LnhtbEyOQUvDQBSE&#10;74L/YXmCN7uxrcbEvBQRRYQetBX0+Jp9mwSzuyG7SeO/d3vS0zDMMPMVm9l0YuLBt84iXC8SEGwr&#10;p1pbI3zsn6/uQPhAVlHnLCP8sIdNeX5WUK7c0b7ztAu1iCPW54TQhNDnUvqqYUN+4Xq2MdNuMBSi&#10;HWqpBjrGcdPJZZLcSkOtjQ8N9fzYcPW9Gw3Cl6aX/dOr30q9nHTWvo2fOh0RLy/mh3sQgefwV4YT&#10;fkSHMjId3GiVFx3CKl3HJsJJYpzdrDIQB4R1moEsC/mfv/wFAAD//wMAUEsBAi0AFAAGAAgAAAAh&#10;ALaDOJL+AAAA4QEAABMAAAAAAAAAAAAAAAAAAAAAAFtDb250ZW50X1R5cGVzXS54bWxQSwECLQAU&#10;AAYACAAAACEAOP0h/9YAAACUAQAACwAAAAAAAAAAAAAAAAAvAQAAX3JlbHMvLnJlbHNQSwECLQAU&#10;AAYACAAAACEADCCEapACAACuBQAADgAAAAAAAAAAAAAAAAAuAgAAZHJzL2Uyb0RvYy54bWxQSwEC&#10;LQAUAAYACAAAACEAmsCS0d0AAAAHAQAADwAAAAAAAAAAAAAAAADqBAAAZHJzL2Rvd25yZXYueG1s&#10;UEsFBgAAAAAEAAQA8wAAAPQFAAAAAA==&#10;" fillcolor="white [3212]" strokecolor="white [3212]" strokeweight="1pt"/>
            </w:pict>
          </mc:Fallback>
        </mc:AlternateContent>
      </w:r>
      <w:r w:rsidR="00AC1FA6">
        <w:rPr>
          <w:noProof/>
        </w:rPr>
        <w:drawing>
          <wp:inline distT="0" distB="0" distL="0" distR="0" wp14:anchorId="57C10AD6" wp14:editId="23C9A1E4">
            <wp:extent cx="6313018"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559" t="39770" r="23057" b="22877"/>
                    <a:stretch/>
                  </pic:blipFill>
                  <pic:spPr bwMode="auto">
                    <a:xfrm>
                      <a:off x="0" y="0"/>
                      <a:ext cx="6341953" cy="3071539"/>
                    </a:xfrm>
                    <a:prstGeom prst="rect">
                      <a:avLst/>
                    </a:prstGeom>
                    <a:ln>
                      <a:noFill/>
                    </a:ln>
                    <a:extLst>
                      <a:ext uri="{53640926-AAD7-44D8-BBD7-CCE9431645EC}">
                        <a14:shadowObscured xmlns:a14="http://schemas.microsoft.com/office/drawing/2010/main"/>
                      </a:ext>
                    </a:extLst>
                  </pic:spPr>
                </pic:pic>
              </a:graphicData>
            </a:graphic>
          </wp:inline>
        </w:drawing>
      </w:r>
    </w:p>
    <w:tbl>
      <w:tblPr>
        <w:tblW w:w="10173" w:type="dxa"/>
        <w:tblInd w:w="-108" w:type="dxa"/>
        <w:tblBorders>
          <w:top w:val="nil"/>
          <w:left w:val="nil"/>
          <w:bottom w:val="nil"/>
          <w:right w:val="nil"/>
        </w:tblBorders>
        <w:tblLayout w:type="fixed"/>
        <w:tblLook w:val="0000" w:firstRow="0" w:lastRow="0" w:firstColumn="0" w:lastColumn="0" w:noHBand="0" w:noVBand="0"/>
      </w:tblPr>
      <w:tblGrid>
        <w:gridCol w:w="10173"/>
      </w:tblGrid>
      <w:tr w:rsidR="00544EAE" w:rsidRPr="00544EAE" w:rsidTr="00544EAE">
        <w:trPr>
          <w:trHeight w:val="90"/>
        </w:trPr>
        <w:tc>
          <w:tcPr>
            <w:tcW w:w="10173" w:type="dxa"/>
          </w:tcPr>
          <w:p w:rsidR="00544EAE" w:rsidRPr="00544EAE" w:rsidRDefault="00544EAE" w:rsidP="00544EAE">
            <w:pPr>
              <w:tabs>
                <w:tab w:val="left" w:pos="2975"/>
              </w:tabs>
              <w:autoSpaceDE w:val="0"/>
              <w:autoSpaceDN w:val="0"/>
              <w:adjustRightInd w:val="0"/>
              <w:jc w:val="center"/>
              <w:rPr>
                <w:rFonts w:ascii="Times New Roman" w:eastAsiaTheme="minorEastAsia" w:hAnsi="Times New Roman"/>
                <w:b/>
                <w:iCs/>
                <w:color w:val="000000"/>
                <w:lang w:eastAsia="zh-CN"/>
              </w:rPr>
            </w:pPr>
            <w:r w:rsidRPr="00544EAE">
              <w:rPr>
                <w:rFonts w:ascii="Times New Roman" w:eastAsiaTheme="minorEastAsia" w:hAnsi="Times New Roman"/>
                <w:b/>
                <w:iCs/>
                <w:color w:val="000000"/>
                <w:lang w:eastAsia="zh-CN"/>
              </w:rPr>
              <w:t>1 pav. Bedarbiai registruoti Marijampolės teritorinėje darbo biržoje, 2018 m. sausio 1 d.</w:t>
            </w:r>
          </w:p>
          <w:p w:rsidR="00544EAE" w:rsidRPr="00544EAE" w:rsidRDefault="00E46760" w:rsidP="00E46760">
            <w:pPr>
              <w:tabs>
                <w:tab w:val="left" w:pos="2975"/>
              </w:tabs>
              <w:autoSpaceDE w:val="0"/>
              <w:autoSpaceDN w:val="0"/>
              <w:adjustRightInd w:val="0"/>
              <w:jc w:val="center"/>
              <w:rPr>
                <w:rFonts w:ascii="Times New Roman" w:eastAsiaTheme="minorEastAsia" w:hAnsi="Times New Roman"/>
                <w:color w:val="000000"/>
                <w:sz w:val="20"/>
                <w:szCs w:val="20"/>
                <w:lang w:eastAsia="zh-CN"/>
              </w:rPr>
            </w:pPr>
            <w:r>
              <w:rPr>
                <w:rFonts w:ascii="Times New Roman" w:eastAsiaTheme="minorEastAsia" w:hAnsi="Times New Roman"/>
                <w:iCs/>
                <w:color w:val="000000"/>
                <w:sz w:val="20"/>
                <w:szCs w:val="20"/>
                <w:lang w:eastAsia="zh-CN"/>
              </w:rPr>
              <w:t xml:space="preserve">Šaltinis: Marijampolės </w:t>
            </w:r>
            <w:r w:rsidR="00544EAE" w:rsidRPr="00544EAE">
              <w:rPr>
                <w:rFonts w:ascii="Times New Roman" w:eastAsiaTheme="minorEastAsia" w:hAnsi="Times New Roman"/>
                <w:iCs/>
                <w:color w:val="000000"/>
                <w:sz w:val="20"/>
                <w:szCs w:val="20"/>
                <w:lang w:eastAsia="zh-CN"/>
              </w:rPr>
              <w:t>teritorinė darbo birža</w:t>
            </w:r>
          </w:p>
        </w:tc>
      </w:tr>
    </w:tbl>
    <w:p w:rsidR="00AF255D" w:rsidRPr="0025625F" w:rsidRDefault="00AF255D" w:rsidP="00544EAE">
      <w:pPr>
        <w:spacing w:line="259" w:lineRule="auto"/>
        <w:ind w:left="426" w:firstLine="567"/>
        <w:jc w:val="right"/>
        <w:rPr>
          <w:rFonts w:ascii="Times New Roman" w:hAnsi="Times New Roman"/>
          <w:sz w:val="24"/>
          <w:szCs w:val="24"/>
          <w:vertAlign w:val="superscript"/>
        </w:rPr>
      </w:pPr>
    </w:p>
    <w:p w:rsidR="00E46760" w:rsidRPr="00E46760" w:rsidRDefault="00056FAE" w:rsidP="00CE0D7B">
      <w:pPr>
        <w:ind w:left="426"/>
        <w:jc w:val="both"/>
        <w:rPr>
          <w:rFonts w:ascii="Times New Roman" w:hAnsi="Times New Roman"/>
          <w:sz w:val="24"/>
          <w:szCs w:val="24"/>
        </w:rPr>
      </w:pPr>
      <w:r w:rsidRPr="00CB62A1">
        <w:rPr>
          <w:rFonts w:ascii="Times New Roman" w:hAnsi="Times New Roman"/>
          <w:sz w:val="24"/>
          <w:szCs w:val="24"/>
        </w:rPr>
        <w:t>Statistikos departamento duomenimis 201</w:t>
      </w:r>
      <w:r>
        <w:rPr>
          <w:rFonts w:ascii="Times New Roman" w:hAnsi="Times New Roman"/>
          <w:sz w:val="24"/>
          <w:szCs w:val="24"/>
        </w:rPr>
        <w:t>7</w:t>
      </w:r>
      <w:r w:rsidRPr="00CB62A1">
        <w:rPr>
          <w:rFonts w:ascii="Times New Roman" w:hAnsi="Times New Roman"/>
          <w:sz w:val="24"/>
          <w:szCs w:val="24"/>
        </w:rPr>
        <w:t xml:space="preserve"> m. </w:t>
      </w:r>
      <w:r>
        <w:rPr>
          <w:rFonts w:ascii="Times New Roman" w:hAnsi="Times New Roman"/>
          <w:sz w:val="24"/>
          <w:szCs w:val="24"/>
        </w:rPr>
        <w:t>pradžioje</w:t>
      </w:r>
      <w:r w:rsidRPr="00CB62A1">
        <w:rPr>
          <w:rFonts w:ascii="Times New Roman" w:hAnsi="Times New Roman"/>
          <w:sz w:val="24"/>
          <w:szCs w:val="24"/>
        </w:rPr>
        <w:t xml:space="preserve"> </w:t>
      </w:r>
      <w:r>
        <w:rPr>
          <w:rFonts w:ascii="Times New Roman" w:hAnsi="Times New Roman"/>
          <w:sz w:val="24"/>
          <w:szCs w:val="24"/>
        </w:rPr>
        <w:t>Kazlų Rūdos savivaldybėje</w:t>
      </w:r>
      <w:r w:rsidRPr="00CB62A1">
        <w:rPr>
          <w:rFonts w:ascii="Times New Roman" w:hAnsi="Times New Roman"/>
          <w:sz w:val="24"/>
          <w:szCs w:val="24"/>
        </w:rPr>
        <w:t xml:space="preserve"> veikė </w:t>
      </w:r>
      <w:r>
        <w:rPr>
          <w:rFonts w:ascii="Times New Roman" w:hAnsi="Times New Roman"/>
          <w:sz w:val="24"/>
          <w:szCs w:val="24"/>
        </w:rPr>
        <w:t>179 ūkio subjektai, tai yra 2 įmonėmis daugiau negu 2016 m. Kadangi smulkus ir vidutinis verslas yra modernios ir dinamiškos ekonomikos pagrindas, mažų ir vidutinių įmonių bei savarankiškai dirbančių gyventojų plėtra didele dalimi lemia rinkos ekonomikos konkurencingumą ir augimą. Šio verslo sektorius greičiausiai pajunta rinkos paklausos ir pasiūlos pokyčius, prisitaiko prie jų, sukuria naujas darbo vietas tose srityse, kurių prekės ir paslaugos turi didžiausią paklausą.</w:t>
      </w:r>
      <w:r w:rsidR="00E46760" w:rsidRPr="00E46760">
        <w:rPr>
          <w:rFonts w:ascii="Times New Roman" w:hAnsi="Times New Roman"/>
          <w:sz w:val="24"/>
          <w:szCs w:val="24"/>
        </w:rPr>
        <w:t xml:space="preserve"> Savivaldybėje daugiausiai yra mažų įmonių, kuriose dirba iki 4 darbuotojų (111 įmonių). 2017 m. pradžioje iš 179 savivaldybėje veikiančių įmonių veikė tik 1 didelė įmonė, kurioje dirba daugiau negu 250 darbuotojų. </w:t>
      </w:r>
    </w:p>
    <w:p w:rsidR="00CE0D7B" w:rsidRDefault="00CE0D7B" w:rsidP="00CE0D7B">
      <w:pPr>
        <w:ind w:left="426"/>
        <w:jc w:val="both"/>
        <w:rPr>
          <w:rFonts w:ascii="Times New Roman" w:hAnsi="Times New Roman"/>
          <w:sz w:val="24"/>
          <w:szCs w:val="24"/>
        </w:rPr>
      </w:pPr>
      <w:r>
        <w:rPr>
          <w:rFonts w:ascii="Times New Roman" w:hAnsi="Times New Roman"/>
          <w:sz w:val="24"/>
          <w:szCs w:val="24"/>
        </w:rPr>
        <w:t xml:space="preserve">Siekdama skatinti verslumą, Kazlų Rūdos savivaldybė taiko palyginti mažus įkainius fiksuotiems pajamų mokesčio dydžiams už verslo liudijimus, vykdant veiklą savivaldybės teritorijoje, vykdo verslo skatinimo programą, geriną paslaugų kokybę verslui elektroninėje erdvėje. </w:t>
      </w:r>
    </w:p>
    <w:p w:rsidR="00056FAE" w:rsidRDefault="00056FAE" w:rsidP="00056FAE">
      <w:pPr>
        <w:ind w:left="426" w:firstLine="567"/>
        <w:jc w:val="both"/>
        <w:rPr>
          <w:rFonts w:ascii="Times New Roman" w:hAnsi="Times New Roman"/>
          <w:sz w:val="24"/>
          <w:szCs w:val="24"/>
        </w:rPr>
      </w:pPr>
    </w:p>
    <w:p w:rsidR="00056FAE" w:rsidRDefault="00056FAE" w:rsidP="00C04A35">
      <w:pPr>
        <w:ind w:left="426" w:hanging="284"/>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2EEC62EA" wp14:editId="3D9B6E38">
            <wp:extent cx="6115050" cy="436245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FAE" w:rsidRDefault="00E46760" w:rsidP="00C04A35">
      <w:pPr>
        <w:ind w:left="426" w:firstLine="567"/>
        <w:jc w:val="center"/>
        <w:rPr>
          <w:rFonts w:ascii="Times New Roman" w:hAnsi="Times New Roman"/>
          <w:sz w:val="24"/>
          <w:szCs w:val="24"/>
        </w:rPr>
      </w:pPr>
      <w:r>
        <w:rPr>
          <w:rFonts w:ascii="Times New Roman" w:hAnsi="Times New Roman"/>
          <w:b/>
        </w:rPr>
        <w:t xml:space="preserve">2 pav. </w:t>
      </w:r>
      <w:r w:rsidR="00C04A35" w:rsidRPr="00C04A35">
        <w:rPr>
          <w:rFonts w:ascii="Times New Roman" w:hAnsi="Times New Roman"/>
          <w:b/>
        </w:rPr>
        <w:t>Veikiantys ūkio subjektai Kazlų Rūdos savivaldybėje, 2017 m</w:t>
      </w:r>
      <w:r w:rsidR="00C04A35">
        <w:rPr>
          <w:rFonts w:ascii="Times New Roman" w:hAnsi="Times New Roman"/>
          <w:sz w:val="24"/>
          <w:szCs w:val="24"/>
        </w:rPr>
        <w:t>.</w:t>
      </w:r>
    </w:p>
    <w:p w:rsidR="00E46760" w:rsidRDefault="00E46760" w:rsidP="00E46760">
      <w:pPr>
        <w:spacing w:line="259" w:lineRule="auto"/>
        <w:jc w:val="center"/>
        <w:rPr>
          <w:rFonts w:ascii="Times New Roman" w:hAnsi="Times New Roman"/>
          <w:sz w:val="20"/>
          <w:szCs w:val="20"/>
        </w:rPr>
      </w:pPr>
      <w:r w:rsidRPr="002F641B">
        <w:rPr>
          <w:rFonts w:ascii="Times New Roman" w:hAnsi="Times New Roman"/>
          <w:sz w:val="20"/>
          <w:szCs w:val="20"/>
        </w:rPr>
        <w:t xml:space="preserve">Šaltinis: </w:t>
      </w:r>
      <w:r w:rsidRPr="00E569ED">
        <w:rPr>
          <w:rFonts w:ascii="Times New Roman" w:hAnsi="Times New Roman"/>
          <w:sz w:val="20"/>
          <w:szCs w:val="20"/>
        </w:rPr>
        <w:t xml:space="preserve">Lietuvos </w:t>
      </w:r>
      <w:r>
        <w:rPr>
          <w:rFonts w:ascii="Times New Roman" w:hAnsi="Times New Roman"/>
          <w:sz w:val="20"/>
          <w:szCs w:val="20"/>
        </w:rPr>
        <w:t>statistikos departamentas</w:t>
      </w:r>
    </w:p>
    <w:p w:rsidR="00056FAE" w:rsidRDefault="00056FAE" w:rsidP="00E46760">
      <w:pPr>
        <w:pStyle w:val="NoSpacing"/>
        <w:tabs>
          <w:tab w:val="left" w:pos="5670"/>
        </w:tabs>
        <w:jc w:val="both"/>
        <w:rPr>
          <w:rFonts w:ascii="Times New Roman" w:hAnsi="Times New Roman" w:cs="Times New Roman"/>
          <w:sz w:val="24"/>
          <w:szCs w:val="24"/>
        </w:rPr>
      </w:pPr>
    </w:p>
    <w:p w:rsidR="002C28E2" w:rsidRDefault="002C28E2" w:rsidP="00837BB8">
      <w:pPr>
        <w:pStyle w:val="NoSpacing"/>
        <w:tabs>
          <w:tab w:val="left" w:pos="5670"/>
        </w:tabs>
        <w:ind w:left="426"/>
        <w:jc w:val="both"/>
        <w:rPr>
          <w:rFonts w:ascii="Times New Roman" w:hAnsi="Times New Roman" w:cs="Times New Roman"/>
          <w:sz w:val="24"/>
          <w:szCs w:val="24"/>
        </w:rPr>
      </w:pPr>
      <w:r>
        <w:rPr>
          <w:rFonts w:ascii="Times New Roman" w:hAnsi="Times New Roman" w:cs="Times New Roman"/>
          <w:sz w:val="24"/>
          <w:szCs w:val="24"/>
        </w:rPr>
        <w:t xml:space="preserve">2017 metais šalyje augo vidutinis mėnesinis darbo užmokestis. </w:t>
      </w:r>
      <w:r w:rsidRPr="00CB62A1">
        <w:rPr>
          <w:rFonts w:ascii="Times New Roman" w:hAnsi="Times New Roman" w:cs="Times New Roman"/>
          <w:sz w:val="24"/>
          <w:szCs w:val="24"/>
        </w:rPr>
        <w:t xml:space="preserve">Vidutinis mėnesinis </w:t>
      </w:r>
      <w:proofErr w:type="spellStart"/>
      <w:r w:rsidRPr="00CB62A1">
        <w:rPr>
          <w:rFonts w:ascii="Times New Roman" w:hAnsi="Times New Roman" w:cs="Times New Roman"/>
          <w:sz w:val="24"/>
          <w:szCs w:val="24"/>
        </w:rPr>
        <w:t>bruto</w:t>
      </w:r>
      <w:proofErr w:type="spellEnd"/>
      <w:r w:rsidRPr="00CB62A1">
        <w:rPr>
          <w:rFonts w:ascii="Times New Roman" w:hAnsi="Times New Roman" w:cs="Times New Roman"/>
          <w:sz w:val="24"/>
          <w:szCs w:val="24"/>
        </w:rPr>
        <w:t xml:space="preserve"> darbo užmokestis </w:t>
      </w:r>
      <w:r>
        <w:rPr>
          <w:rFonts w:ascii="Times New Roman" w:hAnsi="Times New Roman" w:cs="Times New Roman"/>
          <w:sz w:val="24"/>
          <w:szCs w:val="24"/>
        </w:rPr>
        <w:t xml:space="preserve">2017 m. 2 ketvirtį sudarė 838,7 </w:t>
      </w:r>
      <w:proofErr w:type="spellStart"/>
      <w:r>
        <w:rPr>
          <w:rFonts w:ascii="Times New Roman" w:hAnsi="Times New Roman" w:cs="Times New Roman"/>
          <w:sz w:val="24"/>
          <w:szCs w:val="24"/>
        </w:rPr>
        <w:t>Eur</w:t>
      </w:r>
      <w:proofErr w:type="spellEnd"/>
      <w:r>
        <w:rPr>
          <w:rFonts w:ascii="Times New Roman" w:hAnsi="Times New Roman" w:cs="Times New Roman"/>
          <w:sz w:val="24"/>
          <w:szCs w:val="24"/>
        </w:rPr>
        <w:t>,  8 proc. daugiau nei 2016 m. tą patį laikotarpį</w:t>
      </w:r>
      <w:r w:rsidR="00891940">
        <w:rPr>
          <w:rFonts w:ascii="Times New Roman" w:hAnsi="Times New Roman" w:cs="Times New Roman"/>
          <w:sz w:val="24"/>
          <w:szCs w:val="24"/>
        </w:rPr>
        <w:t xml:space="preserve">. Didesnis 12 mėnesių vidutinio darbo užmokesčio padidėjimas buvo tik 2008 m. ir 2013 m. Spartų metinį darbo užmokesčio augimą lėmė didėjantis darbuotojų trūkumas ir kylantis minimalus darbo užmokestis. Tuo tarpu </w:t>
      </w:r>
      <w:r>
        <w:rPr>
          <w:rFonts w:ascii="Times New Roman" w:hAnsi="Times New Roman" w:cs="Times New Roman"/>
          <w:sz w:val="24"/>
          <w:szCs w:val="24"/>
        </w:rPr>
        <w:t xml:space="preserve"> </w:t>
      </w:r>
      <w:r w:rsidR="00891940" w:rsidRPr="00CB62A1">
        <w:rPr>
          <w:rFonts w:ascii="Times New Roman" w:hAnsi="Times New Roman" w:cs="Times New Roman"/>
          <w:sz w:val="24"/>
          <w:szCs w:val="24"/>
        </w:rPr>
        <w:t xml:space="preserve">vidutinis </w:t>
      </w:r>
      <w:proofErr w:type="spellStart"/>
      <w:r w:rsidR="00891940" w:rsidRPr="00CB62A1">
        <w:rPr>
          <w:rFonts w:ascii="Times New Roman" w:hAnsi="Times New Roman" w:cs="Times New Roman"/>
          <w:sz w:val="24"/>
          <w:szCs w:val="24"/>
        </w:rPr>
        <w:t>bruto</w:t>
      </w:r>
      <w:proofErr w:type="spellEnd"/>
      <w:r w:rsidR="00891940" w:rsidRPr="00CB62A1">
        <w:rPr>
          <w:rFonts w:ascii="Times New Roman" w:hAnsi="Times New Roman" w:cs="Times New Roman"/>
          <w:sz w:val="24"/>
          <w:szCs w:val="24"/>
        </w:rPr>
        <w:t xml:space="preserve"> darbo užmokestis </w:t>
      </w:r>
      <w:r>
        <w:rPr>
          <w:rFonts w:ascii="Times New Roman" w:hAnsi="Times New Roman" w:cs="Times New Roman"/>
          <w:sz w:val="24"/>
          <w:szCs w:val="24"/>
        </w:rPr>
        <w:t>Kazlų Rūdos savivaldybėje 201</w:t>
      </w:r>
      <w:r w:rsidR="00891940">
        <w:rPr>
          <w:rFonts w:ascii="Times New Roman" w:hAnsi="Times New Roman" w:cs="Times New Roman"/>
          <w:sz w:val="24"/>
          <w:szCs w:val="24"/>
        </w:rPr>
        <w:t>6</w:t>
      </w:r>
      <w:r w:rsidRPr="00CB62A1">
        <w:rPr>
          <w:rFonts w:ascii="Times New Roman" w:hAnsi="Times New Roman" w:cs="Times New Roman"/>
          <w:sz w:val="24"/>
          <w:szCs w:val="24"/>
        </w:rPr>
        <w:t xml:space="preserve"> m. </w:t>
      </w:r>
      <w:r>
        <w:rPr>
          <w:rFonts w:ascii="Times New Roman" w:hAnsi="Times New Roman" w:cs="Times New Roman"/>
          <w:sz w:val="24"/>
          <w:szCs w:val="24"/>
        </w:rPr>
        <w:t>viduryje</w:t>
      </w:r>
      <w:r w:rsidRPr="00CB62A1">
        <w:rPr>
          <w:rFonts w:ascii="Times New Roman" w:hAnsi="Times New Roman" w:cs="Times New Roman"/>
          <w:sz w:val="24"/>
          <w:szCs w:val="24"/>
        </w:rPr>
        <w:t xml:space="preserve"> buvo </w:t>
      </w:r>
      <w:r w:rsidR="00891940">
        <w:rPr>
          <w:rFonts w:ascii="Times New Roman" w:hAnsi="Times New Roman" w:cs="Times New Roman"/>
          <w:sz w:val="24"/>
          <w:szCs w:val="24"/>
        </w:rPr>
        <w:t>732,5</w:t>
      </w:r>
      <w:r w:rsidRPr="00CB62A1">
        <w:rPr>
          <w:rFonts w:ascii="Times New Roman" w:hAnsi="Times New Roman" w:cs="Times New Roman"/>
          <w:sz w:val="24"/>
          <w:szCs w:val="24"/>
        </w:rPr>
        <w:t xml:space="preserve"> </w:t>
      </w:r>
      <w:proofErr w:type="spellStart"/>
      <w:r w:rsidR="00891940">
        <w:rPr>
          <w:rFonts w:ascii="Times New Roman" w:hAnsi="Times New Roman" w:cs="Times New Roman"/>
          <w:sz w:val="24"/>
          <w:szCs w:val="24"/>
        </w:rPr>
        <w:t>Eur</w:t>
      </w:r>
      <w:proofErr w:type="spellEnd"/>
      <w:r w:rsidRPr="00CB62A1">
        <w:rPr>
          <w:rFonts w:ascii="Times New Roman" w:hAnsi="Times New Roman" w:cs="Times New Roman"/>
          <w:sz w:val="24"/>
          <w:szCs w:val="24"/>
        </w:rPr>
        <w:t xml:space="preserve">, </w:t>
      </w:r>
      <w:r w:rsidR="00891940">
        <w:rPr>
          <w:rFonts w:ascii="Times New Roman" w:hAnsi="Times New Roman" w:cs="Times New Roman"/>
          <w:sz w:val="24"/>
          <w:szCs w:val="24"/>
        </w:rPr>
        <w:t>o 2017 m. viduryje –</w:t>
      </w:r>
      <w:r w:rsidRPr="00CB62A1">
        <w:rPr>
          <w:rFonts w:ascii="Times New Roman" w:hAnsi="Times New Roman" w:cs="Times New Roman"/>
          <w:color w:val="000000" w:themeColor="text1"/>
          <w:sz w:val="24"/>
          <w:szCs w:val="24"/>
        </w:rPr>
        <w:t xml:space="preserve"> </w:t>
      </w:r>
      <w:r w:rsidR="00891940">
        <w:rPr>
          <w:rFonts w:ascii="Times New Roman" w:hAnsi="Times New Roman" w:cs="Times New Roman"/>
          <w:color w:val="000000" w:themeColor="text1"/>
          <w:sz w:val="24"/>
          <w:szCs w:val="24"/>
        </w:rPr>
        <w:t xml:space="preserve">801 </w:t>
      </w:r>
      <w:proofErr w:type="spellStart"/>
      <w:r w:rsidR="00891940">
        <w:rPr>
          <w:rFonts w:ascii="Times New Roman" w:hAnsi="Times New Roman" w:cs="Times New Roman"/>
          <w:color w:val="000000" w:themeColor="text1"/>
          <w:sz w:val="24"/>
          <w:szCs w:val="24"/>
        </w:rPr>
        <w:t>Eur</w:t>
      </w:r>
      <w:proofErr w:type="spellEnd"/>
      <w:r w:rsidRPr="00CB62A1">
        <w:rPr>
          <w:rFonts w:ascii="Times New Roman" w:hAnsi="Times New Roman" w:cs="Times New Roman"/>
          <w:sz w:val="24"/>
          <w:szCs w:val="24"/>
        </w:rPr>
        <w:t xml:space="preserve">. </w:t>
      </w:r>
    </w:p>
    <w:p w:rsidR="002C28E2" w:rsidRDefault="002C28E2" w:rsidP="002C28E2">
      <w:pPr>
        <w:pStyle w:val="NoSpacing"/>
        <w:tabs>
          <w:tab w:val="left" w:pos="5670"/>
        </w:tabs>
        <w:ind w:left="426" w:firstLine="567"/>
        <w:jc w:val="both"/>
        <w:rPr>
          <w:rFonts w:ascii="Times New Roman" w:hAnsi="Times New Roman" w:cs="Times New Roman"/>
          <w:sz w:val="24"/>
          <w:szCs w:val="24"/>
        </w:rPr>
      </w:pPr>
    </w:p>
    <w:p w:rsidR="002C28E2" w:rsidRDefault="002C28E2" w:rsidP="00891940">
      <w:pPr>
        <w:pStyle w:val="NoSpacing"/>
        <w:tabs>
          <w:tab w:val="left" w:pos="5670"/>
        </w:tabs>
        <w:ind w:left="426" w:hanging="142"/>
        <w:jc w:val="both"/>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14:anchorId="72D969D6" wp14:editId="19BE3440">
            <wp:extent cx="5734050" cy="29241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1940" w:rsidRPr="00891940" w:rsidRDefault="00C04A35" w:rsidP="00891940">
      <w:pPr>
        <w:pStyle w:val="NoSpacing"/>
        <w:tabs>
          <w:tab w:val="left" w:pos="5670"/>
        </w:tabs>
        <w:ind w:left="426" w:firstLine="567"/>
        <w:jc w:val="center"/>
        <w:rPr>
          <w:rFonts w:ascii="Times New Roman" w:hAnsi="Times New Roman" w:cs="Times New Roman"/>
          <w:b/>
        </w:rPr>
      </w:pPr>
      <w:r>
        <w:rPr>
          <w:rFonts w:ascii="Times New Roman" w:hAnsi="Times New Roman" w:cs="Times New Roman"/>
          <w:b/>
        </w:rPr>
        <w:t>4</w:t>
      </w:r>
      <w:r w:rsidR="00891940" w:rsidRPr="00891940">
        <w:rPr>
          <w:rFonts w:ascii="Times New Roman" w:hAnsi="Times New Roman" w:cs="Times New Roman"/>
          <w:b/>
        </w:rPr>
        <w:t xml:space="preserve"> pav. Vidutinis mėnesinis </w:t>
      </w:r>
      <w:proofErr w:type="spellStart"/>
      <w:r w:rsidR="00891940" w:rsidRPr="00891940">
        <w:rPr>
          <w:rFonts w:ascii="Times New Roman" w:hAnsi="Times New Roman" w:cs="Times New Roman"/>
          <w:b/>
        </w:rPr>
        <w:t>bruto</w:t>
      </w:r>
      <w:proofErr w:type="spellEnd"/>
      <w:r w:rsidR="00891940" w:rsidRPr="00891940">
        <w:rPr>
          <w:rFonts w:ascii="Times New Roman" w:hAnsi="Times New Roman" w:cs="Times New Roman"/>
          <w:b/>
        </w:rPr>
        <w:t xml:space="preserve"> darbo užmokestis, </w:t>
      </w:r>
      <w:proofErr w:type="spellStart"/>
      <w:r w:rsidR="00891940" w:rsidRPr="00891940">
        <w:rPr>
          <w:rFonts w:ascii="Times New Roman" w:hAnsi="Times New Roman" w:cs="Times New Roman"/>
          <w:b/>
        </w:rPr>
        <w:t>Eur</w:t>
      </w:r>
      <w:proofErr w:type="spellEnd"/>
    </w:p>
    <w:p w:rsidR="00891940" w:rsidRDefault="00891940" w:rsidP="00891940">
      <w:pPr>
        <w:spacing w:line="259" w:lineRule="auto"/>
        <w:jc w:val="center"/>
        <w:rPr>
          <w:rFonts w:ascii="Times New Roman" w:hAnsi="Times New Roman"/>
          <w:sz w:val="20"/>
          <w:szCs w:val="20"/>
        </w:rPr>
      </w:pPr>
      <w:r w:rsidRPr="002F641B">
        <w:rPr>
          <w:rFonts w:ascii="Times New Roman" w:hAnsi="Times New Roman"/>
          <w:sz w:val="20"/>
          <w:szCs w:val="20"/>
        </w:rPr>
        <w:t xml:space="preserve">Šaltinis: </w:t>
      </w:r>
      <w:r w:rsidRPr="00E569ED">
        <w:rPr>
          <w:rFonts w:ascii="Times New Roman" w:hAnsi="Times New Roman"/>
          <w:sz w:val="20"/>
          <w:szCs w:val="20"/>
        </w:rPr>
        <w:t xml:space="preserve">Lietuvos </w:t>
      </w:r>
      <w:r>
        <w:rPr>
          <w:rFonts w:ascii="Times New Roman" w:hAnsi="Times New Roman"/>
          <w:sz w:val="20"/>
          <w:szCs w:val="20"/>
        </w:rPr>
        <w:t>statistikos departamentas</w:t>
      </w:r>
    </w:p>
    <w:p w:rsidR="00D8096E" w:rsidRDefault="00CD0DE1" w:rsidP="00CD0DE1">
      <w:pPr>
        <w:pStyle w:val="NoSpacing"/>
        <w:tabs>
          <w:tab w:val="left" w:pos="5670"/>
        </w:tabs>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0B14ED" w:rsidRPr="00CB62A1">
        <w:rPr>
          <w:rFonts w:ascii="Times New Roman" w:hAnsi="Times New Roman" w:cs="Times New Roman"/>
          <w:b/>
          <w:sz w:val="24"/>
          <w:szCs w:val="24"/>
        </w:rPr>
        <w:t>S</w:t>
      </w:r>
      <w:r w:rsidR="00D8096E">
        <w:rPr>
          <w:rFonts w:ascii="Times New Roman" w:hAnsi="Times New Roman" w:cs="Times New Roman"/>
          <w:b/>
          <w:sz w:val="24"/>
          <w:szCs w:val="24"/>
        </w:rPr>
        <w:t>ocialiniai veiksniai</w:t>
      </w:r>
      <w:r w:rsidR="000B14ED" w:rsidRPr="00CB62A1">
        <w:rPr>
          <w:rFonts w:ascii="Times New Roman" w:hAnsi="Times New Roman" w:cs="Times New Roman"/>
          <w:b/>
          <w:sz w:val="24"/>
          <w:szCs w:val="24"/>
        </w:rPr>
        <w:t xml:space="preserve"> </w:t>
      </w:r>
    </w:p>
    <w:p w:rsidR="00D8096E" w:rsidRPr="000F6A82" w:rsidRDefault="00D8096E" w:rsidP="00AD5134">
      <w:pPr>
        <w:pStyle w:val="NoSpacing"/>
        <w:tabs>
          <w:tab w:val="left" w:pos="5670"/>
        </w:tabs>
        <w:ind w:left="426" w:firstLine="567"/>
        <w:jc w:val="both"/>
        <w:rPr>
          <w:rFonts w:ascii="Times New Roman" w:hAnsi="Times New Roman" w:cs="Times New Roman"/>
          <w:b/>
          <w:sz w:val="24"/>
          <w:szCs w:val="24"/>
        </w:rPr>
      </w:pPr>
    </w:p>
    <w:p w:rsidR="00837BB8" w:rsidRDefault="00132A95" w:rsidP="00837BB8">
      <w:pPr>
        <w:pStyle w:val="NoSpacing"/>
        <w:tabs>
          <w:tab w:val="left" w:pos="5670"/>
        </w:tabs>
        <w:ind w:left="426"/>
        <w:jc w:val="both"/>
        <w:rPr>
          <w:rFonts w:ascii="Times New Roman" w:hAnsi="Times New Roman" w:cs="Times New Roman"/>
          <w:sz w:val="24"/>
          <w:szCs w:val="24"/>
        </w:rPr>
      </w:pPr>
      <w:r w:rsidRPr="000F6A82">
        <w:rPr>
          <w:rFonts w:ascii="Times New Roman" w:hAnsi="Times New Roman" w:cs="Times New Roman"/>
          <w:i/>
          <w:iCs/>
          <w:sz w:val="24"/>
          <w:szCs w:val="24"/>
        </w:rPr>
        <w:t>Demografinės problemos ir socialinė nelygybė.</w:t>
      </w:r>
      <w:r w:rsidRPr="000F6A82">
        <w:rPr>
          <w:rFonts w:ascii="Times New Roman" w:hAnsi="Times New Roman" w:cs="Times New Roman"/>
          <w:sz w:val="24"/>
          <w:szCs w:val="24"/>
        </w:rPr>
        <w:t xml:space="preserve"> </w:t>
      </w:r>
      <w:r w:rsidR="00D8096E" w:rsidRPr="000F6A82">
        <w:rPr>
          <w:rFonts w:ascii="Times New Roman" w:hAnsi="Times New Roman" w:cs="Times New Roman"/>
          <w:sz w:val="24"/>
          <w:szCs w:val="24"/>
        </w:rPr>
        <w:t xml:space="preserve">Nepaisant ekonominio pakilimo demografinės tendencijos per pirmąjį 2017 m. pusmetį nepagerėjo – nuolatinių gyventojų skaičius Lietuvoje toliau mažėjo – liepos 1 d. buvo 48,7 tūkst. </w:t>
      </w:r>
      <w:r w:rsidR="00F93215" w:rsidRPr="000F6A82">
        <w:rPr>
          <w:rFonts w:ascii="Times New Roman" w:hAnsi="Times New Roman" w:cs="Times New Roman"/>
          <w:sz w:val="24"/>
          <w:szCs w:val="24"/>
        </w:rPr>
        <w:t>m</w:t>
      </w:r>
      <w:r w:rsidR="00D8096E" w:rsidRPr="000F6A82">
        <w:rPr>
          <w:rFonts w:ascii="Times New Roman" w:hAnsi="Times New Roman" w:cs="Times New Roman"/>
          <w:sz w:val="24"/>
          <w:szCs w:val="24"/>
        </w:rPr>
        <w:t>ažiau nei prieš metus.</w:t>
      </w:r>
      <w:r w:rsidR="00837BB8">
        <w:rPr>
          <w:rFonts w:ascii="Times New Roman" w:hAnsi="Times New Roman" w:cs="Times New Roman"/>
          <w:sz w:val="24"/>
          <w:szCs w:val="24"/>
        </w:rPr>
        <w:t xml:space="preserve"> Lietuvos gyventojų sumažėjo nuo 3,7 mln. 1990 m. iki 2,8 mln. 2017 metais. Šį mažėjimą lėmė dvi pagrindinės priežastys – neigiama </w:t>
      </w:r>
      <w:r w:rsidR="00D8096E" w:rsidRPr="000F6A82">
        <w:rPr>
          <w:rFonts w:ascii="Times New Roman" w:hAnsi="Times New Roman" w:cs="Times New Roman"/>
          <w:sz w:val="24"/>
          <w:szCs w:val="24"/>
        </w:rPr>
        <w:t xml:space="preserve"> </w:t>
      </w:r>
      <w:r w:rsidR="00837BB8" w:rsidRPr="00CB62A1">
        <w:rPr>
          <w:rFonts w:ascii="Times New Roman" w:hAnsi="Times New Roman" w:cs="Times New Roman"/>
          <w:sz w:val="24"/>
          <w:szCs w:val="24"/>
        </w:rPr>
        <w:t xml:space="preserve">Lietuvos statistikos departamento duomenimis </w:t>
      </w:r>
      <w:r w:rsidR="00837BB8">
        <w:rPr>
          <w:rFonts w:ascii="Times New Roman" w:hAnsi="Times New Roman" w:cs="Times New Roman"/>
          <w:sz w:val="24"/>
          <w:szCs w:val="24"/>
        </w:rPr>
        <w:t>Kazlų Rūdos savivaldybėje</w:t>
      </w:r>
      <w:r w:rsidR="00837BB8" w:rsidRPr="00CB62A1">
        <w:rPr>
          <w:rFonts w:ascii="Times New Roman" w:hAnsi="Times New Roman" w:cs="Times New Roman"/>
          <w:sz w:val="24"/>
          <w:szCs w:val="24"/>
        </w:rPr>
        <w:t xml:space="preserve"> 2017 m. nuolatinių gyventojų skaičius buvo </w:t>
      </w:r>
      <w:r w:rsidR="00837BB8">
        <w:rPr>
          <w:rFonts w:ascii="Times New Roman" w:hAnsi="Times New Roman" w:cs="Times New Roman"/>
          <w:sz w:val="24"/>
          <w:szCs w:val="24"/>
        </w:rPr>
        <w:t>11</w:t>
      </w:r>
      <w:r w:rsidR="00837BB8" w:rsidRPr="00CB62A1">
        <w:rPr>
          <w:rFonts w:ascii="Times New Roman" w:hAnsi="Times New Roman" w:cs="Times New Roman"/>
          <w:sz w:val="24"/>
          <w:szCs w:val="24"/>
        </w:rPr>
        <w:t>,</w:t>
      </w:r>
      <w:r w:rsidR="00837BB8">
        <w:rPr>
          <w:rFonts w:ascii="Times New Roman" w:hAnsi="Times New Roman" w:cs="Times New Roman"/>
          <w:sz w:val="24"/>
          <w:szCs w:val="24"/>
        </w:rPr>
        <w:t>8</w:t>
      </w:r>
      <w:r w:rsidR="00837BB8" w:rsidRPr="00CB62A1">
        <w:rPr>
          <w:rFonts w:ascii="Times New Roman" w:hAnsi="Times New Roman" w:cs="Times New Roman"/>
          <w:sz w:val="24"/>
          <w:szCs w:val="24"/>
        </w:rPr>
        <w:t xml:space="preserve"> tūkst. gyventojų. Tai </w:t>
      </w:r>
      <w:r w:rsidR="00837BB8">
        <w:rPr>
          <w:rFonts w:ascii="Times New Roman" w:hAnsi="Times New Roman" w:cs="Times New Roman"/>
          <w:sz w:val="24"/>
          <w:szCs w:val="24"/>
        </w:rPr>
        <w:t>400</w:t>
      </w:r>
      <w:r w:rsidR="00837BB8" w:rsidRPr="00CB62A1">
        <w:rPr>
          <w:rFonts w:ascii="Times New Roman" w:hAnsi="Times New Roman" w:cs="Times New Roman"/>
          <w:sz w:val="24"/>
          <w:szCs w:val="24"/>
        </w:rPr>
        <w:t xml:space="preserve"> gyventojų </w:t>
      </w:r>
      <w:r w:rsidR="00837BB8">
        <w:rPr>
          <w:rFonts w:ascii="Times New Roman" w:hAnsi="Times New Roman" w:cs="Times New Roman"/>
          <w:sz w:val="24"/>
          <w:szCs w:val="24"/>
        </w:rPr>
        <w:t>mažiau</w:t>
      </w:r>
      <w:r w:rsidR="00837BB8" w:rsidRPr="00CB62A1">
        <w:rPr>
          <w:rFonts w:ascii="Times New Roman" w:hAnsi="Times New Roman" w:cs="Times New Roman"/>
          <w:sz w:val="24"/>
          <w:szCs w:val="24"/>
        </w:rPr>
        <w:t xml:space="preserve"> nei 2016 m.</w:t>
      </w:r>
      <w:r w:rsidR="00837BB8">
        <w:rPr>
          <w:rFonts w:ascii="Times New Roman" w:hAnsi="Times New Roman" w:cs="Times New Roman"/>
          <w:sz w:val="24"/>
          <w:szCs w:val="24"/>
        </w:rPr>
        <w:t xml:space="preserve"> Kazlų Rūdos savivaldybėje gyventojų skaiči</w:t>
      </w:r>
      <w:r w:rsidR="00837BB8" w:rsidRPr="00CB62A1">
        <w:rPr>
          <w:rFonts w:ascii="Times New Roman" w:hAnsi="Times New Roman" w:cs="Times New Roman"/>
          <w:sz w:val="24"/>
          <w:szCs w:val="24"/>
        </w:rPr>
        <w:t xml:space="preserve">us </w:t>
      </w:r>
      <w:r w:rsidR="00837BB8">
        <w:rPr>
          <w:rFonts w:ascii="Times New Roman" w:hAnsi="Times New Roman" w:cs="Times New Roman"/>
          <w:sz w:val="24"/>
          <w:szCs w:val="24"/>
        </w:rPr>
        <w:t>mažėja jau keli metai iš eilės.</w:t>
      </w:r>
    </w:p>
    <w:p w:rsidR="00837BB8" w:rsidRDefault="00837BB8" w:rsidP="00837BB8">
      <w:pPr>
        <w:pStyle w:val="NoSpacing"/>
        <w:tabs>
          <w:tab w:val="left" w:pos="5670"/>
        </w:tabs>
        <w:ind w:left="426" w:firstLine="567"/>
        <w:jc w:val="both"/>
        <w:rPr>
          <w:rFonts w:ascii="Times New Roman" w:hAnsi="Times New Roman" w:cs="Times New Roman"/>
          <w:sz w:val="24"/>
          <w:szCs w:val="24"/>
        </w:rPr>
      </w:pPr>
    </w:p>
    <w:p w:rsidR="00837BB8" w:rsidRDefault="00837BB8" w:rsidP="00837BB8">
      <w:pPr>
        <w:pStyle w:val="NoSpacing"/>
        <w:tabs>
          <w:tab w:val="left" w:pos="5670"/>
        </w:tabs>
        <w:ind w:left="426" w:hanging="142"/>
        <w:jc w:val="both"/>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14:anchorId="1F0232FE" wp14:editId="326AF864">
            <wp:extent cx="6096000" cy="294322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7BB8" w:rsidRPr="00837BB8" w:rsidRDefault="00837BB8" w:rsidP="00837BB8">
      <w:pPr>
        <w:pStyle w:val="NoSpacing"/>
        <w:tabs>
          <w:tab w:val="left" w:pos="5670"/>
        </w:tabs>
        <w:ind w:left="426"/>
        <w:jc w:val="center"/>
        <w:rPr>
          <w:rFonts w:ascii="Times New Roman" w:hAnsi="Times New Roman" w:cs="Times New Roman"/>
          <w:b/>
          <w:sz w:val="24"/>
          <w:szCs w:val="24"/>
        </w:rPr>
      </w:pPr>
      <w:r w:rsidRPr="00837BB8">
        <w:rPr>
          <w:rFonts w:ascii="Times New Roman" w:hAnsi="Times New Roman" w:cs="Times New Roman"/>
          <w:b/>
          <w:sz w:val="24"/>
          <w:szCs w:val="24"/>
        </w:rPr>
        <w:t>5 pav. Gyventojų skaičius Kazlų Rūdos savivaldybėje</w:t>
      </w:r>
    </w:p>
    <w:p w:rsidR="00837BB8" w:rsidRDefault="00837BB8" w:rsidP="00837BB8">
      <w:pPr>
        <w:spacing w:line="259" w:lineRule="auto"/>
        <w:jc w:val="center"/>
        <w:rPr>
          <w:rFonts w:ascii="Times New Roman" w:hAnsi="Times New Roman"/>
          <w:sz w:val="20"/>
          <w:szCs w:val="20"/>
        </w:rPr>
      </w:pPr>
      <w:r w:rsidRPr="002F641B">
        <w:rPr>
          <w:rFonts w:ascii="Times New Roman" w:hAnsi="Times New Roman"/>
          <w:sz w:val="20"/>
          <w:szCs w:val="20"/>
        </w:rPr>
        <w:t xml:space="preserve">Šaltinis: </w:t>
      </w:r>
      <w:r w:rsidRPr="00E569ED">
        <w:rPr>
          <w:rFonts w:ascii="Times New Roman" w:hAnsi="Times New Roman"/>
          <w:sz w:val="20"/>
          <w:szCs w:val="20"/>
        </w:rPr>
        <w:t xml:space="preserve">Lietuvos </w:t>
      </w:r>
      <w:r>
        <w:rPr>
          <w:rFonts w:ascii="Times New Roman" w:hAnsi="Times New Roman"/>
          <w:sz w:val="20"/>
          <w:szCs w:val="20"/>
        </w:rPr>
        <w:t>statistikos departamentas</w:t>
      </w:r>
    </w:p>
    <w:p w:rsidR="00837BB8" w:rsidRDefault="00837BB8" w:rsidP="00837BB8">
      <w:pPr>
        <w:pStyle w:val="NoSpacing"/>
        <w:tabs>
          <w:tab w:val="left" w:pos="5670"/>
        </w:tabs>
        <w:jc w:val="both"/>
        <w:rPr>
          <w:rFonts w:ascii="Times New Roman" w:hAnsi="Times New Roman" w:cs="Times New Roman"/>
          <w:sz w:val="24"/>
          <w:szCs w:val="24"/>
        </w:rPr>
      </w:pPr>
    </w:p>
    <w:p w:rsidR="000B14ED" w:rsidRDefault="00D8096E" w:rsidP="00AD5134">
      <w:pPr>
        <w:pStyle w:val="NoSpacing"/>
        <w:tabs>
          <w:tab w:val="left" w:pos="5670"/>
        </w:tabs>
        <w:ind w:left="426"/>
        <w:jc w:val="both"/>
        <w:rPr>
          <w:rFonts w:ascii="Times New Roman" w:hAnsi="Times New Roman" w:cs="Times New Roman"/>
          <w:sz w:val="24"/>
          <w:szCs w:val="24"/>
        </w:rPr>
      </w:pPr>
      <w:r w:rsidRPr="000F6A82">
        <w:rPr>
          <w:rFonts w:ascii="Times New Roman" w:hAnsi="Times New Roman" w:cs="Times New Roman"/>
          <w:sz w:val="24"/>
          <w:szCs w:val="24"/>
        </w:rPr>
        <w:t xml:space="preserve">Darbo jėga 2017 m. pirmąjį pusmetį sumažėjo 1,1 proc., arba 16,1 tūkst. asmenų. Nepalankios demografinės tendencijos turėjo neigiamą įtaką užimtumo rodikliams – pirmąjį 2017 m. pusmetį užimtųjų skaičius šalyje sumažėjo 0,4 proc. </w:t>
      </w:r>
    </w:p>
    <w:p w:rsidR="00837BB8" w:rsidRPr="00837BB8" w:rsidRDefault="002C28E2" w:rsidP="00837BB8">
      <w:pPr>
        <w:autoSpaceDE w:val="0"/>
        <w:autoSpaceDN w:val="0"/>
        <w:adjustRightInd w:val="0"/>
        <w:ind w:left="426"/>
        <w:jc w:val="both"/>
        <w:rPr>
          <w:rFonts w:ascii="Times New Roman" w:eastAsiaTheme="minorEastAsia" w:hAnsi="Times New Roman"/>
          <w:sz w:val="24"/>
          <w:szCs w:val="24"/>
          <w:vertAlign w:val="superscript"/>
          <w:lang w:eastAsia="zh-CN"/>
        </w:rPr>
      </w:pPr>
      <w:r w:rsidRPr="008F0245">
        <w:rPr>
          <w:rFonts w:ascii="Times New Roman" w:eastAsiaTheme="minorEastAsia" w:hAnsi="Times New Roman"/>
          <w:bCs/>
          <w:i/>
          <w:sz w:val="24"/>
          <w:szCs w:val="24"/>
          <w:lang w:eastAsia="zh-CN"/>
        </w:rPr>
        <w:t>Pokyčiai darbo rinkoje tur</w:t>
      </w:r>
      <w:r w:rsidR="00056FAE" w:rsidRPr="008F0245">
        <w:rPr>
          <w:rFonts w:ascii="Times New Roman" w:eastAsiaTheme="minorEastAsia" w:hAnsi="Times New Roman"/>
          <w:bCs/>
          <w:i/>
          <w:sz w:val="24"/>
          <w:szCs w:val="24"/>
          <w:lang w:eastAsia="zh-CN"/>
        </w:rPr>
        <w:t>ė</w:t>
      </w:r>
      <w:r w:rsidRPr="008F0245">
        <w:rPr>
          <w:rFonts w:ascii="Times New Roman" w:eastAsiaTheme="minorEastAsia" w:hAnsi="Times New Roman"/>
          <w:bCs/>
          <w:i/>
          <w:sz w:val="24"/>
          <w:szCs w:val="24"/>
          <w:lang w:eastAsia="zh-CN"/>
        </w:rPr>
        <w:t>s tiesioginį poveikį privačiojo vartojimo raidai.</w:t>
      </w:r>
      <w:r w:rsidRPr="00056FAE">
        <w:rPr>
          <w:rFonts w:ascii="Times New Roman" w:eastAsiaTheme="minorEastAsia" w:hAnsi="Times New Roman"/>
          <w:b/>
          <w:bCs/>
          <w:sz w:val="24"/>
          <w:szCs w:val="24"/>
          <w:lang w:eastAsia="zh-CN"/>
        </w:rPr>
        <w:t xml:space="preserve"> </w:t>
      </w:r>
      <w:r w:rsidRPr="00056FAE">
        <w:rPr>
          <w:rFonts w:ascii="Times New Roman" w:eastAsiaTheme="minorEastAsia" w:hAnsi="Times New Roman"/>
          <w:sz w:val="24"/>
          <w:szCs w:val="24"/>
          <w:lang w:eastAsia="zh-CN"/>
        </w:rPr>
        <w:t>Šio vartojimo pl</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trą palaipsniui mažins ne tik</w:t>
      </w:r>
      <w:r w:rsidR="00056FAE" w:rsidRPr="00056FAE">
        <w:rPr>
          <w:rFonts w:ascii="Times New Roman" w:eastAsiaTheme="minorEastAsia" w:hAnsi="Times New Roman"/>
          <w:sz w:val="24"/>
          <w:szCs w:val="24"/>
          <w:lang w:eastAsia="zh-CN"/>
        </w:rPr>
        <w:t xml:space="preserve"> </w:t>
      </w:r>
      <w:r w:rsidRPr="00056FAE">
        <w:rPr>
          <w:rFonts w:ascii="Times New Roman" w:eastAsiaTheme="minorEastAsia" w:hAnsi="Times New Roman"/>
          <w:sz w:val="24"/>
          <w:szCs w:val="24"/>
          <w:lang w:eastAsia="zh-CN"/>
        </w:rPr>
        <w:t>mąžtantis dirbančiųjų skaičius, bet ir vis labiau senkančios galimyb</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s daug kelti darbo užmokestį. Darbdaviams trūksta darbuotojų</w:t>
      </w:r>
      <w:r w:rsidR="00056FAE" w:rsidRPr="00056FAE">
        <w:rPr>
          <w:rFonts w:ascii="Times New Roman" w:eastAsiaTheme="minorEastAsia" w:hAnsi="Times New Roman"/>
          <w:sz w:val="24"/>
          <w:szCs w:val="24"/>
          <w:lang w:eastAsia="zh-CN"/>
        </w:rPr>
        <w:t xml:space="preserve">, </w:t>
      </w:r>
      <w:r w:rsidRPr="00056FAE">
        <w:rPr>
          <w:rFonts w:ascii="Times New Roman" w:eastAsiaTheme="minorEastAsia" w:hAnsi="Times New Roman"/>
          <w:sz w:val="24"/>
          <w:szCs w:val="24"/>
          <w:lang w:eastAsia="zh-CN"/>
        </w:rPr>
        <w:t>ypač kvalifikuotų, tod</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l įtampa darbo rinkoje gana didel</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 Kelerius metus darbo sąnaudos did</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jo da</w:t>
      </w:r>
      <w:r w:rsidR="00056FAE" w:rsidRPr="00056FAE">
        <w:rPr>
          <w:rFonts w:ascii="Times New Roman" w:eastAsiaTheme="minorEastAsia" w:hAnsi="Times New Roman"/>
          <w:sz w:val="24"/>
          <w:szCs w:val="24"/>
          <w:lang w:eastAsia="zh-CN"/>
        </w:rPr>
        <w:t xml:space="preserve">ugiau, nei kilo visa ekonomika, </w:t>
      </w:r>
      <w:r w:rsidRPr="00056FAE">
        <w:rPr>
          <w:rFonts w:ascii="Times New Roman" w:eastAsiaTheme="minorEastAsia" w:hAnsi="Times New Roman"/>
          <w:sz w:val="24"/>
          <w:szCs w:val="24"/>
          <w:lang w:eastAsia="zh-CN"/>
        </w:rPr>
        <w:t>tod</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l samdomiesiems darbuotojams atiteko vis didesn</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 xml:space="preserve"> sukurtos prid</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tin</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s vert</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s dalis. Ji, palygin</w:t>
      </w:r>
      <w:r w:rsidR="00056FAE" w:rsidRPr="00056FAE">
        <w:rPr>
          <w:rFonts w:ascii="Times New Roman" w:eastAsiaTheme="minorEastAsia" w:hAnsi="Times New Roman"/>
          <w:sz w:val="24"/>
          <w:szCs w:val="24"/>
          <w:lang w:eastAsia="zh-CN"/>
        </w:rPr>
        <w:t xml:space="preserve">ti su praeities duomenimis, jau </w:t>
      </w:r>
      <w:r w:rsidRPr="00056FAE">
        <w:rPr>
          <w:rFonts w:ascii="Times New Roman" w:eastAsiaTheme="minorEastAsia" w:hAnsi="Times New Roman"/>
          <w:sz w:val="24"/>
          <w:szCs w:val="24"/>
          <w:lang w:eastAsia="zh-CN"/>
        </w:rPr>
        <w:t>dabar gana didel</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 tod</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l nereik</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tų tik</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tis, kad toliau did</w:t>
      </w:r>
      <w:r w:rsidR="00056FAE">
        <w:rPr>
          <w:rFonts w:ascii="Times New Roman" w:eastAsiaTheme="minorEastAsia" w:hAnsi="Times New Roman"/>
          <w:sz w:val="24"/>
          <w:szCs w:val="24"/>
          <w:lang w:eastAsia="zh-CN"/>
        </w:rPr>
        <w:t>ė</w:t>
      </w:r>
      <w:r w:rsidRPr="00056FAE">
        <w:rPr>
          <w:rFonts w:ascii="Times New Roman" w:eastAsiaTheme="minorEastAsia" w:hAnsi="Times New Roman"/>
          <w:sz w:val="24"/>
          <w:szCs w:val="24"/>
          <w:lang w:eastAsia="zh-CN"/>
        </w:rPr>
        <w:t>s tiek daug, kiek iki šiol.</w:t>
      </w:r>
      <w:r w:rsidR="00056FAE" w:rsidRPr="00056FAE">
        <w:rPr>
          <w:rFonts w:ascii="Times New Roman" w:eastAsiaTheme="minorEastAsia" w:hAnsi="Times New Roman"/>
          <w:sz w:val="24"/>
          <w:szCs w:val="24"/>
          <w:vertAlign w:val="superscript"/>
          <w:lang w:eastAsia="zh-CN"/>
        </w:rPr>
        <w:t>2</w:t>
      </w:r>
    </w:p>
    <w:p w:rsidR="00837BB8" w:rsidRDefault="00837BB8" w:rsidP="00837BB8">
      <w:pPr>
        <w:pStyle w:val="NoSpacing"/>
        <w:tabs>
          <w:tab w:val="left" w:pos="5670"/>
        </w:tabs>
        <w:ind w:left="426"/>
        <w:jc w:val="both"/>
        <w:rPr>
          <w:rFonts w:ascii="Times New Roman" w:hAnsi="Times New Roman" w:cs="Times New Roman"/>
          <w:sz w:val="24"/>
          <w:szCs w:val="24"/>
        </w:rPr>
      </w:pPr>
      <w:r w:rsidRPr="008F0245">
        <w:rPr>
          <w:rFonts w:ascii="Times New Roman" w:hAnsi="Times New Roman" w:cs="Times New Roman"/>
          <w:i/>
          <w:sz w:val="24"/>
          <w:szCs w:val="24"/>
        </w:rPr>
        <w:t>Lietuvoje aukščiausias nelygybės rodiklis Europos Sąjungoje.</w:t>
      </w:r>
      <w:r w:rsidRPr="000F6A82">
        <w:rPr>
          <w:rFonts w:ascii="Times New Roman" w:hAnsi="Times New Roman" w:cs="Times New Roman"/>
          <w:b/>
          <w:sz w:val="24"/>
          <w:szCs w:val="24"/>
        </w:rPr>
        <w:t xml:space="preserve"> </w:t>
      </w:r>
      <w:r w:rsidRPr="000F6A82">
        <w:rPr>
          <w:rFonts w:ascii="Times New Roman" w:hAnsi="Times New Roman" w:cs="Times New Roman"/>
          <w:sz w:val="24"/>
          <w:szCs w:val="24"/>
        </w:rPr>
        <w:t>Didelė dalis skurstančių – tvarkingi, dirbantys, už mažą (minimalų ar net mažesnį) atlygį šeimas išlaikyti bandantys žmonės, taip pat darbo nerandantys ar visą gyvenimą dirbę pensinio amžiaus asmenys. 2016 metais 20-ties procentų turtingiausių ir 20-ties procentų vargingiausiai gyvenančiųjų pajamos Lietuvoje skyrėsi 7 kartus. Neįgyvendinus tinkamų reformų socialinei nelygybei  mažinti, kyla dar didesnė grėsmė socialinės nelygybės ir emigracijos didėjimui.</w:t>
      </w:r>
    </w:p>
    <w:p w:rsidR="008F0245" w:rsidRDefault="008F0245" w:rsidP="00837BB8">
      <w:pPr>
        <w:pStyle w:val="NoSpacing"/>
        <w:tabs>
          <w:tab w:val="left" w:pos="5670"/>
        </w:tabs>
        <w:ind w:left="426"/>
        <w:jc w:val="both"/>
        <w:rPr>
          <w:rFonts w:ascii="Times New Roman" w:hAnsi="Times New Roman" w:cs="Times New Roman"/>
          <w:b/>
          <w:sz w:val="24"/>
          <w:szCs w:val="24"/>
        </w:rPr>
      </w:pPr>
    </w:p>
    <w:p w:rsidR="008F0245" w:rsidRPr="000F6A82" w:rsidRDefault="008F0245" w:rsidP="00837BB8">
      <w:pPr>
        <w:pStyle w:val="NoSpacing"/>
        <w:tabs>
          <w:tab w:val="left" w:pos="5670"/>
        </w:tabs>
        <w:ind w:left="426"/>
        <w:jc w:val="both"/>
        <w:rPr>
          <w:rFonts w:ascii="Times New Roman" w:hAnsi="Times New Roman" w:cs="Times New Roman"/>
          <w:b/>
          <w:sz w:val="24"/>
          <w:szCs w:val="24"/>
        </w:rPr>
      </w:pPr>
    </w:p>
    <w:p w:rsidR="002C28E2" w:rsidRPr="00056FAE" w:rsidRDefault="008F0245" w:rsidP="00056FAE">
      <w:pPr>
        <w:pStyle w:val="NoSpacing"/>
        <w:tabs>
          <w:tab w:val="left" w:pos="5670"/>
        </w:tabs>
        <w:ind w:left="426"/>
        <w:jc w:val="both"/>
        <w:rPr>
          <w:rFonts w:ascii="Times New Roman" w:hAnsi="Times New Roman" w:cs="Times New Roman"/>
          <w:sz w:val="24"/>
          <w:szCs w:val="24"/>
        </w:rPr>
      </w:pPr>
      <w:r>
        <w:rPr>
          <w:rFonts w:ascii="Times New Roman" w:hAnsi="Times New Roman" w:cs="Times New Roman"/>
          <w:sz w:val="24"/>
          <w:szCs w:val="24"/>
        </w:rPr>
        <w:t>_________________________</w:t>
      </w:r>
    </w:p>
    <w:p w:rsidR="002C28E2" w:rsidRPr="000F6A82" w:rsidRDefault="008F0245" w:rsidP="002C28E2">
      <w:pPr>
        <w:pStyle w:val="NoSpacing"/>
        <w:tabs>
          <w:tab w:val="left" w:pos="5670"/>
        </w:tabs>
        <w:ind w:left="426"/>
        <w:jc w:val="both"/>
        <w:rPr>
          <w:rFonts w:ascii="Times New Roman" w:hAnsi="Times New Roman" w:cs="Times New Roman"/>
          <w:sz w:val="24"/>
          <w:szCs w:val="24"/>
        </w:rPr>
      </w:pPr>
      <w:r w:rsidRPr="008F0245">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2C28E2" w:rsidRPr="002C28E2">
        <w:rPr>
          <w:rFonts w:ascii="Times New Roman" w:hAnsi="Times New Roman" w:cs="Times New Roman"/>
          <w:sz w:val="24"/>
          <w:szCs w:val="24"/>
        </w:rPr>
        <w:t>https://www.lb.lt/lt/mv-ekonomikos-analize-ir-prognozes</w:t>
      </w:r>
    </w:p>
    <w:p w:rsidR="00004DD7" w:rsidRPr="00CB62A1" w:rsidRDefault="00004DD7" w:rsidP="00AD5134">
      <w:pPr>
        <w:pStyle w:val="NoSpacing"/>
        <w:tabs>
          <w:tab w:val="left" w:pos="5670"/>
        </w:tabs>
        <w:ind w:left="426" w:firstLine="567"/>
        <w:jc w:val="both"/>
        <w:rPr>
          <w:rFonts w:ascii="Times New Roman" w:hAnsi="Times New Roman" w:cs="Times New Roman"/>
          <w:b/>
          <w:sz w:val="24"/>
          <w:szCs w:val="24"/>
        </w:rPr>
      </w:pPr>
    </w:p>
    <w:p w:rsidR="00CD0DE1" w:rsidRDefault="00CD0DE1" w:rsidP="00AD5134">
      <w:pPr>
        <w:ind w:left="426"/>
        <w:rPr>
          <w:rFonts w:ascii="Times New Roman" w:hAnsi="Times New Roman"/>
          <w:b/>
          <w:sz w:val="24"/>
          <w:szCs w:val="24"/>
        </w:rPr>
      </w:pPr>
    </w:p>
    <w:p w:rsidR="00CD0DE1" w:rsidRDefault="00CD0DE1" w:rsidP="00AD5134">
      <w:pPr>
        <w:ind w:left="426"/>
        <w:rPr>
          <w:rFonts w:ascii="Times New Roman" w:hAnsi="Times New Roman"/>
          <w:b/>
          <w:sz w:val="24"/>
          <w:szCs w:val="24"/>
        </w:rPr>
      </w:pPr>
    </w:p>
    <w:p w:rsidR="008F393D" w:rsidRPr="00AD5134" w:rsidRDefault="008F393D" w:rsidP="00AD5134">
      <w:pPr>
        <w:ind w:left="426"/>
        <w:rPr>
          <w:rFonts w:ascii="Times New Roman" w:hAnsi="Times New Roman"/>
          <w:b/>
          <w:sz w:val="24"/>
          <w:szCs w:val="24"/>
        </w:rPr>
      </w:pPr>
      <w:r w:rsidRPr="00AD5134">
        <w:rPr>
          <w:rFonts w:ascii="Times New Roman" w:hAnsi="Times New Roman"/>
          <w:b/>
          <w:sz w:val="24"/>
          <w:szCs w:val="24"/>
        </w:rPr>
        <w:lastRenderedPageBreak/>
        <w:t>Švietimo sistema</w:t>
      </w:r>
    </w:p>
    <w:p w:rsidR="008F393D" w:rsidRPr="00AD5134" w:rsidRDefault="008F393D" w:rsidP="00AD5134">
      <w:pPr>
        <w:ind w:left="426"/>
        <w:rPr>
          <w:rFonts w:ascii="Times New Roman" w:hAnsi="Times New Roman"/>
          <w:sz w:val="24"/>
          <w:szCs w:val="24"/>
        </w:rPr>
      </w:pPr>
    </w:p>
    <w:p w:rsidR="000F6A82" w:rsidRPr="00AD5134" w:rsidRDefault="001B452A" w:rsidP="00AD5134">
      <w:pPr>
        <w:ind w:left="426"/>
        <w:jc w:val="both"/>
        <w:rPr>
          <w:rFonts w:ascii="Times New Roman" w:hAnsi="Times New Roman"/>
          <w:sz w:val="24"/>
          <w:szCs w:val="24"/>
        </w:rPr>
      </w:pPr>
      <w:r w:rsidRPr="00AD5134">
        <w:rPr>
          <w:rFonts w:ascii="Times New Roman" w:hAnsi="Times New Roman"/>
          <w:sz w:val="24"/>
          <w:szCs w:val="24"/>
        </w:rPr>
        <w:t>Eurostato 2015 m. duomenimis, Lietuvoje bendras procentas, tenkantis švietimui nuo BVP buvo 5,4 proc. Nepaisant sąlyginai nemenko procento nuo BVP, skiriamo švietimui, vienam moksleiviui tenkanti suma yra viena mažiausių lyginant su Europos Sąjungos</w:t>
      </w:r>
      <w:r w:rsidR="008F0245" w:rsidRPr="008F0245">
        <w:rPr>
          <w:rFonts w:ascii="Times New Roman" w:hAnsi="Times New Roman"/>
          <w:sz w:val="24"/>
          <w:szCs w:val="24"/>
          <w:vertAlign w:val="superscript"/>
        </w:rPr>
        <w:t>3</w:t>
      </w:r>
      <w:r w:rsidRPr="00AD5134">
        <w:rPr>
          <w:rFonts w:ascii="Times New Roman" w:hAnsi="Times New Roman"/>
          <w:sz w:val="24"/>
          <w:szCs w:val="24"/>
        </w:rPr>
        <w:t xml:space="preserve">.  </w:t>
      </w:r>
      <w:r w:rsidR="000F6A82" w:rsidRPr="00AD5134">
        <w:rPr>
          <w:rFonts w:ascii="Times New Roman" w:hAnsi="Times New Roman"/>
          <w:sz w:val="24"/>
          <w:szCs w:val="24"/>
        </w:rPr>
        <w:t xml:space="preserve">Vienam mokiniui tenkanti lėšų suma 2015 m. tarp kai kurių savivaldybių skyrėsi 3 kartus. Daugiausiai lėšų teko mažesnėms savivaldybėms. </w:t>
      </w:r>
      <w:r w:rsidRPr="00AD5134">
        <w:rPr>
          <w:rFonts w:ascii="Times New Roman" w:hAnsi="Times New Roman"/>
          <w:sz w:val="24"/>
          <w:szCs w:val="24"/>
        </w:rPr>
        <w:t>Tačiau Lietuvos</w:t>
      </w:r>
      <w:r w:rsidR="00072266" w:rsidRPr="00AD5134">
        <w:rPr>
          <w:rFonts w:ascii="Times New Roman" w:hAnsi="Times New Roman"/>
          <w:sz w:val="24"/>
          <w:szCs w:val="24"/>
        </w:rPr>
        <w:t xml:space="preserve"> laisvosios rinkos instituto</w:t>
      </w:r>
      <w:r w:rsidRPr="00AD5134">
        <w:rPr>
          <w:rFonts w:ascii="Times New Roman" w:hAnsi="Times New Roman"/>
          <w:sz w:val="24"/>
          <w:szCs w:val="24"/>
        </w:rPr>
        <w:t xml:space="preserve"> atlikto tyrimo </w:t>
      </w:r>
      <w:r w:rsidR="000F6A82" w:rsidRPr="00AD5134">
        <w:rPr>
          <w:rFonts w:ascii="Times New Roman" w:hAnsi="Times New Roman"/>
          <w:sz w:val="24"/>
          <w:szCs w:val="24"/>
        </w:rPr>
        <w:t>f</w:t>
      </w:r>
      <w:r w:rsidRPr="00AD5134">
        <w:rPr>
          <w:rFonts w:ascii="Times New Roman" w:hAnsi="Times New Roman"/>
          <w:sz w:val="24"/>
          <w:szCs w:val="24"/>
        </w:rPr>
        <w:t>aktiniai duomenys rodo, kad nėra statistiškai reikšmingo ryšio tarp mokyklų</w:t>
      </w:r>
      <w:r w:rsidR="000F6A82" w:rsidRPr="00AD5134">
        <w:rPr>
          <w:rFonts w:ascii="Times New Roman" w:hAnsi="Times New Roman"/>
          <w:sz w:val="24"/>
          <w:szCs w:val="24"/>
        </w:rPr>
        <w:t xml:space="preserve"> finansavimo ir valstybinių brandos egzaminų rezultatų</w:t>
      </w:r>
      <w:r w:rsidR="00B91251" w:rsidRPr="00B91251">
        <w:rPr>
          <w:rFonts w:ascii="Times New Roman" w:hAnsi="Times New Roman"/>
          <w:sz w:val="24"/>
          <w:szCs w:val="24"/>
          <w:vertAlign w:val="superscript"/>
        </w:rPr>
        <w:t>4</w:t>
      </w:r>
      <w:r w:rsidR="000F6A82" w:rsidRPr="00AD5134">
        <w:rPr>
          <w:rFonts w:ascii="Times New Roman" w:hAnsi="Times New Roman"/>
          <w:sz w:val="24"/>
          <w:szCs w:val="24"/>
        </w:rPr>
        <w:t>.</w:t>
      </w:r>
    </w:p>
    <w:p w:rsidR="000F6A82" w:rsidRPr="00AD5134" w:rsidRDefault="000F6A82" w:rsidP="00AD5134">
      <w:pPr>
        <w:pStyle w:val="NoSpacing"/>
        <w:ind w:left="426"/>
        <w:rPr>
          <w:rFonts w:ascii="Times New Roman" w:hAnsi="Times New Roman" w:cs="Times New Roman"/>
          <w:sz w:val="24"/>
          <w:szCs w:val="24"/>
        </w:rPr>
      </w:pPr>
    </w:p>
    <w:p w:rsidR="001B452A" w:rsidRPr="00F07F55" w:rsidRDefault="00AD5134" w:rsidP="00AD5134">
      <w:pPr>
        <w:spacing w:line="259" w:lineRule="auto"/>
        <w:ind w:left="-567"/>
        <w:jc w:val="both"/>
        <w:rPr>
          <w:rFonts w:ascii="Times New Roman" w:hAnsi="Times New Roman"/>
          <w:bCs/>
          <w:sz w:val="24"/>
          <w:szCs w:val="24"/>
        </w:rPr>
      </w:pPr>
      <w:r>
        <w:rPr>
          <w:noProof/>
        </w:rPr>
        <w:drawing>
          <wp:inline distT="0" distB="0" distL="0" distR="0" wp14:anchorId="2A7E33BC" wp14:editId="6AA62CC4">
            <wp:extent cx="6977431" cy="3542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05" t="33322" r="21244" b="13740"/>
                    <a:stretch/>
                  </pic:blipFill>
                  <pic:spPr bwMode="auto">
                    <a:xfrm>
                      <a:off x="0" y="0"/>
                      <a:ext cx="6996751" cy="3552474"/>
                    </a:xfrm>
                    <a:prstGeom prst="rect">
                      <a:avLst/>
                    </a:prstGeom>
                    <a:ln>
                      <a:noFill/>
                    </a:ln>
                    <a:extLst>
                      <a:ext uri="{53640926-AAD7-44D8-BBD7-CCE9431645EC}">
                        <a14:shadowObscured xmlns:a14="http://schemas.microsoft.com/office/drawing/2010/main"/>
                      </a:ext>
                    </a:extLst>
                  </pic:spPr>
                </pic:pic>
              </a:graphicData>
            </a:graphic>
          </wp:inline>
        </w:drawing>
      </w:r>
    </w:p>
    <w:p w:rsidR="00AD5134" w:rsidRDefault="00AD5134" w:rsidP="00AD5134">
      <w:pPr>
        <w:spacing w:line="259" w:lineRule="auto"/>
        <w:ind w:left="426"/>
        <w:jc w:val="right"/>
        <w:rPr>
          <w:rFonts w:ascii="Times New Roman" w:hAnsi="Times New Roman"/>
          <w:sz w:val="20"/>
          <w:szCs w:val="20"/>
        </w:rPr>
      </w:pPr>
    </w:p>
    <w:p w:rsidR="008F0245" w:rsidRPr="008F0245" w:rsidRDefault="008F0245" w:rsidP="008F0245">
      <w:pPr>
        <w:spacing w:line="259" w:lineRule="auto"/>
        <w:ind w:left="426"/>
        <w:jc w:val="center"/>
        <w:rPr>
          <w:rFonts w:ascii="Times New Roman" w:hAnsi="Times New Roman"/>
          <w:b/>
          <w:noProof/>
        </w:rPr>
      </w:pPr>
      <w:r>
        <w:rPr>
          <w:rFonts w:ascii="Times New Roman" w:hAnsi="Times New Roman"/>
          <w:b/>
          <w:noProof/>
        </w:rPr>
        <w:t xml:space="preserve">6 pav. </w:t>
      </w:r>
      <w:r w:rsidRPr="008F0245">
        <w:rPr>
          <w:rFonts w:ascii="Times New Roman" w:hAnsi="Times New Roman"/>
          <w:b/>
          <w:noProof/>
        </w:rPr>
        <w:t>Vienam mokiniui tenkančių lėšų (mokinio krepšelis ir aplinkos išlaikymo lėšos) bei egzaminų rezultatų ryšys 2015 m.</w:t>
      </w:r>
    </w:p>
    <w:p w:rsidR="00AD5134" w:rsidRDefault="00AD5134" w:rsidP="008F0245">
      <w:pPr>
        <w:spacing w:line="259" w:lineRule="auto"/>
        <w:jc w:val="center"/>
        <w:rPr>
          <w:rFonts w:ascii="Times New Roman" w:hAnsi="Times New Roman"/>
          <w:sz w:val="20"/>
          <w:szCs w:val="20"/>
          <w:vertAlign w:val="superscript"/>
        </w:rPr>
      </w:pPr>
      <w:r w:rsidRPr="002F641B">
        <w:rPr>
          <w:rFonts w:ascii="Times New Roman" w:hAnsi="Times New Roman"/>
          <w:sz w:val="20"/>
          <w:szCs w:val="20"/>
        </w:rPr>
        <w:t xml:space="preserve">Šaltinis: </w:t>
      </w:r>
      <w:r w:rsidRPr="00AD5134">
        <w:rPr>
          <w:rFonts w:ascii="Times New Roman" w:hAnsi="Times New Roman"/>
          <w:bCs/>
          <w:sz w:val="20"/>
          <w:szCs w:val="20"/>
        </w:rPr>
        <w:t>Lietuvos laisvosios rinkos institutas</w:t>
      </w:r>
    </w:p>
    <w:p w:rsidR="00AD5134" w:rsidRDefault="00072266" w:rsidP="006A2018">
      <w:pPr>
        <w:spacing w:before="100" w:beforeAutospacing="1" w:after="100" w:afterAutospacing="1"/>
        <w:ind w:left="426" w:right="-2"/>
        <w:jc w:val="both"/>
        <w:rPr>
          <w:rFonts w:ascii="Times New Roman" w:eastAsia="Times New Roman" w:hAnsi="Times New Roman"/>
          <w:bCs/>
          <w:sz w:val="24"/>
          <w:szCs w:val="24"/>
        </w:rPr>
      </w:pPr>
      <w:r>
        <w:rPr>
          <w:rFonts w:ascii="Times New Roman" w:eastAsia="Times New Roman" w:hAnsi="Times New Roman"/>
          <w:bCs/>
          <w:sz w:val="24"/>
          <w:szCs w:val="24"/>
        </w:rPr>
        <w:t>Europos Komisijos ataskaitoje (2016) pripažįstama, kad Lietuvoje yra svarbių trūkumų, susijusių su mokinių bendraisiais gebėjimais ir ugdymo kokybe. Tai liudija konkretūs pagrindinio ugdymo</w:t>
      </w:r>
      <w:r w:rsidR="00AF63CB">
        <w:rPr>
          <w:rFonts w:ascii="Times New Roman" w:eastAsia="Times New Roman" w:hAnsi="Times New Roman"/>
          <w:bCs/>
          <w:sz w:val="24"/>
          <w:szCs w:val="24"/>
        </w:rPr>
        <w:t xml:space="preserve"> pasiekimų patikrinimo ir valstybinių egzaminų rezultatai, Taip pat, tarptautinio tyrimo EBPO (Ekonominio bendradarbiavimo ir plėtros organizacija) PISA (2015) duomenimis, Lietuvos penkiolikmečių matematinis, gamtamokslinis raštingumas ir skaitymo gebėjimai yra reikšmingai mažesni už EBPO šalių vidurkį</w:t>
      </w:r>
      <w:r w:rsidR="00B91251" w:rsidRPr="00B91251">
        <w:rPr>
          <w:rFonts w:ascii="Times New Roman" w:eastAsia="Times New Roman" w:hAnsi="Times New Roman"/>
          <w:bCs/>
          <w:sz w:val="24"/>
          <w:szCs w:val="24"/>
          <w:vertAlign w:val="superscript"/>
        </w:rPr>
        <w:t>5</w:t>
      </w:r>
      <w:r w:rsidR="00AD5134">
        <w:rPr>
          <w:rFonts w:ascii="Times New Roman" w:eastAsia="Times New Roman" w:hAnsi="Times New Roman"/>
          <w:bCs/>
          <w:sz w:val="24"/>
          <w:szCs w:val="24"/>
        </w:rPr>
        <w:t>.</w:t>
      </w:r>
    </w:p>
    <w:p w:rsidR="006A2018" w:rsidRPr="00AD5134" w:rsidRDefault="006A2018" w:rsidP="006A2018">
      <w:pPr>
        <w:spacing w:before="100" w:beforeAutospacing="1" w:after="100" w:afterAutospacing="1"/>
        <w:ind w:left="426" w:right="-2"/>
        <w:jc w:val="both"/>
        <w:rPr>
          <w:rFonts w:ascii="Times New Roman" w:eastAsia="Times New Roman" w:hAnsi="Times New Roman"/>
          <w:bCs/>
          <w:sz w:val="24"/>
          <w:szCs w:val="24"/>
        </w:rPr>
      </w:pPr>
    </w:p>
    <w:p w:rsidR="00AD5134" w:rsidRDefault="00B91251" w:rsidP="00B91251">
      <w:pPr>
        <w:spacing w:before="100" w:beforeAutospacing="1" w:after="100" w:afterAutospacing="1"/>
        <w:ind w:left="567" w:right="-2" w:hanging="141"/>
        <w:jc w:val="both"/>
        <w:rPr>
          <w:rFonts w:ascii="Times New Roman" w:eastAsia="Times New Roman" w:hAnsi="Times New Roman"/>
          <w:bCs/>
          <w:sz w:val="24"/>
          <w:szCs w:val="24"/>
          <w:u w:val="single"/>
        </w:rPr>
      </w:pPr>
      <w:r>
        <w:rPr>
          <w:rFonts w:ascii="Times New Roman" w:eastAsia="Times New Roman" w:hAnsi="Times New Roman"/>
          <w:bCs/>
          <w:sz w:val="24"/>
          <w:szCs w:val="24"/>
          <w:u w:val="single"/>
        </w:rPr>
        <w:t>_______________________</w:t>
      </w:r>
    </w:p>
    <w:p w:rsidR="00AD5134" w:rsidRDefault="008F0245" w:rsidP="006A2018">
      <w:pPr>
        <w:ind w:left="284"/>
        <w:jc w:val="both"/>
        <w:rPr>
          <w:rFonts w:ascii="Times New Roman" w:eastAsia="Times New Roman" w:hAnsi="Times New Roman"/>
          <w:bCs/>
          <w:sz w:val="24"/>
          <w:szCs w:val="24"/>
        </w:rPr>
      </w:pPr>
      <w:r w:rsidRPr="008F0245">
        <w:rPr>
          <w:rFonts w:ascii="Times New Roman" w:eastAsia="Times New Roman" w:hAnsi="Times New Roman"/>
          <w:bCs/>
          <w:sz w:val="24"/>
          <w:szCs w:val="24"/>
          <w:vertAlign w:val="superscript"/>
        </w:rPr>
        <w:t>3</w:t>
      </w:r>
      <w:r>
        <w:rPr>
          <w:rFonts w:ascii="Times New Roman" w:eastAsia="Times New Roman" w:hAnsi="Times New Roman"/>
          <w:bCs/>
          <w:sz w:val="24"/>
          <w:szCs w:val="24"/>
        </w:rPr>
        <w:t xml:space="preserve"> Europos Sąjungos statistikos tarnybos duomenys </w:t>
      </w:r>
      <w:hyperlink r:id="rId13" w:history="1">
        <w:r w:rsidR="00B91251" w:rsidRPr="002D55CD">
          <w:rPr>
            <w:rStyle w:val="Hyperlink"/>
            <w:rFonts w:ascii="Times New Roman" w:eastAsia="Times New Roman" w:hAnsi="Times New Roman"/>
            <w:bCs/>
            <w:sz w:val="24"/>
            <w:szCs w:val="24"/>
          </w:rPr>
          <w:t>http://ec.europa.eu/eurostat/statistics-explained/index.php/File:Total_general_government_expenditure_on_education,_2015_(%25_of_GDP_%25_of_total_expenditure)-T1.png</w:t>
        </w:r>
      </w:hyperlink>
      <w:r w:rsidR="00B91251">
        <w:rPr>
          <w:rFonts w:ascii="Times New Roman" w:eastAsia="Times New Roman" w:hAnsi="Times New Roman"/>
          <w:bCs/>
          <w:sz w:val="24"/>
          <w:szCs w:val="24"/>
        </w:rPr>
        <w:t xml:space="preserve"> </w:t>
      </w:r>
    </w:p>
    <w:p w:rsidR="00B91251" w:rsidRDefault="00B91251" w:rsidP="006A2018">
      <w:pPr>
        <w:ind w:left="284"/>
        <w:jc w:val="both"/>
        <w:rPr>
          <w:rFonts w:ascii="Times New Roman" w:eastAsia="Times New Roman" w:hAnsi="Times New Roman"/>
          <w:bCs/>
          <w:sz w:val="24"/>
          <w:szCs w:val="24"/>
        </w:rPr>
      </w:pPr>
      <w:r w:rsidRPr="00B91251">
        <w:rPr>
          <w:rFonts w:ascii="Times New Roman" w:eastAsia="Times New Roman" w:hAnsi="Times New Roman"/>
          <w:bCs/>
          <w:sz w:val="24"/>
          <w:szCs w:val="24"/>
          <w:vertAlign w:val="superscript"/>
        </w:rPr>
        <w:t>4</w:t>
      </w:r>
      <w:r>
        <w:rPr>
          <w:rFonts w:ascii="Times New Roman" w:eastAsia="Times New Roman" w:hAnsi="Times New Roman"/>
          <w:bCs/>
          <w:sz w:val="24"/>
          <w:szCs w:val="24"/>
        </w:rPr>
        <w:t xml:space="preserve"> Lietuvos laisvosios rinkos instituto analizė „Švietimo infrastruktūros ir finansavimo netolygumai“ </w:t>
      </w:r>
      <w:hyperlink r:id="rId14" w:history="1">
        <w:r w:rsidRPr="002D55CD">
          <w:rPr>
            <w:rStyle w:val="Hyperlink"/>
            <w:rFonts w:ascii="Times New Roman" w:eastAsia="Times New Roman" w:hAnsi="Times New Roman"/>
            <w:bCs/>
            <w:sz w:val="24"/>
            <w:szCs w:val="24"/>
          </w:rPr>
          <w:t>https://www.llri.lt/wp-content/uploads/2017/01/PB-Svietimas_01_11.pdf</w:t>
        </w:r>
      </w:hyperlink>
    </w:p>
    <w:p w:rsidR="00B91251" w:rsidRDefault="00B91251" w:rsidP="006A2018">
      <w:pPr>
        <w:ind w:left="284"/>
        <w:jc w:val="both"/>
        <w:rPr>
          <w:rFonts w:ascii="Times New Roman" w:eastAsia="Times New Roman" w:hAnsi="Times New Roman"/>
          <w:bCs/>
          <w:sz w:val="24"/>
          <w:szCs w:val="24"/>
        </w:rPr>
      </w:pPr>
      <w:r w:rsidRPr="00B91251">
        <w:rPr>
          <w:rFonts w:ascii="Times New Roman" w:eastAsia="Times New Roman" w:hAnsi="Times New Roman"/>
          <w:bCs/>
          <w:sz w:val="24"/>
          <w:szCs w:val="24"/>
          <w:vertAlign w:val="superscript"/>
        </w:rPr>
        <w:t>5</w:t>
      </w:r>
      <w:r>
        <w:rPr>
          <w:rFonts w:ascii="Times New Roman" w:eastAsia="Times New Roman" w:hAnsi="Times New Roman"/>
          <w:bCs/>
          <w:sz w:val="24"/>
          <w:szCs w:val="24"/>
        </w:rPr>
        <w:t xml:space="preserve"> PISA tyrimo duomenys </w:t>
      </w:r>
      <w:hyperlink r:id="rId15" w:history="1">
        <w:r w:rsidRPr="002D55CD">
          <w:rPr>
            <w:rStyle w:val="Hyperlink"/>
            <w:rFonts w:ascii="Times New Roman" w:eastAsia="Times New Roman" w:hAnsi="Times New Roman"/>
            <w:bCs/>
            <w:sz w:val="24"/>
            <w:szCs w:val="24"/>
          </w:rPr>
          <w:t>http://www.compareyourcountry.org/pisa/country/LTU</w:t>
        </w:r>
      </w:hyperlink>
    </w:p>
    <w:p w:rsidR="00B91251" w:rsidRPr="008F0245" w:rsidRDefault="00B91251" w:rsidP="008F0245">
      <w:pPr>
        <w:spacing w:before="100" w:beforeAutospacing="1" w:after="100" w:afterAutospacing="1"/>
        <w:ind w:left="284" w:right="-2"/>
        <w:jc w:val="both"/>
        <w:rPr>
          <w:rFonts w:ascii="Times New Roman" w:eastAsia="Times New Roman" w:hAnsi="Times New Roman"/>
          <w:bCs/>
          <w:sz w:val="24"/>
          <w:szCs w:val="24"/>
        </w:rPr>
      </w:pPr>
    </w:p>
    <w:p w:rsidR="008F0245" w:rsidRDefault="000F6A82" w:rsidP="008F0245">
      <w:pPr>
        <w:spacing w:line="259" w:lineRule="auto"/>
        <w:ind w:left="426"/>
        <w:jc w:val="center"/>
        <w:rPr>
          <w:rFonts w:ascii="Times New Roman" w:eastAsia="Times New Roman" w:hAnsi="Times New Roman"/>
          <w:b/>
          <w:bCs/>
        </w:rPr>
      </w:pPr>
      <w:r>
        <w:rPr>
          <w:noProof/>
        </w:rPr>
        <w:drawing>
          <wp:inline distT="0" distB="0" distL="0" distR="0" wp14:anchorId="6EEB56EE" wp14:editId="5572D734">
            <wp:extent cx="6153678" cy="605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233" t="18273" r="30918" b="13741"/>
                    <a:stretch/>
                  </pic:blipFill>
                  <pic:spPr bwMode="auto">
                    <a:xfrm>
                      <a:off x="0" y="0"/>
                      <a:ext cx="6181332" cy="6085124"/>
                    </a:xfrm>
                    <a:prstGeom prst="rect">
                      <a:avLst/>
                    </a:prstGeom>
                    <a:ln>
                      <a:noFill/>
                    </a:ln>
                    <a:extLst>
                      <a:ext uri="{53640926-AAD7-44D8-BBD7-CCE9431645EC}">
                        <a14:shadowObscured xmlns:a14="http://schemas.microsoft.com/office/drawing/2010/main"/>
                      </a:ext>
                    </a:extLst>
                  </pic:spPr>
                </pic:pic>
              </a:graphicData>
            </a:graphic>
          </wp:inline>
        </w:drawing>
      </w:r>
      <w:r w:rsidR="00466796">
        <w:rPr>
          <w:rFonts w:ascii="Times New Roman" w:hAnsi="Times New Roman"/>
          <w:b/>
          <w:noProof/>
        </w:rPr>
        <w:t>7</w:t>
      </w:r>
      <w:r w:rsidR="008F0245" w:rsidRPr="008F0245">
        <w:rPr>
          <w:rFonts w:ascii="Times New Roman" w:hAnsi="Times New Roman"/>
          <w:b/>
          <w:noProof/>
        </w:rPr>
        <w:t xml:space="preserve"> pav. </w:t>
      </w:r>
      <w:r w:rsidR="008F0245" w:rsidRPr="008F0245">
        <w:rPr>
          <w:rFonts w:ascii="Times New Roman" w:eastAsia="Times New Roman" w:hAnsi="Times New Roman"/>
          <w:b/>
          <w:bCs/>
        </w:rPr>
        <w:t>Pagrindiniai Lietuvos švietimo ir mokymo rodikliai</w:t>
      </w:r>
    </w:p>
    <w:p w:rsidR="008F0245" w:rsidRDefault="008F0245" w:rsidP="008F0245">
      <w:pPr>
        <w:spacing w:line="259" w:lineRule="auto"/>
        <w:jc w:val="center"/>
        <w:rPr>
          <w:rFonts w:ascii="Times New Roman" w:hAnsi="Times New Roman"/>
          <w:sz w:val="20"/>
          <w:szCs w:val="20"/>
        </w:rPr>
      </w:pPr>
      <w:r w:rsidRPr="002F641B">
        <w:rPr>
          <w:rFonts w:ascii="Times New Roman" w:hAnsi="Times New Roman"/>
          <w:sz w:val="20"/>
          <w:szCs w:val="20"/>
        </w:rPr>
        <w:t xml:space="preserve">Šaltinis: </w:t>
      </w:r>
      <w:r w:rsidRPr="00E569ED">
        <w:rPr>
          <w:rFonts w:ascii="Times New Roman" w:hAnsi="Times New Roman"/>
          <w:sz w:val="20"/>
          <w:szCs w:val="20"/>
        </w:rPr>
        <w:t xml:space="preserve">Lietuvos </w:t>
      </w:r>
      <w:r>
        <w:rPr>
          <w:rFonts w:ascii="Times New Roman" w:hAnsi="Times New Roman"/>
          <w:sz w:val="20"/>
          <w:szCs w:val="20"/>
        </w:rPr>
        <w:t>statistikos departamentas</w:t>
      </w:r>
    </w:p>
    <w:p w:rsidR="000F6A82" w:rsidRPr="00F07F55" w:rsidRDefault="000F6A82" w:rsidP="00AD5134">
      <w:pPr>
        <w:spacing w:line="259" w:lineRule="auto"/>
        <w:jc w:val="both"/>
        <w:rPr>
          <w:rFonts w:ascii="Times New Roman" w:hAnsi="Times New Roman"/>
          <w:bCs/>
          <w:sz w:val="24"/>
          <w:szCs w:val="24"/>
        </w:rPr>
      </w:pPr>
    </w:p>
    <w:p w:rsidR="00F9071C" w:rsidRDefault="00F41317" w:rsidP="00AD5134">
      <w:pPr>
        <w:spacing w:line="259" w:lineRule="auto"/>
        <w:ind w:left="426"/>
        <w:jc w:val="both"/>
        <w:rPr>
          <w:rFonts w:ascii="Times New Roman" w:hAnsi="Times New Roman"/>
          <w:bCs/>
          <w:sz w:val="24"/>
          <w:szCs w:val="24"/>
        </w:rPr>
      </w:pPr>
      <w:r>
        <w:rPr>
          <w:rFonts w:ascii="Times New Roman" w:hAnsi="Times New Roman"/>
          <w:bCs/>
          <w:sz w:val="24"/>
          <w:szCs w:val="24"/>
        </w:rPr>
        <w:t>Atsižvelgiant į tai, kad pastaraisiais</w:t>
      </w:r>
      <w:r w:rsidR="008F393D">
        <w:rPr>
          <w:rFonts w:ascii="Times New Roman" w:hAnsi="Times New Roman"/>
          <w:bCs/>
          <w:sz w:val="24"/>
          <w:szCs w:val="24"/>
        </w:rPr>
        <w:t xml:space="preserve"> metais ryškėja akivaizdžiai nepakanka</w:t>
      </w:r>
      <w:r>
        <w:rPr>
          <w:rFonts w:ascii="Times New Roman" w:hAnsi="Times New Roman"/>
          <w:bCs/>
          <w:sz w:val="24"/>
          <w:szCs w:val="24"/>
        </w:rPr>
        <w:t>mi mokinių mokymosi rezultatai, siekiama</w:t>
      </w:r>
      <w:r w:rsidR="0015778B">
        <w:rPr>
          <w:rFonts w:ascii="Times New Roman" w:hAnsi="Times New Roman"/>
          <w:bCs/>
          <w:sz w:val="24"/>
          <w:szCs w:val="24"/>
        </w:rPr>
        <w:t xml:space="preserve"> modernizuoti mokyklinį ugdymą, gerinant bendrą mokymo kokybę, padarant mokytojo profesiją patrauklią jauniems gabiems žmonėms. </w:t>
      </w:r>
      <w:r w:rsidR="00F9071C" w:rsidRPr="00F9071C">
        <w:rPr>
          <w:rFonts w:ascii="Times New Roman" w:hAnsi="Times New Roman"/>
          <w:bCs/>
          <w:sz w:val="24"/>
          <w:szCs w:val="24"/>
        </w:rPr>
        <w:t>Siekiant tvarios mokinių pasiekimų pažangos, numatoma tobulinti skaitymo gebėjimų – įvairių dalykų mokymosi pagrindo – ugdymą, pedagogų kompetenciją, pagalbos mokiniui teikimą, pasiekimų vertinimą. Taip pat numatoma gerinti mokyklų aprūpinimą intelektiniais ir materialiniais ištekliais, o tai prisidėtų prie geresnių mokinių pasiekimų ir mažintų atotrūkį tarp atskirų mokyklų.</w:t>
      </w:r>
      <w:r w:rsidR="00F9071C">
        <w:rPr>
          <w:rFonts w:ascii="Times New Roman" w:hAnsi="Times New Roman"/>
          <w:bCs/>
          <w:sz w:val="24"/>
          <w:szCs w:val="24"/>
        </w:rPr>
        <w:t xml:space="preserve"> </w:t>
      </w:r>
    </w:p>
    <w:p w:rsidR="00163FAD" w:rsidRPr="0002056B" w:rsidRDefault="00FE4080" w:rsidP="00AD5134">
      <w:pPr>
        <w:spacing w:line="259" w:lineRule="auto"/>
        <w:ind w:left="426"/>
        <w:jc w:val="both"/>
        <w:rPr>
          <w:rFonts w:ascii="Times New Roman" w:hAnsi="Times New Roman"/>
          <w:bCs/>
          <w:sz w:val="24"/>
          <w:szCs w:val="24"/>
        </w:rPr>
      </w:pPr>
      <w:r>
        <w:rPr>
          <w:rFonts w:ascii="Times New Roman" w:hAnsi="Times New Roman"/>
          <w:sz w:val="24"/>
          <w:szCs w:val="24"/>
        </w:rPr>
        <w:t>Kazlų Rūdos s</w:t>
      </w:r>
      <w:r w:rsidR="0002056B" w:rsidRPr="0002056B">
        <w:rPr>
          <w:rFonts w:ascii="Times New Roman" w:hAnsi="Times New Roman"/>
          <w:sz w:val="24"/>
          <w:szCs w:val="24"/>
        </w:rPr>
        <w:t>avivaldybėje 201</w:t>
      </w:r>
      <w:r>
        <w:rPr>
          <w:rFonts w:ascii="Times New Roman" w:hAnsi="Times New Roman"/>
          <w:sz w:val="24"/>
          <w:szCs w:val="24"/>
        </w:rPr>
        <w:t>6</w:t>
      </w:r>
      <w:r w:rsidR="0002056B" w:rsidRPr="0002056B">
        <w:rPr>
          <w:rFonts w:ascii="Times New Roman" w:hAnsi="Times New Roman"/>
          <w:sz w:val="24"/>
          <w:szCs w:val="24"/>
        </w:rPr>
        <w:t>–201</w:t>
      </w:r>
      <w:r>
        <w:rPr>
          <w:rFonts w:ascii="Times New Roman" w:hAnsi="Times New Roman"/>
          <w:sz w:val="24"/>
          <w:szCs w:val="24"/>
        </w:rPr>
        <w:t>7</w:t>
      </w:r>
      <w:r w:rsidR="0002056B" w:rsidRPr="0002056B">
        <w:rPr>
          <w:rFonts w:ascii="Times New Roman" w:hAnsi="Times New Roman"/>
          <w:sz w:val="24"/>
          <w:szCs w:val="24"/>
        </w:rPr>
        <w:t xml:space="preserve"> m. m. buvo 1 vaikų lopšelis-darželis, 1 pradinė mokykla, kurioje yra 5 mišrios priešmokyklinio ugdymo grupės, 1 mokykla-darželis, kurioje yra 3 priešmokyklinio ugdymo grupės ir 1 ikimokyklinio ugdymo grupė, 1 universalus daugiafunkcinis centras (mokyklos darželio skyrius), kuriame yra 1 mišri priešmokyklinio ugdymo grupė, 4 pagrindinės mokyklos (trejose kaimo pagrindinėje mokykloje yra mišrios priešmokyklinio ugdymo </w:t>
      </w:r>
      <w:r w:rsidR="0002056B" w:rsidRPr="0002056B">
        <w:rPr>
          <w:rFonts w:ascii="Times New Roman" w:hAnsi="Times New Roman"/>
          <w:sz w:val="24"/>
          <w:szCs w:val="24"/>
        </w:rPr>
        <w:lastRenderedPageBreak/>
        <w:t>grupės), 2 gimnazijos (vienoje kaimo gimnazijoje yra viena ikimokyklinio ugdymo grupė, viena priešmokyklinio ugdymo grupė ir suaugusiųjų mokymo klasės), 1 mokykla skirta specialiųjų ugdymo(</w:t>
      </w:r>
      <w:proofErr w:type="spellStart"/>
      <w:r w:rsidR="0002056B" w:rsidRPr="0002056B">
        <w:rPr>
          <w:rFonts w:ascii="Times New Roman" w:hAnsi="Times New Roman"/>
          <w:sz w:val="24"/>
          <w:szCs w:val="24"/>
        </w:rPr>
        <w:t>si</w:t>
      </w:r>
      <w:proofErr w:type="spellEnd"/>
      <w:r w:rsidR="0002056B" w:rsidRPr="0002056B">
        <w:rPr>
          <w:rFonts w:ascii="Times New Roman" w:hAnsi="Times New Roman"/>
          <w:sz w:val="24"/>
          <w:szCs w:val="24"/>
        </w:rPr>
        <w:t xml:space="preserve">) poreikių mokiniams, 2 neformaliojo švietimo įstaigos (menų ir sporto), </w:t>
      </w:r>
      <w:r>
        <w:rPr>
          <w:rFonts w:ascii="Times New Roman" w:hAnsi="Times New Roman"/>
          <w:sz w:val="24"/>
          <w:szCs w:val="24"/>
        </w:rPr>
        <w:t xml:space="preserve">1 </w:t>
      </w:r>
      <w:r w:rsidR="0002056B" w:rsidRPr="0002056B">
        <w:rPr>
          <w:rFonts w:ascii="Times New Roman" w:hAnsi="Times New Roman"/>
          <w:sz w:val="24"/>
          <w:szCs w:val="24"/>
        </w:rPr>
        <w:t>pedagoginė psichologinė tarnyba, 1 nevalstybinė progimnazija (5–8 klasės).</w:t>
      </w:r>
    </w:p>
    <w:p w:rsidR="00163FAD" w:rsidRPr="00327FF4" w:rsidRDefault="00FE4080" w:rsidP="00AD5134">
      <w:pPr>
        <w:spacing w:line="259" w:lineRule="auto"/>
        <w:ind w:left="426"/>
        <w:jc w:val="both"/>
        <w:rPr>
          <w:rFonts w:ascii="Times New Roman" w:hAnsi="Times New Roman"/>
          <w:sz w:val="24"/>
          <w:szCs w:val="24"/>
        </w:rPr>
      </w:pPr>
      <w:r w:rsidRPr="00327FF4">
        <w:rPr>
          <w:rFonts w:ascii="Times New Roman" w:hAnsi="Times New Roman"/>
          <w:sz w:val="24"/>
          <w:szCs w:val="24"/>
        </w:rPr>
        <w:t xml:space="preserve">Analizuojant valstybinių brandos egzaminų išlaikymą Kazlų Rūdos savivaldybės bendrojo ugdymo mokyklose (žr. </w:t>
      </w:r>
      <w:r w:rsidR="00BA0EC3" w:rsidRPr="00327FF4">
        <w:rPr>
          <w:rFonts w:ascii="Times New Roman" w:hAnsi="Times New Roman"/>
          <w:sz w:val="24"/>
          <w:szCs w:val="24"/>
        </w:rPr>
        <w:t>8</w:t>
      </w:r>
      <w:r w:rsidRPr="00327FF4">
        <w:rPr>
          <w:rFonts w:ascii="Times New Roman" w:hAnsi="Times New Roman"/>
          <w:sz w:val="24"/>
          <w:szCs w:val="24"/>
        </w:rPr>
        <w:t xml:space="preserve"> pav.) geriausi išlaikymo rezultatai per pastaruosius ketverius metus yra užsienio kalbos (anglų)</w:t>
      </w:r>
      <w:r w:rsidR="00BA0EC3" w:rsidRPr="00327FF4">
        <w:rPr>
          <w:rFonts w:ascii="Times New Roman" w:hAnsi="Times New Roman"/>
          <w:sz w:val="24"/>
          <w:szCs w:val="24"/>
        </w:rPr>
        <w:t>, šiek tiek krenta istorijos rezultatai</w:t>
      </w:r>
      <w:r w:rsidRPr="00327FF4">
        <w:rPr>
          <w:rFonts w:ascii="Times New Roman" w:hAnsi="Times New Roman"/>
          <w:sz w:val="24"/>
          <w:szCs w:val="24"/>
        </w:rPr>
        <w:t xml:space="preserve"> valstybinių brandos egzaminų. Lietuvių kalbos ir matematikos valstybinių brandos egzaminų išlaikiusiųjų procentas labai kito, tačiau rezultatai nėra aukšti</w:t>
      </w:r>
      <w:r w:rsidR="00BA0EC3" w:rsidRPr="00327FF4">
        <w:rPr>
          <w:rFonts w:ascii="Times New Roman" w:hAnsi="Times New Roman"/>
          <w:sz w:val="24"/>
          <w:szCs w:val="24"/>
        </w:rPr>
        <w:t>, tik 2017 metų matematikos egzamino rezultatai ženkliai pakilo</w:t>
      </w:r>
      <w:r w:rsidRPr="00327FF4">
        <w:rPr>
          <w:rFonts w:ascii="Times New Roman" w:hAnsi="Times New Roman"/>
          <w:sz w:val="24"/>
          <w:szCs w:val="24"/>
        </w:rPr>
        <w:t>.</w:t>
      </w:r>
      <w:r w:rsidR="00BA0EC3" w:rsidRPr="00327FF4">
        <w:rPr>
          <w:rFonts w:ascii="Times New Roman" w:hAnsi="Times New Roman"/>
          <w:sz w:val="24"/>
          <w:szCs w:val="24"/>
        </w:rPr>
        <w:t xml:space="preserve"> Tačiau lyginant su Lietuvos Respublikos rezultatais (žr. 6 pav.), Kazlų Rūdos egzaminų pasiekimo lygis nėra aukštas.</w:t>
      </w:r>
    </w:p>
    <w:p w:rsidR="00FE4080" w:rsidRPr="00327FF4" w:rsidRDefault="00FE4080" w:rsidP="00AD5134">
      <w:pPr>
        <w:spacing w:line="259" w:lineRule="auto"/>
        <w:ind w:left="426"/>
        <w:jc w:val="both"/>
        <w:rPr>
          <w:sz w:val="24"/>
          <w:szCs w:val="24"/>
        </w:rPr>
      </w:pPr>
    </w:p>
    <w:p w:rsidR="00FE4080" w:rsidRDefault="00FE4080" w:rsidP="00AD5134">
      <w:pPr>
        <w:spacing w:line="259" w:lineRule="auto"/>
        <w:ind w:left="426"/>
        <w:jc w:val="both"/>
        <w:rPr>
          <w:noProof/>
        </w:rPr>
      </w:pPr>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F393D" w:rsidRPr="00466796" w:rsidRDefault="00466796" w:rsidP="00AD5134">
      <w:pPr>
        <w:spacing w:line="259" w:lineRule="auto"/>
        <w:ind w:left="426"/>
        <w:jc w:val="center"/>
        <w:rPr>
          <w:rFonts w:ascii="Times New Roman" w:hAnsi="Times New Roman"/>
          <w:b/>
          <w:bCs/>
          <w:sz w:val="24"/>
          <w:szCs w:val="24"/>
        </w:rPr>
      </w:pPr>
      <w:r>
        <w:rPr>
          <w:rFonts w:ascii="Times New Roman" w:hAnsi="Times New Roman"/>
          <w:b/>
          <w:noProof/>
        </w:rPr>
        <w:t>8</w:t>
      </w:r>
      <w:r w:rsidRPr="008F0245">
        <w:rPr>
          <w:rFonts w:ascii="Times New Roman" w:hAnsi="Times New Roman"/>
          <w:b/>
          <w:noProof/>
        </w:rPr>
        <w:t xml:space="preserve"> pav. </w:t>
      </w:r>
      <w:r w:rsidRPr="00466796">
        <w:rPr>
          <w:rFonts w:ascii="Times New Roman" w:hAnsi="Times New Roman"/>
          <w:b/>
          <w:color w:val="000000"/>
        </w:rPr>
        <w:t>Valstybinių brandos egzaminų išlaikymo rezultatų kaita</w:t>
      </w:r>
    </w:p>
    <w:p w:rsidR="001B452A" w:rsidRDefault="00466796" w:rsidP="00466796">
      <w:pPr>
        <w:spacing w:line="259" w:lineRule="auto"/>
        <w:jc w:val="center"/>
        <w:rPr>
          <w:rFonts w:ascii="Times New Roman" w:hAnsi="Times New Roman"/>
          <w:b/>
          <w:bCs/>
          <w:sz w:val="24"/>
          <w:szCs w:val="24"/>
        </w:rPr>
      </w:pPr>
      <w:r w:rsidRPr="002F641B">
        <w:rPr>
          <w:rFonts w:ascii="Times New Roman" w:hAnsi="Times New Roman"/>
          <w:sz w:val="20"/>
          <w:szCs w:val="20"/>
        </w:rPr>
        <w:t xml:space="preserve">Šaltinis: </w:t>
      </w:r>
      <w:r w:rsidRPr="00BA0EC3">
        <w:rPr>
          <w:rFonts w:ascii="Times New Roman" w:hAnsi="Times New Roman"/>
          <w:bCs/>
          <w:sz w:val="20"/>
          <w:szCs w:val="20"/>
        </w:rPr>
        <w:t>Kazlų Rūdos savivaldybės bendrojo ugdymo mokyklų tinklo pertvarkos 2016– 2020 metų bendr</w:t>
      </w:r>
      <w:r w:rsidR="00BA0EC3">
        <w:rPr>
          <w:rFonts w:ascii="Times New Roman" w:hAnsi="Times New Roman"/>
          <w:bCs/>
          <w:sz w:val="20"/>
          <w:szCs w:val="20"/>
        </w:rPr>
        <w:t>asis</w:t>
      </w:r>
      <w:r w:rsidRPr="00BA0EC3">
        <w:rPr>
          <w:rFonts w:ascii="Times New Roman" w:hAnsi="Times New Roman"/>
          <w:bCs/>
          <w:sz w:val="20"/>
          <w:szCs w:val="20"/>
        </w:rPr>
        <w:t xml:space="preserve"> plan</w:t>
      </w:r>
      <w:r w:rsidR="00BA0EC3">
        <w:rPr>
          <w:rFonts w:ascii="Times New Roman" w:hAnsi="Times New Roman"/>
          <w:bCs/>
          <w:sz w:val="20"/>
          <w:szCs w:val="20"/>
        </w:rPr>
        <w:t>as</w:t>
      </w:r>
    </w:p>
    <w:p w:rsidR="00AD5134" w:rsidRDefault="00AD5134" w:rsidP="00AD5134">
      <w:pPr>
        <w:spacing w:line="259" w:lineRule="auto"/>
        <w:ind w:left="426"/>
        <w:jc w:val="both"/>
        <w:rPr>
          <w:rFonts w:ascii="Times New Roman" w:hAnsi="Times New Roman"/>
          <w:b/>
          <w:bCs/>
          <w:sz w:val="24"/>
          <w:szCs w:val="24"/>
        </w:rPr>
      </w:pPr>
    </w:p>
    <w:p w:rsidR="00DE2792" w:rsidRPr="00DE2792" w:rsidRDefault="00DE2792" w:rsidP="00DE2792">
      <w:pPr>
        <w:spacing w:line="259" w:lineRule="auto"/>
        <w:ind w:left="426"/>
        <w:jc w:val="both"/>
        <w:rPr>
          <w:rFonts w:ascii="Times New Roman" w:hAnsi="Times New Roman"/>
          <w:b/>
          <w:bCs/>
          <w:sz w:val="24"/>
          <w:szCs w:val="24"/>
        </w:rPr>
      </w:pPr>
      <w:r w:rsidRPr="00DE2792">
        <w:rPr>
          <w:rFonts w:ascii="Times New Roman" w:hAnsi="Times New Roman"/>
          <w:b/>
          <w:bCs/>
          <w:sz w:val="24"/>
          <w:szCs w:val="24"/>
        </w:rPr>
        <w:t>Kultūra</w:t>
      </w:r>
      <w:r w:rsidR="002E456D">
        <w:rPr>
          <w:rFonts w:ascii="Times New Roman" w:hAnsi="Times New Roman"/>
          <w:b/>
          <w:bCs/>
          <w:sz w:val="24"/>
          <w:szCs w:val="24"/>
        </w:rPr>
        <w:t xml:space="preserve"> ir sportas</w:t>
      </w:r>
    </w:p>
    <w:p w:rsidR="00DE2792" w:rsidRDefault="00DE2792" w:rsidP="00DE2792">
      <w:pPr>
        <w:spacing w:line="259" w:lineRule="auto"/>
        <w:ind w:left="426"/>
        <w:jc w:val="both"/>
        <w:rPr>
          <w:rFonts w:ascii="Times New Roman" w:hAnsi="Times New Roman"/>
          <w:bCs/>
          <w:sz w:val="24"/>
          <w:szCs w:val="24"/>
        </w:rPr>
      </w:pPr>
    </w:p>
    <w:p w:rsidR="00BA0EC3" w:rsidRDefault="00DE2792" w:rsidP="00DE2792">
      <w:pPr>
        <w:spacing w:line="259" w:lineRule="auto"/>
        <w:ind w:left="426"/>
        <w:jc w:val="both"/>
        <w:rPr>
          <w:rFonts w:ascii="Times New Roman" w:hAnsi="Times New Roman"/>
          <w:bCs/>
          <w:sz w:val="24"/>
          <w:szCs w:val="24"/>
        </w:rPr>
      </w:pPr>
      <w:r w:rsidRPr="00DE2792">
        <w:rPr>
          <w:rFonts w:ascii="Times New Roman" w:hAnsi="Times New Roman"/>
          <w:bCs/>
          <w:sz w:val="24"/>
          <w:szCs w:val="24"/>
        </w:rPr>
        <w:t>Menkai domimasi menais ir kultūra. Tik 49 procentai Lietuvos gyventojų domisi savo šalies menais ir kultūra, o ES vidurkis yra 69 procentai. Ši statistika iliustruoja netinkamo kultūros įstaigų infrastruktūros panaudojimo ir menkos kultūros įstaigų paslaugų kokybės pasekmes. Kultūros įstaigos vis dar per menkai žino lankytojų lūkesčius, nesiūlo paslaugų tikslinėms grupėms, todėl neugdomi kultūros vartojimo įpročiai</w:t>
      </w:r>
      <w:r>
        <w:rPr>
          <w:rFonts w:ascii="Times New Roman" w:hAnsi="Times New Roman"/>
          <w:bCs/>
          <w:sz w:val="24"/>
          <w:szCs w:val="24"/>
        </w:rPr>
        <w:t>. Nepakankamo dalyvavimo kultūriniame gyvenime vieną iš priežasčių sąlyginai iliustruoja ir namų ūkių išlaidų kultūrai dydis. ES namų ūkių išlaidos kultūrai vidutiniškai sudaro 4,5 proc., o Lietuvoje – 2,7 proc. visų išlaidų</w:t>
      </w:r>
      <w:r w:rsidRPr="00DE2792">
        <w:rPr>
          <w:rFonts w:ascii="Times New Roman" w:hAnsi="Times New Roman"/>
          <w:bCs/>
          <w:sz w:val="24"/>
          <w:szCs w:val="24"/>
          <w:vertAlign w:val="superscript"/>
        </w:rPr>
        <w:t>6</w:t>
      </w:r>
      <w:r w:rsidRPr="00DE2792">
        <w:rPr>
          <w:rFonts w:ascii="Times New Roman" w:hAnsi="Times New Roman"/>
          <w:bCs/>
          <w:sz w:val="24"/>
          <w:szCs w:val="24"/>
        </w:rPr>
        <w:t>.</w:t>
      </w:r>
      <w:r>
        <w:rPr>
          <w:rFonts w:ascii="Times New Roman" w:hAnsi="Times New Roman"/>
          <w:bCs/>
          <w:sz w:val="24"/>
          <w:szCs w:val="24"/>
        </w:rPr>
        <w:t xml:space="preserve"> </w:t>
      </w:r>
      <w:r w:rsidR="00327FF4">
        <w:rPr>
          <w:rFonts w:ascii="Times New Roman" w:hAnsi="Times New Roman"/>
          <w:bCs/>
          <w:sz w:val="24"/>
          <w:szCs w:val="24"/>
        </w:rPr>
        <w:t>Tačiau Savivaldybės gyventojai vis aktyviau dalyvauja kultūrinėje veikloje. Tai atspindi didėjantis kultūros įstaigų lankytojų skaičius (2015 m. – 36 tūkst., 2016 m. – 37,5 tūkst.)</w:t>
      </w:r>
    </w:p>
    <w:p w:rsidR="00DE2792" w:rsidRDefault="00DE2792" w:rsidP="00DE2792">
      <w:pPr>
        <w:spacing w:line="259" w:lineRule="auto"/>
        <w:ind w:left="426"/>
        <w:jc w:val="both"/>
        <w:rPr>
          <w:rFonts w:ascii="Times New Roman" w:hAnsi="Times New Roman"/>
          <w:bCs/>
          <w:sz w:val="24"/>
          <w:szCs w:val="24"/>
        </w:rPr>
      </w:pPr>
      <w:r>
        <w:rPr>
          <w:rFonts w:ascii="Times New Roman" w:hAnsi="Times New Roman"/>
          <w:bCs/>
          <w:sz w:val="24"/>
          <w:szCs w:val="24"/>
        </w:rPr>
        <w:t>Kazlų Rūdos savivaldybėje veikia šios kultūros įstaigos, išlaikomos iš Savivaldybės biudžeto:</w:t>
      </w:r>
    </w:p>
    <w:p w:rsidR="00DE2792" w:rsidRDefault="00DE2792" w:rsidP="00DE2792">
      <w:pPr>
        <w:spacing w:line="259" w:lineRule="auto"/>
        <w:ind w:left="426"/>
        <w:jc w:val="both"/>
        <w:rPr>
          <w:rFonts w:ascii="Times New Roman" w:hAnsi="Times New Roman"/>
          <w:bCs/>
          <w:sz w:val="24"/>
          <w:szCs w:val="24"/>
        </w:rPr>
      </w:pPr>
      <w:r>
        <w:rPr>
          <w:rFonts w:ascii="Times New Roman" w:hAnsi="Times New Roman"/>
          <w:bCs/>
          <w:sz w:val="24"/>
          <w:szCs w:val="24"/>
        </w:rPr>
        <w:t>-Kazlų Rūdos kultūros centras ir 6 jo struktūrini</w:t>
      </w:r>
      <w:r w:rsidR="00913193">
        <w:rPr>
          <w:rFonts w:ascii="Times New Roman" w:hAnsi="Times New Roman"/>
          <w:bCs/>
          <w:sz w:val="24"/>
          <w:szCs w:val="24"/>
        </w:rPr>
        <w:t>ai teritorijos padaliniai</w:t>
      </w:r>
      <w:r>
        <w:rPr>
          <w:rFonts w:ascii="Times New Roman" w:hAnsi="Times New Roman"/>
          <w:bCs/>
          <w:sz w:val="24"/>
          <w:szCs w:val="24"/>
        </w:rPr>
        <w:t>;</w:t>
      </w:r>
    </w:p>
    <w:p w:rsidR="00913193" w:rsidRDefault="00913193" w:rsidP="00F70662">
      <w:pPr>
        <w:spacing w:line="259" w:lineRule="auto"/>
        <w:ind w:left="426"/>
        <w:jc w:val="both"/>
        <w:rPr>
          <w:rFonts w:ascii="Times New Roman" w:hAnsi="Times New Roman"/>
          <w:bCs/>
          <w:sz w:val="24"/>
          <w:szCs w:val="24"/>
        </w:rPr>
      </w:pPr>
      <w:r>
        <w:rPr>
          <w:rFonts w:ascii="Times New Roman" w:hAnsi="Times New Roman"/>
          <w:bCs/>
          <w:sz w:val="24"/>
          <w:szCs w:val="24"/>
        </w:rPr>
        <w:t>-</w:t>
      </w:r>
      <w:r w:rsidR="00DE2792">
        <w:rPr>
          <w:rFonts w:ascii="Times New Roman" w:hAnsi="Times New Roman"/>
          <w:bCs/>
          <w:sz w:val="24"/>
          <w:szCs w:val="24"/>
        </w:rPr>
        <w:t xml:space="preserve">Kazlų Rūdos savivaldybės viešoji biblioteka ir </w:t>
      </w:r>
      <w:r>
        <w:rPr>
          <w:rFonts w:ascii="Times New Roman" w:hAnsi="Times New Roman"/>
          <w:bCs/>
          <w:sz w:val="24"/>
          <w:szCs w:val="24"/>
        </w:rPr>
        <w:t>10 jos struktūriniai teritoriniai padaliniai.</w:t>
      </w:r>
      <w:r w:rsidR="00327FF4">
        <w:rPr>
          <w:rFonts w:ascii="Times New Roman" w:hAnsi="Times New Roman"/>
          <w:bCs/>
          <w:sz w:val="24"/>
          <w:szCs w:val="24"/>
        </w:rPr>
        <w:br/>
      </w:r>
      <w:r w:rsidRPr="00E46BA0">
        <w:rPr>
          <w:rFonts w:ascii="Times New Roman" w:hAnsi="Times New Roman"/>
          <w:bCs/>
          <w:sz w:val="24"/>
          <w:szCs w:val="24"/>
        </w:rPr>
        <w:t>Būtina paminėti, kad prad</w:t>
      </w:r>
      <w:r w:rsidR="00E46BA0" w:rsidRPr="00E46BA0">
        <w:rPr>
          <w:rFonts w:ascii="Times New Roman" w:hAnsi="Times New Roman"/>
          <w:bCs/>
          <w:sz w:val="24"/>
          <w:szCs w:val="24"/>
        </w:rPr>
        <w:t>ėtas įgyvendinti projektas, kurį įgyvendinus, pastatas esantis Atgimimo g. 5, bus pritaikytas muziejinei, edukacinei ir kūrybinėms dirbtuvių veikloms vykdyti</w:t>
      </w:r>
      <w:r w:rsidRPr="00E46BA0">
        <w:rPr>
          <w:rFonts w:ascii="Times New Roman" w:hAnsi="Times New Roman"/>
          <w:bCs/>
          <w:sz w:val="24"/>
          <w:szCs w:val="24"/>
        </w:rPr>
        <w:t>.</w:t>
      </w:r>
    </w:p>
    <w:p w:rsidR="003B41C8" w:rsidRDefault="003B41C8" w:rsidP="002E456D">
      <w:pPr>
        <w:spacing w:line="259" w:lineRule="auto"/>
        <w:ind w:left="426"/>
        <w:jc w:val="both"/>
        <w:rPr>
          <w:rFonts w:ascii="Times New Roman" w:hAnsi="Times New Roman"/>
          <w:bCs/>
          <w:sz w:val="24"/>
          <w:szCs w:val="24"/>
        </w:rPr>
      </w:pPr>
      <w:r>
        <w:rPr>
          <w:rFonts w:ascii="Times New Roman" w:hAnsi="Times New Roman"/>
          <w:bCs/>
          <w:sz w:val="24"/>
          <w:szCs w:val="24"/>
        </w:rPr>
        <w:t>_____________________________</w:t>
      </w:r>
    </w:p>
    <w:p w:rsidR="003B41C8" w:rsidRPr="003B41C8" w:rsidRDefault="003B41C8" w:rsidP="002E456D">
      <w:pPr>
        <w:spacing w:line="259" w:lineRule="auto"/>
        <w:ind w:left="426"/>
        <w:jc w:val="both"/>
        <w:rPr>
          <w:rFonts w:ascii="Times New Roman" w:hAnsi="Times New Roman"/>
          <w:bCs/>
          <w:sz w:val="20"/>
          <w:szCs w:val="20"/>
        </w:rPr>
      </w:pPr>
      <w:r w:rsidRPr="003B41C8">
        <w:rPr>
          <w:rFonts w:ascii="Times New Roman" w:hAnsi="Times New Roman"/>
          <w:sz w:val="20"/>
          <w:szCs w:val="20"/>
        </w:rPr>
        <w:t xml:space="preserve">6 http://lrv.lt/uploads/main/documents/files/LRV%202016m%20ataskaita.pdf  </w:t>
      </w:r>
    </w:p>
    <w:p w:rsidR="00B36FA2" w:rsidRDefault="002E456D" w:rsidP="002E456D">
      <w:pPr>
        <w:spacing w:line="259" w:lineRule="auto"/>
        <w:ind w:left="426"/>
        <w:jc w:val="both"/>
        <w:rPr>
          <w:rFonts w:ascii="Times New Roman" w:hAnsi="Times New Roman"/>
          <w:bCs/>
          <w:sz w:val="24"/>
          <w:szCs w:val="24"/>
        </w:rPr>
      </w:pPr>
      <w:r>
        <w:rPr>
          <w:rFonts w:ascii="Times New Roman" w:hAnsi="Times New Roman"/>
          <w:bCs/>
          <w:sz w:val="24"/>
          <w:szCs w:val="24"/>
        </w:rPr>
        <w:lastRenderedPageBreak/>
        <w:t xml:space="preserve">Svarbiausias vaidmuo organizuojant sporto renginius bei ugdant sportininkus tenka Kazlų Rūdos sporto centrui. </w:t>
      </w:r>
      <w:r w:rsidR="00B36FA2" w:rsidRPr="00B36FA2">
        <w:rPr>
          <w:rFonts w:ascii="Times New Roman" w:hAnsi="Times New Roman"/>
          <w:bCs/>
          <w:sz w:val="24"/>
          <w:szCs w:val="24"/>
        </w:rPr>
        <w:t xml:space="preserve">Įstaiga šiuo metu vykdo 8 atskiras sporto šakas pagal neformalaus švietimo programas: šiuolaikinių šokių, krepšinio, tinklinio, futbolo, </w:t>
      </w:r>
      <w:proofErr w:type="spellStart"/>
      <w:r w:rsidR="00B36FA2" w:rsidRPr="00B36FA2">
        <w:rPr>
          <w:rFonts w:ascii="Times New Roman" w:hAnsi="Times New Roman"/>
          <w:bCs/>
          <w:sz w:val="24"/>
          <w:szCs w:val="24"/>
        </w:rPr>
        <w:t>fitneso</w:t>
      </w:r>
      <w:proofErr w:type="spellEnd"/>
      <w:r w:rsidR="00B36FA2" w:rsidRPr="00B36FA2">
        <w:rPr>
          <w:rFonts w:ascii="Times New Roman" w:hAnsi="Times New Roman"/>
          <w:bCs/>
          <w:sz w:val="24"/>
          <w:szCs w:val="24"/>
        </w:rPr>
        <w:t xml:space="preserve">, graikų-romėnų imtynėms, </w:t>
      </w:r>
      <w:proofErr w:type="spellStart"/>
      <w:r w:rsidR="00B36FA2" w:rsidRPr="00B36FA2">
        <w:rPr>
          <w:rFonts w:ascii="Times New Roman" w:hAnsi="Times New Roman"/>
          <w:bCs/>
          <w:sz w:val="24"/>
          <w:szCs w:val="24"/>
        </w:rPr>
        <w:t>dziudo</w:t>
      </w:r>
      <w:proofErr w:type="spellEnd"/>
      <w:r>
        <w:rPr>
          <w:rFonts w:ascii="Times New Roman" w:hAnsi="Times New Roman"/>
          <w:bCs/>
          <w:sz w:val="24"/>
          <w:szCs w:val="24"/>
        </w:rPr>
        <w:t>, lauko teniso</w:t>
      </w:r>
      <w:r w:rsidR="00B36FA2">
        <w:rPr>
          <w:rFonts w:ascii="Times New Roman" w:hAnsi="Times New Roman"/>
          <w:bCs/>
          <w:sz w:val="24"/>
          <w:szCs w:val="24"/>
        </w:rPr>
        <w:t>.</w:t>
      </w:r>
      <w:r>
        <w:rPr>
          <w:rFonts w:ascii="Times New Roman" w:hAnsi="Times New Roman"/>
          <w:bCs/>
          <w:sz w:val="24"/>
          <w:szCs w:val="24"/>
        </w:rPr>
        <w:t xml:space="preserve"> 2017 m. buvo atlikta sporto centro pastato modernizavimo darbai</w:t>
      </w:r>
      <w:r w:rsidR="002053BD">
        <w:rPr>
          <w:rFonts w:ascii="Times New Roman" w:hAnsi="Times New Roman"/>
          <w:bCs/>
          <w:sz w:val="24"/>
          <w:szCs w:val="24"/>
        </w:rPr>
        <w:t>: apšiltintos pastato sienos ir atnaujinta vėdinimo sistema. 2018 – 2019 m. bus a</w:t>
      </w:r>
      <w:r w:rsidR="002053BD" w:rsidRPr="002053BD">
        <w:rPr>
          <w:rFonts w:ascii="Times New Roman" w:hAnsi="Times New Roman"/>
          <w:bCs/>
          <w:sz w:val="24"/>
          <w:szCs w:val="24"/>
        </w:rPr>
        <w:t>tlikti Kazlų Rūdos sporto centro vidaus modernizavimo darbus</w:t>
      </w:r>
      <w:r w:rsidR="002053BD">
        <w:rPr>
          <w:rFonts w:ascii="Times New Roman" w:hAnsi="Times New Roman"/>
          <w:bCs/>
          <w:sz w:val="24"/>
          <w:szCs w:val="24"/>
        </w:rPr>
        <w:t xml:space="preserve">, įrengta treniruoklių ir </w:t>
      </w:r>
      <w:proofErr w:type="spellStart"/>
      <w:r w:rsidR="002053BD">
        <w:rPr>
          <w:rFonts w:ascii="Times New Roman" w:hAnsi="Times New Roman"/>
          <w:bCs/>
          <w:sz w:val="24"/>
          <w:szCs w:val="24"/>
        </w:rPr>
        <w:t>fitneso</w:t>
      </w:r>
      <w:proofErr w:type="spellEnd"/>
      <w:r w:rsidR="002053BD">
        <w:rPr>
          <w:rFonts w:ascii="Times New Roman" w:hAnsi="Times New Roman"/>
          <w:bCs/>
          <w:sz w:val="24"/>
          <w:szCs w:val="24"/>
        </w:rPr>
        <w:t xml:space="preserve"> salė</w:t>
      </w:r>
      <w:r w:rsidR="002053BD" w:rsidRPr="002053BD">
        <w:rPr>
          <w:rFonts w:ascii="Times New Roman" w:hAnsi="Times New Roman"/>
          <w:bCs/>
          <w:sz w:val="24"/>
          <w:szCs w:val="24"/>
        </w:rPr>
        <w:t>.</w:t>
      </w:r>
    </w:p>
    <w:p w:rsidR="002053BD" w:rsidRDefault="002053BD" w:rsidP="002E456D">
      <w:pPr>
        <w:spacing w:line="259" w:lineRule="auto"/>
        <w:ind w:left="426"/>
        <w:jc w:val="both"/>
        <w:rPr>
          <w:rFonts w:ascii="Times New Roman" w:hAnsi="Times New Roman"/>
          <w:bCs/>
          <w:sz w:val="24"/>
          <w:szCs w:val="24"/>
        </w:rPr>
      </w:pPr>
    </w:p>
    <w:p w:rsidR="0011080E" w:rsidRPr="0011080E" w:rsidRDefault="0011080E" w:rsidP="002E456D">
      <w:pPr>
        <w:spacing w:line="259" w:lineRule="auto"/>
        <w:ind w:left="426"/>
        <w:jc w:val="both"/>
        <w:rPr>
          <w:rFonts w:ascii="Times New Roman" w:hAnsi="Times New Roman"/>
          <w:b/>
          <w:bCs/>
          <w:sz w:val="24"/>
          <w:szCs w:val="24"/>
        </w:rPr>
      </w:pPr>
      <w:r w:rsidRPr="0011080E">
        <w:rPr>
          <w:rFonts w:ascii="Times New Roman" w:hAnsi="Times New Roman"/>
          <w:b/>
          <w:bCs/>
          <w:sz w:val="24"/>
          <w:szCs w:val="24"/>
        </w:rPr>
        <w:t>Socialinė parama</w:t>
      </w:r>
    </w:p>
    <w:p w:rsidR="0011080E" w:rsidRDefault="0011080E" w:rsidP="0011080E">
      <w:pPr>
        <w:ind w:firstLine="539"/>
        <w:jc w:val="both"/>
      </w:pPr>
    </w:p>
    <w:p w:rsidR="0011080E" w:rsidRPr="0011080E" w:rsidRDefault="0011080E" w:rsidP="0011080E">
      <w:pPr>
        <w:ind w:left="426"/>
        <w:jc w:val="both"/>
        <w:rPr>
          <w:rFonts w:ascii="Times New Roman" w:hAnsi="Times New Roman"/>
          <w:sz w:val="24"/>
          <w:szCs w:val="24"/>
        </w:rPr>
      </w:pPr>
      <w:r w:rsidRPr="0011080E">
        <w:rPr>
          <w:rFonts w:ascii="Times New Roman" w:hAnsi="Times New Roman"/>
          <w:sz w:val="24"/>
          <w:szCs w:val="24"/>
        </w:rPr>
        <w:t>2017 metais į Socialinės paramos ir sveikatos priežiūros skyrių dėl socialinių paslaugų kreipėsi 54  asmenys: ilgalaikei socialinei globai -20, trumpalaikei socialinei globai -5, dienos socialinei globai -11, pagalbai į namus – 16, Krizių įveikimo pagalbai -3 asmenys.    Vaikų trumpalaikė socialinė globa paskirta 29 vaikams, specialiųjų socialinių paslaugų poreikis nustatytas 26 asmenims.</w:t>
      </w:r>
    </w:p>
    <w:p w:rsidR="0011080E" w:rsidRPr="0011080E" w:rsidRDefault="0011080E" w:rsidP="0011080E">
      <w:pPr>
        <w:ind w:left="426"/>
        <w:jc w:val="both"/>
        <w:rPr>
          <w:rFonts w:ascii="Times New Roman" w:hAnsi="Times New Roman"/>
          <w:sz w:val="24"/>
          <w:szCs w:val="24"/>
        </w:rPr>
      </w:pPr>
      <w:r w:rsidRPr="0011080E">
        <w:rPr>
          <w:rFonts w:ascii="Times New Roman" w:hAnsi="Times New Roman"/>
          <w:sz w:val="24"/>
          <w:szCs w:val="24"/>
        </w:rPr>
        <w:t xml:space="preserve">2017 metams sąraše ilgalaikės </w:t>
      </w:r>
      <w:proofErr w:type="spellStart"/>
      <w:r w:rsidRPr="0011080E">
        <w:rPr>
          <w:rFonts w:ascii="Times New Roman" w:hAnsi="Times New Roman"/>
          <w:sz w:val="24"/>
          <w:szCs w:val="24"/>
        </w:rPr>
        <w:t>soc</w:t>
      </w:r>
      <w:proofErr w:type="spellEnd"/>
      <w:r w:rsidRPr="0011080E">
        <w:rPr>
          <w:rFonts w:ascii="Times New Roman" w:hAnsi="Times New Roman"/>
          <w:sz w:val="24"/>
          <w:szCs w:val="24"/>
        </w:rPr>
        <w:t>. globos paslaugai, į valstybinius globos namus, prašymus buvo  pateikę 4 asmenys. Socialinės priežiūros paslaugai pagalba į namus eilės nėra, paslauga teikiama pagal poreikį. Kasmet šią paslaugą gauna vidutiniškai 45 savivaldybės gyventojai.</w:t>
      </w:r>
    </w:p>
    <w:p w:rsidR="0011080E" w:rsidRDefault="0011080E" w:rsidP="0011080E">
      <w:pPr>
        <w:pStyle w:val="Title"/>
        <w:ind w:left="720"/>
        <w:rPr>
          <w:rFonts w:ascii="Times New Roman" w:hAnsi="Times New Roman" w:cs="Times New Roman"/>
        </w:rPr>
      </w:pPr>
    </w:p>
    <w:p w:rsidR="0011080E" w:rsidRDefault="0011080E" w:rsidP="0011080E">
      <w:pPr>
        <w:pStyle w:val="Title"/>
        <w:ind w:left="720"/>
        <w:jc w:val="center"/>
        <w:rPr>
          <w:rFonts w:ascii="Times New Roman" w:hAnsi="Times New Roman" w:cs="Times New Roman"/>
        </w:rPr>
      </w:pPr>
    </w:p>
    <w:tbl>
      <w:tblPr>
        <w:tblpPr w:leftFromText="180" w:rightFromText="180" w:vertAnchor="text"/>
        <w:tblW w:w="9202" w:type="dxa"/>
        <w:tblLayout w:type="fixed"/>
        <w:tblCellMar>
          <w:left w:w="0" w:type="dxa"/>
          <w:right w:w="0" w:type="dxa"/>
        </w:tblCellMar>
        <w:tblLook w:val="04A0" w:firstRow="1" w:lastRow="0" w:firstColumn="1" w:lastColumn="0" w:noHBand="0" w:noVBand="1"/>
      </w:tblPr>
      <w:tblGrid>
        <w:gridCol w:w="2543"/>
        <w:gridCol w:w="283"/>
        <w:gridCol w:w="1275"/>
        <w:gridCol w:w="236"/>
        <w:gridCol w:w="1747"/>
        <w:gridCol w:w="1559"/>
        <w:gridCol w:w="1559"/>
      </w:tblGrid>
      <w:tr w:rsidR="0011080E" w:rsidTr="0011080E">
        <w:tc>
          <w:tcPr>
            <w:tcW w:w="1381" w:type="pct"/>
            <w:tcBorders>
              <w:top w:val="single" w:sz="8" w:space="0" w:color="5B9BD5"/>
              <w:left w:val="single" w:sz="8" w:space="0" w:color="5B9BD5"/>
              <w:bottom w:val="single" w:sz="24" w:space="0" w:color="5B9BD5"/>
              <w:right w:val="nil"/>
            </w:tcBorders>
            <w:shd w:val="clear" w:color="auto" w:fill="FFFFFF"/>
            <w:noWrap/>
            <w:tcMar>
              <w:top w:w="0" w:type="dxa"/>
              <w:left w:w="108" w:type="dxa"/>
              <w:bottom w:w="0" w:type="dxa"/>
              <w:right w:w="108" w:type="dxa"/>
            </w:tcMar>
            <w:vAlign w:val="center"/>
            <w:hideMark/>
          </w:tcPr>
          <w:p w:rsidR="0011080E" w:rsidRDefault="0011080E" w:rsidP="0011080E">
            <w:pPr>
              <w:jc w:val="center"/>
              <w:rPr>
                <w:b/>
                <w:bCs/>
              </w:rPr>
            </w:pPr>
            <w:r>
              <w:rPr>
                <w:b/>
                <w:bCs/>
              </w:rPr>
              <w:t>Socialinė parama</w:t>
            </w:r>
          </w:p>
        </w:tc>
        <w:tc>
          <w:tcPr>
            <w:tcW w:w="154" w:type="pct"/>
            <w:tcBorders>
              <w:top w:val="single" w:sz="8" w:space="0" w:color="5B9BD5"/>
              <w:left w:val="nil"/>
              <w:bottom w:val="single" w:sz="24" w:space="0" w:color="5B9BD5"/>
              <w:right w:val="single" w:sz="8" w:space="0" w:color="FFFFFF"/>
            </w:tcBorders>
            <w:shd w:val="clear" w:color="auto" w:fill="FFFFFF"/>
            <w:tcMar>
              <w:top w:w="0" w:type="dxa"/>
              <w:left w:w="108" w:type="dxa"/>
              <w:bottom w:w="0" w:type="dxa"/>
              <w:right w:w="108" w:type="dxa"/>
            </w:tcMar>
            <w:vAlign w:val="center"/>
          </w:tcPr>
          <w:p w:rsidR="0011080E" w:rsidRDefault="0011080E" w:rsidP="0011080E">
            <w:pPr>
              <w:jc w:val="center"/>
              <w:rPr>
                <w:b/>
                <w:bCs/>
              </w:rPr>
            </w:pPr>
          </w:p>
        </w:tc>
        <w:tc>
          <w:tcPr>
            <w:tcW w:w="693" w:type="pct"/>
            <w:tcBorders>
              <w:top w:val="single" w:sz="8" w:space="0" w:color="5B9BD5"/>
              <w:left w:val="nil"/>
              <w:bottom w:val="single" w:sz="24" w:space="0" w:color="5B9BD5"/>
              <w:right w:val="nil"/>
            </w:tcBorders>
            <w:shd w:val="clear" w:color="auto" w:fill="FFFFFF"/>
          </w:tcPr>
          <w:p w:rsidR="0011080E" w:rsidRDefault="0011080E" w:rsidP="0011080E">
            <w:pPr>
              <w:jc w:val="center"/>
              <w:rPr>
                <w:b/>
                <w:bCs/>
              </w:rPr>
            </w:pPr>
            <w:r>
              <w:rPr>
                <w:b/>
                <w:bCs/>
              </w:rPr>
              <w:t xml:space="preserve">2014 m. tūkst. </w:t>
            </w:r>
            <w:proofErr w:type="spellStart"/>
            <w:r>
              <w:rPr>
                <w:b/>
                <w:bCs/>
              </w:rPr>
              <w:t>Eur</w:t>
            </w:r>
            <w:proofErr w:type="spellEnd"/>
          </w:p>
        </w:tc>
        <w:tc>
          <w:tcPr>
            <w:tcW w:w="128" w:type="pct"/>
            <w:tcBorders>
              <w:top w:val="single" w:sz="8" w:space="0" w:color="5B9BD5"/>
              <w:left w:val="nil"/>
              <w:bottom w:val="single" w:sz="24" w:space="0" w:color="5B9BD5"/>
              <w:right w:val="single" w:sz="8" w:space="0" w:color="5B9BD5"/>
            </w:tcBorders>
            <w:shd w:val="clear" w:color="auto" w:fill="FFFFFF"/>
            <w:tcMar>
              <w:top w:w="0" w:type="dxa"/>
              <w:left w:w="108" w:type="dxa"/>
              <w:bottom w:w="0" w:type="dxa"/>
              <w:right w:w="108" w:type="dxa"/>
            </w:tcMar>
            <w:vAlign w:val="center"/>
          </w:tcPr>
          <w:p w:rsidR="0011080E" w:rsidRDefault="0011080E" w:rsidP="0011080E">
            <w:pPr>
              <w:jc w:val="center"/>
              <w:rPr>
                <w:b/>
                <w:bCs/>
              </w:rPr>
            </w:pPr>
          </w:p>
        </w:tc>
        <w:tc>
          <w:tcPr>
            <w:tcW w:w="949" w:type="pct"/>
            <w:tcBorders>
              <w:top w:val="single" w:sz="8" w:space="0" w:color="5B9BD5"/>
              <w:left w:val="nil"/>
              <w:bottom w:val="single" w:sz="24" w:space="0" w:color="5B9BD5"/>
              <w:right w:val="single" w:sz="8" w:space="0" w:color="5B9BD5"/>
            </w:tcBorders>
            <w:tcMar>
              <w:top w:w="0" w:type="dxa"/>
              <w:left w:w="108" w:type="dxa"/>
              <w:bottom w:w="0" w:type="dxa"/>
              <w:right w:w="108" w:type="dxa"/>
            </w:tcMar>
            <w:hideMark/>
          </w:tcPr>
          <w:p w:rsidR="0011080E" w:rsidRDefault="0011080E" w:rsidP="0011080E">
            <w:pPr>
              <w:jc w:val="center"/>
              <w:rPr>
                <w:b/>
                <w:bCs/>
              </w:rPr>
            </w:pPr>
            <w:r>
              <w:rPr>
                <w:b/>
                <w:bCs/>
              </w:rPr>
              <w:t xml:space="preserve">2015 m. tūkst. </w:t>
            </w:r>
            <w:proofErr w:type="spellStart"/>
            <w:r>
              <w:rPr>
                <w:b/>
                <w:bCs/>
              </w:rPr>
              <w:t>Eur</w:t>
            </w:r>
            <w:proofErr w:type="spellEnd"/>
          </w:p>
        </w:tc>
        <w:tc>
          <w:tcPr>
            <w:tcW w:w="847" w:type="pct"/>
            <w:tcBorders>
              <w:top w:val="single" w:sz="8" w:space="0" w:color="5B9BD5"/>
              <w:left w:val="nil"/>
              <w:bottom w:val="single" w:sz="24" w:space="0" w:color="5B9BD5"/>
              <w:right w:val="single" w:sz="8" w:space="0" w:color="5B9BD5"/>
            </w:tcBorders>
            <w:tcMar>
              <w:top w:w="0" w:type="dxa"/>
              <w:left w:w="108" w:type="dxa"/>
              <w:bottom w:w="0" w:type="dxa"/>
              <w:right w:w="108" w:type="dxa"/>
            </w:tcMar>
            <w:hideMark/>
          </w:tcPr>
          <w:p w:rsidR="0011080E" w:rsidRDefault="0011080E" w:rsidP="0011080E">
            <w:pPr>
              <w:jc w:val="center"/>
              <w:rPr>
                <w:b/>
                <w:bCs/>
              </w:rPr>
            </w:pPr>
            <w:r>
              <w:rPr>
                <w:b/>
                <w:bCs/>
              </w:rPr>
              <w:t>2016 m. tūkst.</w:t>
            </w:r>
            <w:r>
              <w:rPr>
                <w:b/>
                <w:bCs/>
              </w:rPr>
              <w:t xml:space="preserve"> </w:t>
            </w:r>
            <w:proofErr w:type="spellStart"/>
            <w:r>
              <w:rPr>
                <w:b/>
                <w:bCs/>
              </w:rPr>
              <w:t>Eur</w:t>
            </w:r>
            <w:proofErr w:type="spellEnd"/>
          </w:p>
        </w:tc>
        <w:tc>
          <w:tcPr>
            <w:tcW w:w="847" w:type="pct"/>
            <w:tcBorders>
              <w:top w:val="single" w:sz="8" w:space="0" w:color="5B9BD5"/>
              <w:left w:val="nil"/>
              <w:bottom w:val="single" w:sz="24" w:space="0" w:color="5B9BD5"/>
              <w:right w:val="single" w:sz="8" w:space="0" w:color="5B9BD5"/>
            </w:tcBorders>
          </w:tcPr>
          <w:p w:rsidR="0011080E" w:rsidRDefault="0011080E" w:rsidP="0011080E">
            <w:pPr>
              <w:jc w:val="center"/>
              <w:rPr>
                <w:b/>
                <w:bCs/>
              </w:rPr>
            </w:pPr>
            <w:r>
              <w:rPr>
                <w:b/>
                <w:bCs/>
              </w:rPr>
              <w:t xml:space="preserve">2017 m. tūkst. </w:t>
            </w:r>
            <w:proofErr w:type="spellStart"/>
            <w:r>
              <w:rPr>
                <w:b/>
                <w:bCs/>
              </w:rPr>
              <w:t>eur</w:t>
            </w:r>
            <w:proofErr w:type="spellEnd"/>
          </w:p>
        </w:tc>
      </w:tr>
      <w:tr w:rsidR="0011080E" w:rsidTr="0011080E">
        <w:tc>
          <w:tcPr>
            <w:tcW w:w="1381" w:type="pct"/>
            <w:tcBorders>
              <w:top w:val="nil"/>
              <w:left w:val="single" w:sz="8" w:space="0" w:color="5B9BD5"/>
              <w:bottom w:val="nil"/>
              <w:right w:val="single" w:sz="8" w:space="0" w:color="5B9BD5"/>
            </w:tcBorders>
            <w:shd w:val="clear" w:color="auto" w:fill="DEEAF6"/>
            <w:noWrap/>
            <w:tcMar>
              <w:top w:w="0" w:type="dxa"/>
              <w:left w:w="108" w:type="dxa"/>
              <w:bottom w:w="0" w:type="dxa"/>
              <w:right w:w="108" w:type="dxa"/>
            </w:tcMar>
            <w:vAlign w:val="center"/>
            <w:hideMark/>
          </w:tcPr>
          <w:p w:rsidR="0011080E" w:rsidRDefault="0011080E" w:rsidP="0011080E">
            <w:r>
              <w:t>Socialinės pašalpos</w:t>
            </w:r>
          </w:p>
        </w:tc>
        <w:tc>
          <w:tcPr>
            <w:tcW w:w="154" w:type="pct"/>
            <w:tcBorders>
              <w:top w:val="nil"/>
              <w:left w:val="nil"/>
              <w:bottom w:val="nil"/>
              <w:right w:val="single" w:sz="8" w:space="0" w:color="DBE5F1"/>
            </w:tcBorders>
            <w:shd w:val="clear" w:color="auto" w:fill="D6E6F4"/>
            <w:tcMar>
              <w:top w:w="0" w:type="dxa"/>
              <w:left w:w="108" w:type="dxa"/>
              <w:bottom w:w="0" w:type="dxa"/>
              <w:right w:w="108" w:type="dxa"/>
            </w:tcMar>
            <w:vAlign w:val="center"/>
          </w:tcPr>
          <w:p w:rsidR="0011080E" w:rsidRDefault="0011080E" w:rsidP="0011080E">
            <w:pPr>
              <w:jc w:val="center"/>
            </w:pPr>
          </w:p>
        </w:tc>
        <w:tc>
          <w:tcPr>
            <w:tcW w:w="693" w:type="pct"/>
            <w:tcBorders>
              <w:top w:val="nil"/>
              <w:left w:val="nil"/>
              <w:bottom w:val="nil"/>
              <w:right w:val="nil"/>
            </w:tcBorders>
            <w:shd w:val="clear" w:color="auto" w:fill="D6E6F4"/>
          </w:tcPr>
          <w:p w:rsidR="0011080E" w:rsidRDefault="0011080E" w:rsidP="0011080E">
            <w:pPr>
              <w:jc w:val="center"/>
            </w:pPr>
            <w:r>
              <w:t>617,0</w:t>
            </w:r>
          </w:p>
        </w:tc>
        <w:tc>
          <w:tcPr>
            <w:tcW w:w="128" w:type="pct"/>
            <w:tcBorders>
              <w:top w:val="nil"/>
              <w:left w:val="nil"/>
              <w:bottom w:val="nil"/>
              <w:right w:val="single" w:sz="8" w:space="0" w:color="5B9BD5"/>
            </w:tcBorders>
            <w:shd w:val="clear" w:color="auto" w:fill="D6E6F4"/>
            <w:tcMar>
              <w:top w:w="0" w:type="dxa"/>
              <w:left w:w="108" w:type="dxa"/>
              <w:bottom w:w="0" w:type="dxa"/>
              <w:right w:w="108" w:type="dxa"/>
            </w:tcMar>
            <w:vAlign w:val="center"/>
          </w:tcPr>
          <w:p w:rsidR="0011080E" w:rsidRDefault="0011080E" w:rsidP="0011080E">
            <w:pPr>
              <w:jc w:val="center"/>
            </w:pPr>
          </w:p>
        </w:tc>
        <w:tc>
          <w:tcPr>
            <w:tcW w:w="949" w:type="pct"/>
            <w:tcBorders>
              <w:top w:val="nil"/>
              <w:left w:val="nil"/>
              <w:bottom w:val="nil"/>
              <w:right w:val="single" w:sz="8" w:space="0" w:color="5B9BD5"/>
            </w:tcBorders>
            <w:shd w:val="clear" w:color="auto" w:fill="DEEAF6"/>
            <w:tcMar>
              <w:top w:w="0" w:type="dxa"/>
              <w:left w:w="108" w:type="dxa"/>
              <w:bottom w:w="0" w:type="dxa"/>
              <w:right w:w="108" w:type="dxa"/>
            </w:tcMar>
            <w:hideMark/>
          </w:tcPr>
          <w:p w:rsidR="0011080E" w:rsidRDefault="0011080E" w:rsidP="0011080E">
            <w:pPr>
              <w:jc w:val="center"/>
            </w:pPr>
            <w:r>
              <w:t>457,2</w:t>
            </w:r>
          </w:p>
        </w:tc>
        <w:tc>
          <w:tcPr>
            <w:tcW w:w="847" w:type="pct"/>
            <w:tcBorders>
              <w:top w:val="nil"/>
              <w:left w:val="nil"/>
              <w:bottom w:val="nil"/>
              <w:right w:val="single" w:sz="8" w:space="0" w:color="5B9BD5"/>
            </w:tcBorders>
            <w:shd w:val="clear" w:color="auto" w:fill="DEEAF6"/>
            <w:tcMar>
              <w:top w:w="0" w:type="dxa"/>
              <w:left w:w="108" w:type="dxa"/>
              <w:bottom w:w="0" w:type="dxa"/>
              <w:right w:w="108" w:type="dxa"/>
            </w:tcMar>
            <w:hideMark/>
          </w:tcPr>
          <w:p w:rsidR="0011080E" w:rsidRDefault="0011080E" w:rsidP="0011080E">
            <w:pPr>
              <w:jc w:val="center"/>
            </w:pPr>
            <w:r>
              <w:t>342,5</w:t>
            </w:r>
          </w:p>
        </w:tc>
        <w:tc>
          <w:tcPr>
            <w:tcW w:w="847" w:type="pct"/>
            <w:tcBorders>
              <w:top w:val="nil"/>
              <w:left w:val="nil"/>
              <w:bottom w:val="nil"/>
              <w:right w:val="single" w:sz="8" w:space="0" w:color="5B9BD5"/>
            </w:tcBorders>
            <w:shd w:val="clear" w:color="auto" w:fill="DEEAF6"/>
          </w:tcPr>
          <w:p w:rsidR="0011080E" w:rsidRDefault="0011080E" w:rsidP="0011080E">
            <w:pPr>
              <w:jc w:val="center"/>
            </w:pPr>
            <w:r w:rsidRPr="00246582">
              <w:rPr>
                <w:bCs/>
                <w:sz w:val="20"/>
                <w:szCs w:val="20"/>
              </w:rPr>
              <w:t>310</w:t>
            </w:r>
            <w:r>
              <w:rPr>
                <w:bCs/>
                <w:sz w:val="20"/>
                <w:szCs w:val="20"/>
              </w:rPr>
              <w:t>,0</w:t>
            </w:r>
          </w:p>
        </w:tc>
      </w:tr>
      <w:tr w:rsidR="0011080E" w:rsidTr="0011080E">
        <w:tc>
          <w:tcPr>
            <w:tcW w:w="1381" w:type="pct"/>
            <w:tcBorders>
              <w:top w:val="nil"/>
              <w:left w:val="single" w:sz="8" w:space="0" w:color="5B9BD5"/>
              <w:bottom w:val="nil"/>
              <w:right w:val="single" w:sz="8" w:space="0" w:color="5B9BD5"/>
            </w:tcBorders>
            <w:shd w:val="clear" w:color="auto" w:fill="FFFFFF"/>
            <w:noWrap/>
            <w:tcMar>
              <w:top w:w="0" w:type="dxa"/>
              <w:left w:w="108" w:type="dxa"/>
              <w:bottom w:w="0" w:type="dxa"/>
              <w:right w:w="108" w:type="dxa"/>
            </w:tcMar>
            <w:vAlign w:val="center"/>
            <w:hideMark/>
          </w:tcPr>
          <w:p w:rsidR="0011080E" w:rsidRDefault="0011080E" w:rsidP="0011080E">
            <w:r>
              <w:t>Būsto šildymo išlaidų</w:t>
            </w:r>
          </w:p>
          <w:p w:rsidR="0011080E" w:rsidRDefault="0011080E" w:rsidP="0011080E">
            <w:r>
              <w:t>kompensacijos</w:t>
            </w:r>
          </w:p>
        </w:tc>
        <w:tc>
          <w:tcPr>
            <w:tcW w:w="154" w:type="pct"/>
            <w:tcBorders>
              <w:top w:val="nil"/>
              <w:left w:val="nil"/>
              <w:bottom w:val="nil"/>
              <w:right w:val="single" w:sz="8" w:space="0" w:color="FFFFFF"/>
            </w:tcBorders>
            <w:tcMar>
              <w:top w:w="0" w:type="dxa"/>
              <w:left w:w="108" w:type="dxa"/>
              <w:bottom w:w="0" w:type="dxa"/>
              <w:right w:w="108" w:type="dxa"/>
            </w:tcMar>
            <w:vAlign w:val="center"/>
          </w:tcPr>
          <w:p w:rsidR="0011080E" w:rsidRDefault="0011080E" w:rsidP="0011080E">
            <w:pPr>
              <w:jc w:val="center"/>
            </w:pPr>
          </w:p>
        </w:tc>
        <w:tc>
          <w:tcPr>
            <w:tcW w:w="693" w:type="pct"/>
            <w:tcBorders>
              <w:top w:val="nil"/>
              <w:left w:val="nil"/>
              <w:bottom w:val="nil"/>
              <w:right w:val="nil"/>
            </w:tcBorders>
            <w:vAlign w:val="center"/>
          </w:tcPr>
          <w:p w:rsidR="0011080E" w:rsidRDefault="0011080E" w:rsidP="0011080E">
            <w:pPr>
              <w:jc w:val="center"/>
            </w:pPr>
            <w:r>
              <w:t>210,4</w:t>
            </w:r>
          </w:p>
        </w:tc>
        <w:tc>
          <w:tcPr>
            <w:tcW w:w="128" w:type="pct"/>
            <w:tcBorders>
              <w:top w:val="nil"/>
              <w:left w:val="nil"/>
              <w:bottom w:val="nil"/>
              <w:right w:val="single" w:sz="8" w:space="0" w:color="5B9BD5"/>
            </w:tcBorders>
            <w:tcMar>
              <w:top w:w="0" w:type="dxa"/>
              <w:left w:w="108" w:type="dxa"/>
              <w:bottom w:w="0" w:type="dxa"/>
              <w:right w:w="108" w:type="dxa"/>
            </w:tcMar>
            <w:vAlign w:val="center"/>
          </w:tcPr>
          <w:p w:rsidR="0011080E" w:rsidRDefault="0011080E" w:rsidP="0011080E">
            <w:pPr>
              <w:jc w:val="center"/>
            </w:pPr>
          </w:p>
        </w:tc>
        <w:tc>
          <w:tcPr>
            <w:tcW w:w="949" w:type="pct"/>
            <w:tcBorders>
              <w:top w:val="nil"/>
              <w:left w:val="nil"/>
              <w:bottom w:val="nil"/>
              <w:right w:val="single" w:sz="8" w:space="0" w:color="5B9BD5"/>
            </w:tcBorders>
            <w:tcMar>
              <w:top w:w="0" w:type="dxa"/>
              <w:left w:w="108" w:type="dxa"/>
              <w:bottom w:w="0" w:type="dxa"/>
              <w:right w:w="108" w:type="dxa"/>
            </w:tcMar>
            <w:vAlign w:val="center"/>
            <w:hideMark/>
          </w:tcPr>
          <w:p w:rsidR="0011080E" w:rsidRDefault="0011080E" w:rsidP="0011080E">
            <w:pPr>
              <w:jc w:val="center"/>
            </w:pPr>
            <w:r>
              <w:t>175,4</w:t>
            </w:r>
          </w:p>
        </w:tc>
        <w:tc>
          <w:tcPr>
            <w:tcW w:w="847" w:type="pct"/>
            <w:tcBorders>
              <w:top w:val="nil"/>
              <w:left w:val="nil"/>
              <w:bottom w:val="nil"/>
              <w:right w:val="single" w:sz="8" w:space="0" w:color="5B9BD5"/>
            </w:tcBorders>
            <w:tcMar>
              <w:top w:w="0" w:type="dxa"/>
              <w:left w:w="108" w:type="dxa"/>
              <w:bottom w:w="0" w:type="dxa"/>
              <w:right w:w="108" w:type="dxa"/>
            </w:tcMar>
            <w:vAlign w:val="center"/>
            <w:hideMark/>
          </w:tcPr>
          <w:p w:rsidR="0011080E" w:rsidRDefault="0011080E" w:rsidP="0011080E">
            <w:pPr>
              <w:jc w:val="center"/>
            </w:pPr>
            <w:r>
              <w:t>151,2</w:t>
            </w:r>
          </w:p>
        </w:tc>
        <w:tc>
          <w:tcPr>
            <w:tcW w:w="847" w:type="pct"/>
            <w:tcBorders>
              <w:top w:val="nil"/>
              <w:left w:val="nil"/>
              <w:bottom w:val="nil"/>
              <w:right w:val="single" w:sz="8" w:space="0" w:color="5B9BD5"/>
            </w:tcBorders>
          </w:tcPr>
          <w:p w:rsidR="0011080E" w:rsidRDefault="0011080E" w:rsidP="0011080E">
            <w:pPr>
              <w:jc w:val="center"/>
            </w:pPr>
            <w:r>
              <w:t>155,0</w:t>
            </w:r>
          </w:p>
        </w:tc>
      </w:tr>
      <w:tr w:rsidR="0011080E" w:rsidTr="0011080E">
        <w:tc>
          <w:tcPr>
            <w:tcW w:w="1381" w:type="pct"/>
            <w:tcBorders>
              <w:top w:val="nil"/>
              <w:left w:val="single" w:sz="8" w:space="0" w:color="5B9BD5"/>
              <w:bottom w:val="nil"/>
              <w:right w:val="single" w:sz="8" w:space="0" w:color="5B9BD5"/>
            </w:tcBorders>
            <w:shd w:val="clear" w:color="auto" w:fill="DEEAF6"/>
            <w:noWrap/>
            <w:tcMar>
              <w:top w:w="0" w:type="dxa"/>
              <w:left w:w="108" w:type="dxa"/>
              <w:bottom w:w="0" w:type="dxa"/>
              <w:right w:w="108" w:type="dxa"/>
            </w:tcMar>
            <w:vAlign w:val="center"/>
            <w:hideMark/>
          </w:tcPr>
          <w:p w:rsidR="0011080E" w:rsidRDefault="0011080E" w:rsidP="0011080E">
            <w:r>
              <w:t>Parama maisto produktais</w:t>
            </w:r>
          </w:p>
        </w:tc>
        <w:tc>
          <w:tcPr>
            <w:tcW w:w="154" w:type="pct"/>
            <w:tcBorders>
              <w:top w:val="nil"/>
              <w:left w:val="nil"/>
              <w:bottom w:val="nil"/>
              <w:right w:val="single" w:sz="8" w:space="0" w:color="DBE5F1"/>
            </w:tcBorders>
            <w:shd w:val="clear" w:color="auto" w:fill="D6E6F4"/>
            <w:tcMar>
              <w:top w:w="0" w:type="dxa"/>
              <w:left w:w="108" w:type="dxa"/>
              <w:bottom w:w="0" w:type="dxa"/>
              <w:right w:w="108" w:type="dxa"/>
            </w:tcMar>
            <w:vAlign w:val="center"/>
          </w:tcPr>
          <w:p w:rsidR="0011080E" w:rsidRDefault="0011080E" w:rsidP="0011080E">
            <w:pPr>
              <w:jc w:val="center"/>
            </w:pPr>
          </w:p>
        </w:tc>
        <w:tc>
          <w:tcPr>
            <w:tcW w:w="693" w:type="pct"/>
            <w:tcBorders>
              <w:top w:val="nil"/>
              <w:left w:val="nil"/>
              <w:bottom w:val="nil"/>
              <w:right w:val="nil"/>
            </w:tcBorders>
            <w:shd w:val="clear" w:color="auto" w:fill="D6E6F4"/>
          </w:tcPr>
          <w:p w:rsidR="0011080E" w:rsidRDefault="0011080E" w:rsidP="0011080E">
            <w:pPr>
              <w:jc w:val="center"/>
            </w:pPr>
            <w:r>
              <w:t>1,5</w:t>
            </w:r>
          </w:p>
        </w:tc>
        <w:tc>
          <w:tcPr>
            <w:tcW w:w="128" w:type="pct"/>
            <w:tcBorders>
              <w:top w:val="nil"/>
              <w:left w:val="nil"/>
              <w:bottom w:val="nil"/>
              <w:right w:val="single" w:sz="8" w:space="0" w:color="5B9BD5"/>
            </w:tcBorders>
            <w:shd w:val="clear" w:color="auto" w:fill="D6E6F4"/>
            <w:tcMar>
              <w:top w:w="0" w:type="dxa"/>
              <w:left w:w="108" w:type="dxa"/>
              <w:bottom w:w="0" w:type="dxa"/>
              <w:right w:w="108" w:type="dxa"/>
            </w:tcMar>
            <w:vAlign w:val="center"/>
          </w:tcPr>
          <w:p w:rsidR="0011080E" w:rsidRDefault="0011080E" w:rsidP="0011080E">
            <w:pPr>
              <w:jc w:val="center"/>
            </w:pPr>
          </w:p>
        </w:tc>
        <w:tc>
          <w:tcPr>
            <w:tcW w:w="949" w:type="pct"/>
            <w:tcBorders>
              <w:top w:val="nil"/>
              <w:left w:val="nil"/>
              <w:bottom w:val="nil"/>
              <w:right w:val="single" w:sz="8" w:space="0" w:color="5B9BD5"/>
            </w:tcBorders>
            <w:shd w:val="clear" w:color="auto" w:fill="DEEAF6"/>
            <w:tcMar>
              <w:top w:w="0" w:type="dxa"/>
              <w:left w:w="108" w:type="dxa"/>
              <w:bottom w:w="0" w:type="dxa"/>
              <w:right w:w="108" w:type="dxa"/>
            </w:tcMar>
            <w:hideMark/>
          </w:tcPr>
          <w:p w:rsidR="0011080E" w:rsidRDefault="0011080E" w:rsidP="0011080E">
            <w:pPr>
              <w:jc w:val="center"/>
            </w:pPr>
            <w:r>
              <w:t>4,4</w:t>
            </w:r>
          </w:p>
        </w:tc>
        <w:tc>
          <w:tcPr>
            <w:tcW w:w="847" w:type="pct"/>
            <w:tcBorders>
              <w:top w:val="nil"/>
              <w:left w:val="nil"/>
              <w:bottom w:val="nil"/>
              <w:right w:val="single" w:sz="8" w:space="0" w:color="5B9BD5"/>
            </w:tcBorders>
            <w:shd w:val="clear" w:color="auto" w:fill="DEEAF6"/>
            <w:tcMar>
              <w:top w:w="0" w:type="dxa"/>
              <w:left w:w="108" w:type="dxa"/>
              <w:bottom w:w="0" w:type="dxa"/>
              <w:right w:w="108" w:type="dxa"/>
            </w:tcMar>
            <w:hideMark/>
          </w:tcPr>
          <w:p w:rsidR="0011080E" w:rsidRDefault="0011080E" w:rsidP="0011080E">
            <w:pPr>
              <w:jc w:val="center"/>
            </w:pPr>
            <w:r>
              <w:t>4,0</w:t>
            </w:r>
          </w:p>
        </w:tc>
        <w:tc>
          <w:tcPr>
            <w:tcW w:w="847" w:type="pct"/>
            <w:tcBorders>
              <w:top w:val="nil"/>
              <w:left w:val="nil"/>
              <w:bottom w:val="nil"/>
              <w:right w:val="single" w:sz="8" w:space="0" w:color="5B9BD5"/>
            </w:tcBorders>
            <w:shd w:val="clear" w:color="auto" w:fill="DEEAF6"/>
          </w:tcPr>
          <w:p w:rsidR="0011080E" w:rsidRDefault="0011080E" w:rsidP="0011080E">
            <w:pPr>
              <w:jc w:val="center"/>
            </w:pPr>
            <w:r>
              <w:t>4,0</w:t>
            </w:r>
          </w:p>
        </w:tc>
      </w:tr>
      <w:tr w:rsidR="0011080E" w:rsidTr="0011080E">
        <w:tc>
          <w:tcPr>
            <w:tcW w:w="1381" w:type="pct"/>
            <w:tcBorders>
              <w:top w:val="nil"/>
              <w:left w:val="single" w:sz="8" w:space="0" w:color="5B9BD5"/>
              <w:bottom w:val="nil"/>
              <w:right w:val="single" w:sz="8" w:space="0" w:color="5B9BD5"/>
            </w:tcBorders>
            <w:shd w:val="clear" w:color="auto" w:fill="FFFFFF"/>
            <w:noWrap/>
            <w:tcMar>
              <w:top w:w="0" w:type="dxa"/>
              <w:left w:w="108" w:type="dxa"/>
              <w:bottom w:w="0" w:type="dxa"/>
              <w:right w:w="108" w:type="dxa"/>
            </w:tcMar>
            <w:vAlign w:val="center"/>
            <w:hideMark/>
          </w:tcPr>
          <w:p w:rsidR="0011080E" w:rsidRDefault="0011080E" w:rsidP="0011080E">
            <w:r>
              <w:t>Parama mokinio reikmėms</w:t>
            </w:r>
          </w:p>
        </w:tc>
        <w:tc>
          <w:tcPr>
            <w:tcW w:w="154" w:type="pct"/>
            <w:tcBorders>
              <w:top w:val="nil"/>
              <w:left w:val="nil"/>
              <w:bottom w:val="nil"/>
              <w:right w:val="single" w:sz="8" w:space="0" w:color="FFFFFF"/>
            </w:tcBorders>
            <w:tcMar>
              <w:top w:w="0" w:type="dxa"/>
              <w:left w:w="108" w:type="dxa"/>
              <w:bottom w:w="0" w:type="dxa"/>
              <w:right w:w="108" w:type="dxa"/>
            </w:tcMar>
            <w:vAlign w:val="center"/>
          </w:tcPr>
          <w:p w:rsidR="0011080E" w:rsidRDefault="0011080E" w:rsidP="0011080E">
            <w:pPr>
              <w:jc w:val="center"/>
            </w:pPr>
          </w:p>
        </w:tc>
        <w:tc>
          <w:tcPr>
            <w:tcW w:w="693" w:type="pct"/>
            <w:tcBorders>
              <w:top w:val="nil"/>
              <w:left w:val="nil"/>
              <w:bottom w:val="nil"/>
              <w:right w:val="nil"/>
            </w:tcBorders>
          </w:tcPr>
          <w:p w:rsidR="0011080E" w:rsidRDefault="0011080E" w:rsidP="0011080E">
            <w:pPr>
              <w:jc w:val="center"/>
            </w:pPr>
            <w:r>
              <w:t>26,3</w:t>
            </w:r>
          </w:p>
        </w:tc>
        <w:tc>
          <w:tcPr>
            <w:tcW w:w="128" w:type="pct"/>
            <w:tcBorders>
              <w:top w:val="nil"/>
              <w:left w:val="nil"/>
              <w:bottom w:val="nil"/>
              <w:right w:val="single" w:sz="8" w:space="0" w:color="5B9BD5"/>
            </w:tcBorders>
            <w:tcMar>
              <w:top w:w="0" w:type="dxa"/>
              <w:left w:w="108" w:type="dxa"/>
              <w:bottom w:w="0" w:type="dxa"/>
              <w:right w:w="108" w:type="dxa"/>
            </w:tcMar>
            <w:vAlign w:val="center"/>
          </w:tcPr>
          <w:p w:rsidR="0011080E" w:rsidRDefault="0011080E" w:rsidP="0011080E">
            <w:pPr>
              <w:jc w:val="center"/>
            </w:pPr>
          </w:p>
        </w:tc>
        <w:tc>
          <w:tcPr>
            <w:tcW w:w="949" w:type="pct"/>
            <w:tcBorders>
              <w:top w:val="nil"/>
              <w:left w:val="nil"/>
              <w:bottom w:val="nil"/>
              <w:right w:val="single" w:sz="8" w:space="0" w:color="5B9BD5"/>
            </w:tcBorders>
            <w:tcMar>
              <w:top w:w="0" w:type="dxa"/>
              <w:left w:w="108" w:type="dxa"/>
              <w:bottom w:w="0" w:type="dxa"/>
              <w:right w:w="108" w:type="dxa"/>
            </w:tcMar>
            <w:hideMark/>
          </w:tcPr>
          <w:p w:rsidR="0011080E" w:rsidRDefault="0011080E" w:rsidP="0011080E">
            <w:pPr>
              <w:jc w:val="center"/>
            </w:pPr>
            <w:r>
              <w:t>21,9</w:t>
            </w:r>
          </w:p>
        </w:tc>
        <w:tc>
          <w:tcPr>
            <w:tcW w:w="847" w:type="pct"/>
            <w:tcBorders>
              <w:top w:val="nil"/>
              <w:left w:val="nil"/>
              <w:bottom w:val="nil"/>
              <w:right w:val="single" w:sz="8" w:space="0" w:color="5B9BD5"/>
            </w:tcBorders>
            <w:tcMar>
              <w:top w:w="0" w:type="dxa"/>
              <w:left w:w="108" w:type="dxa"/>
              <w:bottom w:w="0" w:type="dxa"/>
              <w:right w:w="108" w:type="dxa"/>
            </w:tcMar>
            <w:hideMark/>
          </w:tcPr>
          <w:p w:rsidR="0011080E" w:rsidRDefault="0011080E" w:rsidP="0011080E">
            <w:pPr>
              <w:jc w:val="center"/>
            </w:pPr>
            <w:r>
              <w:t>22,3</w:t>
            </w:r>
          </w:p>
        </w:tc>
        <w:tc>
          <w:tcPr>
            <w:tcW w:w="847" w:type="pct"/>
            <w:tcBorders>
              <w:top w:val="nil"/>
              <w:left w:val="nil"/>
              <w:bottom w:val="nil"/>
              <w:right w:val="single" w:sz="8" w:space="0" w:color="5B9BD5"/>
            </w:tcBorders>
          </w:tcPr>
          <w:p w:rsidR="0011080E" w:rsidRDefault="0011080E" w:rsidP="0011080E">
            <w:pPr>
              <w:jc w:val="center"/>
            </w:pPr>
            <w:r>
              <w:t>17,2</w:t>
            </w:r>
          </w:p>
        </w:tc>
      </w:tr>
      <w:tr w:rsidR="0011080E" w:rsidTr="0011080E">
        <w:tc>
          <w:tcPr>
            <w:tcW w:w="1381" w:type="pct"/>
            <w:tcBorders>
              <w:top w:val="nil"/>
              <w:left w:val="single" w:sz="8" w:space="0" w:color="5B9BD5"/>
              <w:bottom w:val="nil"/>
              <w:right w:val="single" w:sz="8" w:space="0" w:color="5B9BD5"/>
            </w:tcBorders>
            <w:shd w:val="clear" w:color="auto" w:fill="DEEAF6"/>
            <w:noWrap/>
            <w:tcMar>
              <w:top w:w="0" w:type="dxa"/>
              <w:left w:w="108" w:type="dxa"/>
              <w:bottom w:w="0" w:type="dxa"/>
              <w:right w:w="108" w:type="dxa"/>
            </w:tcMar>
            <w:vAlign w:val="center"/>
            <w:hideMark/>
          </w:tcPr>
          <w:p w:rsidR="0011080E" w:rsidRDefault="0011080E" w:rsidP="0011080E">
            <w:r>
              <w:t>Mokinių nemokamas maitinimas</w:t>
            </w:r>
          </w:p>
        </w:tc>
        <w:tc>
          <w:tcPr>
            <w:tcW w:w="154" w:type="pct"/>
            <w:tcBorders>
              <w:top w:val="nil"/>
              <w:left w:val="nil"/>
              <w:bottom w:val="nil"/>
              <w:right w:val="single" w:sz="8" w:space="0" w:color="DBE5F1"/>
            </w:tcBorders>
            <w:shd w:val="clear" w:color="auto" w:fill="D6E6F4"/>
            <w:tcMar>
              <w:top w:w="0" w:type="dxa"/>
              <w:left w:w="108" w:type="dxa"/>
              <w:bottom w:w="0" w:type="dxa"/>
              <w:right w:w="108" w:type="dxa"/>
            </w:tcMar>
            <w:vAlign w:val="center"/>
          </w:tcPr>
          <w:p w:rsidR="0011080E" w:rsidRDefault="0011080E" w:rsidP="0011080E">
            <w:pPr>
              <w:jc w:val="center"/>
            </w:pPr>
          </w:p>
        </w:tc>
        <w:tc>
          <w:tcPr>
            <w:tcW w:w="693" w:type="pct"/>
            <w:tcBorders>
              <w:top w:val="nil"/>
              <w:left w:val="nil"/>
              <w:bottom w:val="nil"/>
              <w:right w:val="nil"/>
            </w:tcBorders>
            <w:shd w:val="clear" w:color="auto" w:fill="D6E6F4"/>
          </w:tcPr>
          <w:p w:rsidR="0011080E" w:rsidRDefault="0011080E" w:rsidP="0011080E">
            <w:pPr>
              <w:jc w:val="center"/>
            </w:pPr>
            <w:r>
              <w:t>131,7</w:t>
            </w:r>
          </w:p>
        </w:tc>
        <w:tc>
          <w:tcPr>
            <w:tcW w:w="128" w:type="pct"/>
            <w:tcBorders>
              <w:top w:val="nil"/>
              <w:left w:val="nil"/>
              <w:bottom w:val="nil"/>
              <w:right w:val="single" w:sz="8" w:space="0" w:color="5B9BD5"/>
            </w:tcBorders>
            <w:shd w:val="clear" w:color="auto" w:fill="D6E6F4"/>
            <w:tcMar>
              <w:top w:w="0" w:type="dxa"/>
              <w:left w:w="108" w:type="dxa"/>
              <w:bottom w:w="0" w:type="dxa"/>
              <w:right w:w="108" w:type="dxa"/>
            </w:tcMar>
            <w:vAlign w:val="center"/>
          </w:tcPr>
          <w:p w:rsidR="0011080E" w:rsidRDefault="0011080E" w:rsidP="0011080E">
            <w:pPr>
              <w:jc w:val="center"/>
            </w:pPr>
          </w:p>
        </w:tc>
        <w:tc>
          <w:tcPr>
            <w:tcW w:w="949" w:type="pct"/>
            <w:tcBorders>
              <w:top w:val="nil"/>
              <w:left w:val="nil"/>
              <w:bottom w:val="nil"/>
              <w:right w:val="single" w:sz="8" w:space="0" w:color="5B9BD5"/>
            </w:tcBorders>
            <w:shd w:val="clear" w:color="auto" w:fill="DEEAF6"/>
            <w:tcMar>
              <w:top w:w="0" w:type="dxa"/>
              <w:left w:w="108" w:type="dxa"/>
              <w:bottom w:w="0" w:type="dxa"/>
              <w:right w:w="108" w:type="dxa"/>
            </w:tcMar>
            <w:hideMark/>
          </w:tcPr>
          <w:p w:rsidR="0011080E" w:rsidRDefault="0011080E" w:rsidP="0011080E">
            <w:pPr>
              <w:jc w:val="center"/>
            </w:pPr>
            <w:r>
              <w:t>127,2</w:t>
            </w:r>
          </w:p>
        </w:tc>
        <w:tc>
          <w:tcPr>
            <w:tcW w:w="847" w:type="pct"/>
            <w:tcBorders>
              <w:top w:val="nil"/>
              <w:left w:val="nil"/>
              <w:bottom w:val="nil"/>
              <w:right w:val="single" w:sz="8" w:space="0" w:color="5B9BD5"/>
            </w:tcBorders>
            <w:shd w:val="clear" w:color="auto" w:fill="DEEAF6"/>
            <w:tcMar>
              <w:top w:w="0" w:type="dxa"/>
              <w:left w:w="108" w:type="dxa"/>
              <w:bottom w:w="0" w:type="dxa"/>
              <w:right w:w="108" w:type="dxa"/>
            </w:tcMar>
            <w:hideMark/>
          </w:tcPr>
          <w:p w:rsidR="0011080E" w:rsidRDefault="0011080E" w:rsidP="0011080E">
            <w:pPr>
              <w:jc w:val="center"/>
            </w:pPr>
            <w:r>
              <w:t>108,2</w:t>
            </w:r>
          </w:p>
        </w:tc>
        <w:tc>
          <w:tcPr>
            <w:tcW w:w="847" w:type="pct"/>
            <w:tcBorders>
              <w:top w:val="nil"/>
              <w:left w:val="nil"/>
              <w:bottom w:val="nil"/>
              <w:right w:val="single" w:sz="8" w:space="0" w:color="5B9BD5"/>
            </w:tcBorders>
            <w:shd w:val="clear" w:color="auto" w:fill="DEEAF6"/>
          </w:tcPr>
          <w:p w:rsidR="0011080E" w:rsidRDefault="0011080E" w:rsidP="0011080E">
            <w:pPr>
              <w:jc w:val="center"/>
            </w:pPr>
            <w:r>
              <w:t>87,6</w:t>
            </w:r>
          </w:p>
        </w:tc>
      </w:tr>
      <w:tr w:rsidR="0011080E" w:rsidTr="0011080E">
        <w:tc>
          <w:tcPr>
            <w:tcW w:w="1381" w:type="pct"/>
            <w:tcBorders>
              <w:top w:val="nil"/>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vAlign w:val="center"/>
            <w:hideMark/>
          </w:tcPr>
          <w:p w:rsidR="0011080E" w:rsidRDefault="0011080E" w:rsidP="0011080E">
            <w:r>
              <w:t>Vienkartinės pašalpos socialiai remtiniems asmenims</w:t>
            </w:r>
          </w:p>
        </w:tc>
        <w:tc>
          <w:tcPr>
            <w:tcW w:w="154" w:type="pct"/>
            <w:tcBorders>
              <w:top w:val="nil"/>
              <w:left w:val="nil"/>
              <w:bottom w:val="single" w:sz="8" w:space="0" w:color="5B9BD5"/>
              <w:right w:val="single" w:sz="8" w:space="0" w:color="FFFFFF"/>
            </w:tcBorders>
            <w:shd w:val="clear" w:color="auto" w:fill="FFFFFF"/>
            <w:tcMar>
              <w:top w:w="0" w:type="dxa"/>
              <w:left w:w="108" w:type="dxa"/>
              <w:bottom w:w="0" w:type="dxa"/>
              <w:right w:w="108" w:type="dxa"/>
            </w:tcMar>
            <w:vAlign w:val="center"/>
          </w:tcPr>
          <w:p w:rsidR="0011080E" w:rsidRDefault="0011080E" w:rsidP="0011080E">
            <w:pPr>
              <w:jc w:val="center"/>
            </w:pPr>
          </w:p>
        </w:tc>
        <w:tc>
          <w:tcPr>
            <w:tcW w:w="693" w:type="pct"/>
            <w:tcBorders>
              <w:top w:val="nil"/>
              <w:left w:val="nil"/>
              <w:bottom w:val="single" w:sz="8" w:space="0" w:color="5B9BD5"/>
              <w:right w:val="nil"/>
            </w:tcBorders>
            <w:shd w:val="clear" w:color="auto" w:fill="FFFFFF"/>
            <w:vAlign w:val="center"/>
          </w:tcPr>
          <w:p w:rsidR="0011080E" w:rsidRDefault="0011080E" w:rsidP="0011080E">
            <w:pPr>
              <w:jc w:val="center"/>
            </w:pPr>
            <w:r>
              <w:t>3,5</w:t>
            </w:r>
          </w:p>
        </w:tc>
        <w:tc>
          <w:tcPr>
            <w:tcW w:w="128" w:type="pct"/>
            <w:tcBorders>
              <w:top w:val="nil"/>
              <w:left w:val="nil"/>
              <w:bottom w:val="single" w:sz="8" w:space="0" w:color="5B9BD5"/>
              <w:right w:val="single" w:sz="8" w:space="0" w:color="5B9BD5"/>
            </w:tcBorders>
            <w:shd w:val="clear" w:color="auto" w:fill="FFFFFF"/>
            <w:tcMar>
              <w:top w:w="0" w:type="dxa"/>
              <w:left w:w="108" w:type="dxa"/>
              <w:bottom w:w="0" w:type="dxa"/>
              <w:right w:w="108" w:type="dxa"/>
            </w:tcMar>
            <w:vAlign w:val="center"/>
          </w:tcPr>
          <w:p w:rsidR="0011080E" w:rsidRDefault="0011080E" w:rsidP="0011080E">
            <w:pPr>
              <w:jc w:val="center"/>
            </w:pPr>
          </w:p>
        </w:tc>
        <w:tc>
          <w:tcPr>
            <w:tcW w:w="949" w:type="pct"/>
            <w:tcBorders>
              <w:top w:val="nil"/>
              <w:left w:val="nil"/>
              <w:bottom w:val="single" w:sz="8" w:space="0" w:color="5B9BD5"/>
              <w:right w:val="single" w:sz="8" w:space="0" w:color="5B9BD5"/>
            </w:tcBorders>
            <w:tcMar>
              <w:top w:w="0" w:type="dxa"/>
              <w:left w:w="108" w:type="dxa"/>
              <w:bottom w:w="0" w:type="dxa"/>
              <w:right w:w="108" w:type="dxa"/>
            </w:tcMar>
            <w:vAlign w:val="center"/>
            <w:hideMark/>
          </w:tcPr>
          <w:p w:rsidR="0011080E" w:rsidRDefault="0011080E" w:rsidP="0011080E">
            <w:pPr>
              <w:jc w:val="center"/>
            </w:pPr>
            <w:r>
              <w:t>4,0</w:t>
            </w:r>
          </w:p>
        </w:tc>
        <w:tc>
          <w:tcPr>
            <w:tcW w:w="847" w:type="pct"/>
            <w:tcBorders>
              <w:top w:val="nil"/>
              <w:left w:val="nil"/>
              <w:bottom w:val="single" w:sz="8" w:space="0" w:color="5B9BD5"/>
              <w:right w:val="single" w:sz="8" w:space="0" w:color="5B9BD5"/>
            </w:tcBorders>
            <w:tcMar>
              <w:top w:w="0" w:type="dxa"/>
              <w:left w:w="108" w:type="dxa"/>
              <w:bottom w:w="0" w:type="dxa"/>
              <w:right w:w="108" w:type="dxa"/>
            </w:tcMar>
            <w:vAlign w:val="center"/>
            <w:hideMark/>
          </w:tcPr>
          <w:p w:rsidR="0011080E" w:rsidRDefault="0011080E" w:rsidP="0011080E">
            <w:pPr>
              <w:jc w:val="center"/>
            </w:pPr>
            <w:r>
              <w:t>4,2</w:t>
            </w:r>
          </w:p>
        </w:tc>
        <w:tc>
          <w:tcPr>
            <w:tcW w:w="847" w:type="pct"/>
            <w:tcBorders>
              <w:top w:val="nil"/>
              <w:left w:val="nil"/>
              <w:bottom w:val="single" w:sz="8" w:space="0" w:color="5B9BD5"/>
              <w:right w:val="single" w:sz="8" w:space="0" w:color="5B9BD5"/>
            </w:tcBorders>
          </w:tcPr>
          <w:p w:rsidR="0011080E" w:rsidRDefault="0011080E" w:rsidP="0011080E">
            <w:pPr>
              <w:jc w:val="center"/>
            </w:pPr>
            <w:r>
              <w:t>5,2</w:t>
            </w:r>
          </w:p>
        </w:tc>
      </w:tr>
    </w:tbl>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Default="0011080E" w:rsidP="0011080E">
      <w:pPr>
        <w:pStyle w:val="Title"/>
        <w:jc w:val="center"/>
        <w:rPr>
          <w:rFonts w:ascii="Times New Roman" w:hAnsi="Times New Roman" w:cs="Times New Roman"/>
          <w:sz w:val="20"/>
          <w:szCs w:val="20"/>
        </w:rPr>
      </w:pPr>
    </w:p>
    <w:p w:rsidR="0011080E" w:rsidRPr="00544EAE" w:rsidRDefault="004A6199" w:rsidP="0011080E">
      <w:pPr>
        <w:autoSpaceDE w:val="0"/>
        <w:autoSpaceDN w:val="0"/>
        <w:adjustRightInd w:val="0"/>
        <w:spacing w:line="276" w:lineRule="auto"/>
        <w:jc w:val="center"/>
        <w:rPr>
          <w:rFonts w:ascii="Times New Roman" w:hAnsi="Times New Roman"/>
          <w:b/>
        </w:rPr>
      </w:pPr>
      <w:r>
        <w:rPr>
          <w:rFonts w:ascii="Times New Roman" w:hAnsi="Times New Roman"/>
          <w:b/>
          <w:bCs/>
        </w:rPr>
        <w:t>3</w:t>
      </w:r>
      <w:r w:rsidR="0011080E" w:rsidRPr="00544EAE">
        <w:rPr>
          <w:rFonts w:ascii="Times New Roman" w:hAnsi="Times New Roman"/>
          <w:b/>
          <w:bCs/>
        </w:rPr>
        <w:t xml:space="preserve"> lentelė. </w:t>
      </w:r>
      <w:r>
        <w:rPr>
          <w:rFonts w:ascii="Times New Roman" w:hAnsi="Times New Roman"/>
          <w:b/>
          <w:bCs/>
        </w:rPr>
        <w:t>Socialinė parama Kazlų Rūdos savivaldybėje</w:t>
      </w:r>
      <w:r w:rsidRPr="00544EAE">
        <w:rPr>
          <w:rFonts w:ascii="Times New Roman" w:hAnsi="Times New Roman"/>
          <w:b/>
          <w:bCs/>
        </w:rPr>
        <w:t xml:space="preserve"> </w:t>
      </w:r>
    </w:p>
    <w:p w:rsidR="004A6199" w:rsidRDefault="004A6199" w:rsidP="004A6199">
      <w:pPr>
        <w:pStyle w:val="Title"/>
        <w:jc w:val="center"/>
        <w:rPr>
          <w:rFonts w:ascii="Times New Roman" w:hAnsi="Times New Roman" w:cs="Times New Roman"/>
          <w:sz w:val="20"/>
          <w:szCs w:val="20"/>
        </w:rPr>
      </w:pPr>
      <w:r>
        <w:rPr>
          <w:rFonts w:ascii="Times New Roman" w:hAnsi="Times New Roman" w:cs="Times New Roman"/>
          <w:sz w:val="20"/>
          <w:szCs w:val="20"/>
        </w:rPr>
        <w:t xml:space="preserve">Šaltinis: Kazlų Rūdos savivaldybės administracijos duomenys </w:t>
      </w:r>
    </w:p>
    <w:p w:rsidR="0011080E" w:rsidRDefault="0011080E" w:rsidP="0011080E">
      <w:pPr>
        <w:pStyle w:val="Title"/>
        <w:rPr>
          <w:rFonts w:ascii="Times New Roman" w:hAnsi="Times New Roman" w:cs="Times New Roman"/>
        </w:rPr>
      </w:pPr>
    </w:p>
    <w:p w:rsidR="004A6199" w:rsidRPr="008B437D" w:rsidRDefault="004A6199" w:rsidP="004A6199">
      <w:pPr>
        <w:pStyle w:val="Subtitle"/>
        <w:spacing w:after="0"/>
        <w:jc w:val="both"/>
        <w:rPr>
          <w:rFonts w:ascii="Times New Roman" w:hAnsi="Times New Roman"/>
        </w:rPr>
      </w:pPr>
      <w:r>
        <w:rPr>
          <w:rFonts w:ascii="Times New Roman" w:hAnsi="Times New Roman"/>
          <w:color w:val="000000"/>
        </w:rPr>
        <w:t xml:space="preserve">          </w:t>
      </w:r>
      <w:r w:rsidR="0011080E" w:rsidRPr="008B437D">
        <w:rPr>
          <w:rFonts w:ascii="Times New Roman" w:hAnsi="Times New Roman"/>
          <w:color w:val="000000"/>
        </w:rPr>
        <w:t>Lėšų</w:t>
      </w:r>
      <w:r w:rsidR="0011080E" w:rsidRPr="008B437D">
        <w:rPr>
          <w:rFonts w:ascii="Times New Roman" w:hAnsi="Times New Roman"/>
        </w:rPr>
        <w:t xml:space="preserve"> poreikis piniginei socialinei paramai nepasiturintiems Kazlų Rūdos savivaldybės </w:t>
      </w:r>
      <w:r w:rsidRPr="008B437D">
        <w:rPr>
          <w:rFonts w:ascii="Times New Roman" w:hAnsi="Times New Roman"/>
        </w:rPr>
        <w:t xml:space="preserve"> </w:t>
      </w:r>
    </w:p>
    <w:p w:rsidR="004A6199" w:rsidRPr="008B437D" w:rsidRDefault="004A6199" w:rsidP="004A6199">
      <w:pPr>
        <w:pStyle w:val="Subtitle"/>
        <w:spacing w:after="0"/>
        <w:jc w:val="both"/>
        <w:rPr>
          <w:rFonts w:ascii="Times New Roman" w:hAnsi="Times New Roman"/>
        </w:rPr>
      </w:pPr>
      <w:r w:rsidRPr="008B437D">
        <w:rPr>
          <w:rFonts w:ascii="Times New Roman" w:hAnsi="Times New Roman"/>
        </w:rPr>
        <w:t xml:space="preserve">         </w:t>
      </w:r>
      <w:r w:rsidR="0011080E" w:rsidRPr="008B437D">
        <w:rPr>
          <w:rFonts w:ascii="Times New Roman" w:hAnsi="Times New Roman"/>
        </w:rPr>
        <w:t xml:space="preserve">gyventojams  mažėja. Tam įtakos turi sugriežtinta piniginės socialinės pašalpos mokėjimo tvarka: </w:t>
      </w:r>
      <w:r w:rsidRPr="008B437D">
        <w:rPr>
          <w:rFonts w:ascii="Times New Roman" w:hAnsi="Times New Roman"/>
        </w:rPr>
        <w:t xml:space="preserve"> </w:t>
      </w:r>
    </w:p>
    <w:p w:rsidR="0011080E" w:rsidRPr="008B437D" w:rsidRDefault="004A6199" w:rsidP="004A6199">
      <w:pPr>
        <w:pStyle w:val="Subtitle"/>
        <w:spacing w:after="0"/>
        <w:jc w:val="both"/>
        <w:rPr>
          <w:rFonts w:ascii="Times New Roman" w:hAnsi="Times New Roman"/>
        </w:rPr>
      </w:pPr>
      <w:r w:rsidRPr="008B437D">
        <w:rPr>
          <w:rFonts w:ascii="Times New Roman" w:hAnsi="Times New Roman"/>
        </w:rPr>
        <w:t xml:space="preserve">         </w:t>
      </w:r>
      <w:r w:rsidR="0011080E" w:rsidRPr="008B437D">
        <w:rPr>
          <w:rFonts w:ascii="Times New Roman" w:hAnsi="Times New Roman"/>
        </w:rPr>
        <w:t>visuomenei naudingų darbų atlikimas, nuolatinis gyvenimo ir buities sąlygų tikrinimas.</w:t>
      </w:r>
    </w:p>
    <w:p w:rsidR="008B437D" w:rsidRPr="008B437D" w:rsidRDefault="008B437D" w:rsidP="008B437D">
      <w:pPr>
        <w:pStyle w:val="Title"/>
        <w:ind w:left="567"/>
        <w:jc w:val="both"/>
        <w:rPr>
          <w:rFonts w:ascii="Times New Roman" w:hAnsi="Times New Roman" w:cs="Times New Roman"/>
          <w:sz w:val="24"/>
          <w:szCs w:val="24"/>
        </w:rPr>
      </w:pPr>
      <w:r w:rsidRPr="008B437D">
        <w:rPr>
          <w:rFonts w:ascii="Times New Roman" w:hAnsi="Times New Roman" w:cs="Times New Roman"/>
          <w:sz w:val="24"/>
          <w:szCs w:val="24"/>
        </w:rPr>
        <w:t>2016 metų pabaigoje savivaldybėje gyveno 2860 pensinio amžiaus asmenys. Tai sudaro 23,3 procentus bendro Kazlų Rūdos savivaldybės gyventojų skaičiaus. Santykinė pensinio amžiaus gyventojų dalis yra šiek tiek didesnė už šalies vidurkį (22,4 proc.).</w:t>
      </w:r>
    </w:p>
    <w:p w:rsidR="008B437D" w:rsidRPr="008B437D" w:rsidRDefault="008B437D" w:rsidP="008B437D">
      <w:pPr>
        <w:ind w:left="567"/>
        <w:jc w:val="both"/>
        <w:rPr>
          <w:rFonts w:ascii="Times New Roman" w:hAnsi="Times New Roman"/>
          <w:sz w:val="24"/>
          <w:szCs w:val="24"/>
        </w:rPr>
      </w:pPr>
      <w:r w:rsidRPr="008B437D">
        <w:rPr>
          <w:rFonts w:ascii="Times New Roman" w:hAnsi="Times New Roman"/>
          <w:sz w:val="24"/>
          <w:szCs w:val="24"/>
        </w:rPr>
        <w:t xml:space="preserve">Kazlų Rūdos savivaldybės teritorijoje 2017 m. socialines paslaugas įvairioms klientų grupėms teikė 6 įstaigos, iš jų: dvi viešosios socialinių paslaugų įstaigos ar jų filialai, viena visuomeninės organizacijos, viena asociacija, dvi kaimo bendruomenių organizacijos. </w:t>
      </w:r>
    </w:p>
    <w:p w:rsidR="0011080E" w:rsidRDefault="0011080E" w:rsidP="0011080E">
      <w:pPr>
        <w:pStyle w:val="Subtitle"/>
        <w:jc w:val="both"/>
        <w:rPr>
          <w:rFonts w:ascii="Times New Roman" w:hAnsi="Times New Roman"/>
        </w:rPr>
      </w:pPr>
    </w:p>
    <w:p w:rsidR="0011080E" w:rsidRPr="008B437D" w:rsidRDefault="004A6199" w:rsidP="008B437D">
      <w:pPr>
        <w:pStyle w:val="Subtitle"/>
        <w:rPr>
          <w:rFonts w:ascii="Times New Roman" w:hAnsi="Times New Roman"/>
        </w:rPr>
      </w:pPr>
      <w:r>
        <w:rPr>
          <w:rFonts w:ascii="Times New Roman" w:hAnsi="Times New Roman"/>
          <w:noProof/>
        </w:rPr>
        <w:lastRenderedPageBreak/>
        <w:drawing>
          <wp:inline distT="0" distB="0" distL="0" distR="0">
            <wp:extent cx="5295900" cy="30194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B437D" w:rsidRPr="00466796" w:rsidRDefault="008B437D" w:rsidP="008B437D">
      <w:pPr>
        <w:spacing w:line="259" w:lineRule="auto"/>
        <w:ind w:left="426"/>
        <w:jc w:val="center"/>
        <w:rPr>
          <w:rFonts w:ascii="Times New Roman" w:hAnsi="Times New Roman"/>
          <w:b/>
          <w:bCs/>
          <w:sz w:val="24"/>
          <w:szCs w:val="24"/>
        </w:rPr>
      </w:pPr>
      <w:r>
        <w:rPr>
          <w:rFonts w:ascii="Times New Roman" w:hAnsi="Times New Roman"/>
          <w:b/>
          <w:noProof/>
        </w:rPr>
        <w:t>8</w:t>
      </w:r>
      <w:r w:rsidRPr="008F0245">
        <w:rPr>
          <w:rFonts w:ascii="Times New Roman" w:hAnsi="Times New Roman"/>
          <w:b/>
          <w:noProof/>
        </w:rPr>
        <w:t xml:space="preserve"> pav. </w:t>
      </w:r>
      <w:r>
        <w:rPr>
          <w:rFonts w:ascii="Times New Roman" w:hAnsi="Times New Roman"/>
          <w:b/>
          <w:color w:val="000000"/>
        </w:rPr>
        <w:t>Paramą gavusių asmenų skaičius</w:t>
      </w:r>
    </w:p>
    <w:p w:rsidR="0011080E" w:rsidRDefault="0011080E" w:rsidP="0011080E">
      <w:pPr>
        <w:pStyle w:val="Title"/>
        <w:jc w:val="center"/>
        <w:rPr>
          <w:rFonts w:ascii="Times New Roman" w:hAnsi="Times New Roman" w:cs="Times New Roman"/>
          <w:sz w:val="20"/>
          <w:szCs w:val="20"/>
        </w:rPr>
      </w:pPr>
      <w:r>
        <w:rPr>
          <w:rFonts w:ascii="Times New Roman" w:hAnsi="Times New Roman" w:cs="Times New Roman"/>
          <w:sz w:val="20"/>
          <w:szCs w:val="20"/>
        </w:rPr>
        <w:t>Šaltinis: sudaryta pagal Kazlų Rūdos savivaldybės administracijos pateiktą informaciją</w:t>
      </w:r>
    </w:p>
    <w:p w:rsidR="0011080E" w:rsidRDefault="0011080E" w:rsidP="008B437D">
      <w:pPr>
        <w:spacing w:line="259" w:lineRule="auto"/>
        <w:jc w:val="both"/>
        <w:rPr>
          <w:rFonts w:ascii="Times New Roman" w:hAnsi="Times New Roman"/>
          <w:b/>
          <w:bCs/>
          <w:sz w:val="24"/>
          <w:szCs w:val="24"/>
        </w:rPr>
      </w:pPr>
    </w:p>
    <w:p w:rsidR="002053BD" w:rsidRPr="002053BD" w:rsidRDefault="002053BD" w:rsidP="002E456D">
      <w:pPr>
        <w:spacing w:line="259" w:lineRule="auto"/>
        <w:ind w:left="426"/>
        <w:jc w:val="both"/>
        <w:rPr>
          <w:rFonts w:ascii="Times New Roman" w:hAnsi="Times New Roman"/>
          <w:b/>
          <w:bCs/>
          <w:sz w:val="24"/>
          <w:szCs w:val="24"/>
        </w:rPr>
      </w:pPr>
      <w:r w:rsidRPr="002053BD">
        <w:rPr>
          <w:rFonts w:ascii="Times New Roman" w:hAnsi="Times New Roman"/>
          <w:b/>
          <w:bCs/>
          <w:sz w:val="24"/>
          <w:szCs w:val="24"/>
        </w:rPr>
        <w:t>Sveikatos apsauga</w:t>
      </w:r>
    </w:p>
    <w:p w:rsidR="002053BD" w:rsidRDefault="002053BD" w:rsidP="002E456D">
      <w:pPr>
        <w:spacing w:line="259" w:lineRule="auto"/>
        <w:ind w:left="426"/>
        <w:jc w:val="both"/>
        <w:rPr>
          <w:rFonts w:ascii="Times New Roman" w:hAnsi="Times New Roman"/>
          <w:bCs/>
          <w:sz w:val="24"/>
          <w:szCs w:val="24"/>
        </w:rPr>
      </w:pPr>
    </w:p>
    <w:p w:rsidR="003B41C8" w:rsidRDefault="002053BD" w:rsidP="002053BD">
      <w:pPr>
        <w:spacing w:line="259" w:lineRule="auto"/>
        <w:ind w:left="426"/>
        <w:jc w:val="both"/>
        <w:rPr>
          <w:rFonts w:ascii="Times New Roman" w:hAnsi="Times New Roman"/>
          <w:bCs/>
          <w:sz w:val="24"/>
          <w:szCs w:val="24"/>
        </w:rPr>
      </w:pPr>
      <w:r>
        <w:rPr>
          <w:rFonts w:ascii="Times New Roman" w:hAnsi="Times New Roman"/>
          <w:bCs/>
          <w:sz w:val="24"/>
          <w:szCs w:val="24"/>
        </w:rPr>
        <w:t xml:space="preserve">Sveikatos priežiūros sistemos kokybės ir paslaugų prieinamumo didinimas tebėra vienas iš esminių tikslų. </w:t>
      </w:r>
      <w:r w:rsidR="003B41C8">
        <w:rPr>
          <w:rFonts w:ascii="Times New Roman" w:hAnsi="Times New Roman"/>
          <w:bCs/>
          <w:sz w:val="24"/>
          <w:szCs w:val="24"/>
        </w:rPr>
        <w:t>Iššūkis, su kuriuo susiduria visa Europa , - tai senėjančių gyventojų amžiaus struktūra, kuri ne tik daro įtaką atitinkamiems sveikatos sektoriaus rodikliams, bet ir įpareigoja keisti sveikatos priežiūros paslaugų apimtį, teikimo būdus ir prisitaikyti. Nuo 2011 m. iki 2015 m. mirtingumas nuo kraujotakos sistemos ligos tebėra pagrindinė mirties priežastis šalyje.</w:t>
      </w:r>
      <w:r w:rsidR="003B41C8" w:rsidRPr="003B41C8">
        <w:rPr>
          <w:rFonts w:ascii="Times New Roman" w:hAnsi="Times New Roman"/>
          <w:bCs/>
          <w:sz w:val="24"/>
          <w:szCs w:val="24"/>
          <w:vertAlign w:val="superscript"/>
        </w:rPr>
        <w:t>7</w:t>
      </w:r>
    </w:p>
    <w:p w:rsidR="002053BD" w:rsidRPr="002053BD" w:rsidRDefault="002053BD" w:rsidP="003B41C8">
      <w:pPr>
        <w:spacing w:line="259" w:lineRule="auto"/>
        <w:ind w:left="426"/>
        <w:jc w:val="both"/>
        <w:rPr>
          <w:rFonts w:ascii="Times New Roman" w:hAnsi="Times New Roman"/>
          <w:bCs/>
          <w:sz w:val="24"/>
          <w:szCs w:val="24"/>
        </w:rPr>
      </w:pPr>
      <w:r w:rsidRPr="002053BD">
        <w:rPr>
          <w:rFonts w:ascii="Times New Roman" w:hAnsi="Times New Roman"/>
          <w:bCs/>
          <w:sz w:val="24"/>
          <w:szCs w:val="24"/>
        </w:rPr>
        <w:t xml:space="preserve">Kazlų Rūdos savivaldybėje asmens sveikatos priežiūros paslaugas teikia šios įstaigos: VšĮ Kazlų Rūdos pirminės sveikatos priežiūros </w:t>
      </w:r>
      <w:r w:rsidR="003B41C8">
        <w:rPr>
          <w:rFonts w:ascii="Times New Roman" w:hAnsi="Times New Roman"/>
          <w:bCs/>
          <w:sz w:val="24"/>
          <w:szCs w:val="24"/>
        </w:rPr>
        <w:t xml:space="preserve"> m. iki </w:t>
      </w:r>
      <w:r w:rsidRPr="002053BD">
        <w:rPr>
          <w:rFonts w:ascii="Times New Roman" w:hAnsi="Times New Roman"/>
          <w:bCs/>
          <w:sz w:val="24"/>
          <w:szCs w:val="24"/>
        </w:rPr>
        <w:t xml:space="preserve">centras ir jo filialai: </w:t>
      </w:r>
      <w:proofErr w:type="spellStart"/>
      <w:r w:rsidRPr="002053BD">
        <w:rPr>
          <w:rFonts w:ascii="Times New Roman" w:hAnsi="Times New Roman"/>
          <w:bCs/>
          <w:sz w:val="24"/>
          <w:szCs w:val="24"/>
        </w:rPr>
        <w:t>Višakio</w:t>
      </w:r>
      <w:proofErr w:type="spellEnd"/>
      <w:r w:rsidRPr="002053BD">
        <w:rPr>
          <w:rFonts w:ascii="Times New Roman" w:hAnsi="Times New Roman"/>
          <w:bCs/>
          <w:sz w:val="24"/>
          <w:szCs w:val="24"/>
        </w:rPr>
        <w:t xml:space="preserve"> Rūdos medicinos punktas, Ąžuolų Būdos medicinos punktas, </w:t>
      </w:r>
      <w:proofErr w:type="spellStart"/>
      <w:r w:rsidRPr="002053BD">
        <w:rPr>
          <w:rFonts w:ascii="Times New Roman" w:hAnsi="Times New Roman"/>
          <w:bCs/>
          <w:sz w:val="24"/>
          <w:szCs w:val="24"/>
        </w:rPr>
        <w:t>Subačiškės</w:t>
      </w:r>
      <w:proofErr w:type="spellEnd"/>
      <w:r w:rsidRPr="002053BD">
        <w:rPr>
          <w:rFonts w:ascii="Times New Roman" w:hAnsi="Times New Roman"/>
          <w:bCs/>
          <w:sz w:val="24"/>
          <w:szCs w:val="24"/>
        </w:rPr>
        <w:t xml:space="preserve"> medicinos punktas, Plutiškių medicinos punktas, Jūrės medicinos punktas, </w:t>
      </w:r>
      <w:proofErr w:type="spellStart"/>
      <w:r w:rsidRPr="002053BD">
        <w:rPr>
          <w:rFonts w:ascii="Times New Roman" w:hAnsi="Times New Roman"/>
          <w:bCs/>
          <w:sz w:val="24"/>
          <w:szCs w:val="24"/>
        </w:rPr>
        <w:t>Bebruliškės</w:t>
      </w:r>
      <w:proofErr w:type="spellEnd"/>
      <w:r w:rsidRPr="002053BD">
        <w:rPr>
          <w:rFonts w:ascii="Times New Roman" w:hAnsi="Times New Roman"/>
          <w:bCs/>
          <w:sz w:val="24"/>
          <w:szCs w:val="24"/>
        </w:rPr>
        <w:t xml:space="preserve"> </w:t>
      </w:r>
      <w:r w:rsidR="003B41C8">
        <w:rPr>
          <w:rFonts w:ascii="Times New Roman" w:hAnsi="Times New Roman"/>
          <w:bCs/>
          <w:sz w:val="24"/>
          <w:szCs w:val="24"/>
        </w:rPr>
        <w:t xml:space="preserve"> </w:t>
      </w:r>
      <w:r w:rsidRPr="002053BD">
        <w:rPr>
          <w:rFonts w:ascii="Times New Roman" w:hAnsi="Times New Roman"/>
          <w:bCs/>
          <w:sz w:val="24"/>
          <w:szCs w:val="24"/>
        </w:rPr>
        <w:t>medicinos punktas, VšĮ Kazlų Rūdos ligoninė, 4 privačios asmens sveikatos priežiūros įstaigos, 4 privatūs odontologijos kabinetai.</w:t>
      </w:r>
    </w:p>
    <w:p w:rsidR="002053BD" w:rsidRPr="002053BD" w:rsidRDefault="002053BD" w:rsidP="002053BD">
      <w:pPr>
        <w:spacing w:line="259" w:lineRule="auto"/>
        <w:ind w:left="426"/>
        <w:jc w:val="both"/>
        <w:rPr>
          <w:rFonts w:ascii="Times New Roman" w:hAnsi="Times New Roman"/>
          <w:bCs/>
          <w:sz w:val="24"/>
          <w:szCs w:val="24"/>
        </w:rPr>
      </w:pPr>
      <w:r w:rsidRPr="002053BD">
        <w:rPr>
          <w:rFonts w:ascii="Times New Roman" w:hAnsi="Times New Roman"/>
          <w:bCs/>
          <w:sz w:val="24"/>
          <w:szCs w:val="24"/>
        </w:rPr>
        <w:t>Sveikatos priežiūros įstaigų tinklo situaciją savivaldybėje rodo gyventojų aprūpinimas lovomis stacionaruose. 201</w:t>
      </w:r>
      <w:r w:rsidR="00CD5CFE">
        <w:rPr>
          <w:rFonts w:ascii="Times New Roman" w:hAnsi="Times New Roman"/>
          <w:bCs/>
          <w:sz w:val="24"/>
          <w:szCs w:val="24"/>
        </w:rPr>
        <w:t>6</w:t>
      </w:r>
      <w:r w:rsidRPr="002053BD">
        <w:rPr>
          <w:rFonts w:ascii="Times New Roman" w:hAnsi="Times New Roman"/>
          <w:bCs/>
          <w:sz w:val="24"/>
          <w:szCs w:val="24"/>
        </w:rPr>
        <w:t xml:space="preserve"> m. Kazlų Rūdos savivaldybėje 10 000 gyventojų teko </w:t>
      </w:r>
      <w:r w:rsidR="00CD5CFE">
        <w:rPr>
          <w:rFonts w:ascii="Times New Roman" w:hAnsi="Times New Roman"/>
          <w:bCs/>
          <w:sz w:val="24"/>
          <w:szCs w:val="24"/>
        </w:rPr>
        <w:t>8,2</w:t>
      </w:r>
      <w:r w:rsidRPr="002053BD">
        <w:rPr>
          <w:rFonts w:ascii="Times New Roman" w:hAnsi="Times New Roman"/>
          <w:bCs/>
          <w:sz w:val="24"/>
          <w:szCs w:val="24"/>
        </w:rPr>
        <w:t xml:space="preserve"> lovos </w:t>
      </w:r>
      <w:r w:rsidR="00CD5CFE">
        <w:rPr>
          <w:rFonts w:ascii="Times New Roman" w:hAnsi="Times New Roman"/>
          <w:bCs/>
          <w:sz w:val="24"/>
          <w:szCs w:val="24"/>
        </w:rPr>
        <w:t xml:space="preserve">(be slaugos lovų) </w:t>
      </w:r>
      <w:r w:rsidRPr="002053BD">
        <w:rPr>
          <w:rFonts w:ascii="Times New Roman" w:hAnsi="Times New Roman"/>
          <w:bCs/>
          <w:sz w:val="24"/>
          <w:szCs w:val="24"/>
        </w:rPr>
        <w:t>stacionare, tai žymiai mažiau už Lietuvos Respublikos vidurkį (</w:t>
      </w:r>
      <w:r w:rsidR="00CD5CFE">
        <w:rPr>
          <w:rFonts w:ascii="Times New Roman" w:hAnsi="Times New Roman"/>
          <w:bCs/>
          <w:sz w:val="24"/>
          <w:szCs w:val="24"/>
        </w:rPr>
        <w:t>92</w:t>
      </w:r>
      <w:r w:rsidRPr="002053BD">
        <w:rPr>
          <w:rFonts w:ascii="Times New Roman" w:hAnsi="Times New Roman"/>
          <w:bCs/>
          <w:sz w:val="24"/>
          <w:szCs w:val="24"/>
        </w:rPr>
        <w:t>,</w:t>
      </w:r>
      <w:r w:rsidR="00CD5CFE">
        <w:rPr>
          <w:rFonts w:ascii="Times New Roman" w:hAnsi="Times New Roman"/>
          <w:bCs/>
          <w:sz w:val="24"/>
          <w:szCs w:val="24"/>
        </w:rPr>
        <w:t>05</w:t>
      </w:r>
      <w:r w:rsidRPr="002053BD">
        <w:rPr>
          <w:rFonts w:ascii="Times New Roman" w:hAnsi="Times New Roman"/>
          <w:bCs/>
          <w:sz w:val="24"/>
          <w:szCs w:val="24"/>
        </w:rPr>
        <w:t>).</w:t>
      </w:r>
    </w:p>
    <w:p w:rsidR="002053BD" w:rsidRPr="002053BD" w:rsidRDefault="002053BD" w:rsidP="002053BD">
      <w:pPr>
        <w:spacing w:line="259" w:lineRule="auto"/>
        <w:ind w:left="426"/>
        <w:jc w:val="both"/>
        <w:rPr>
          <w:rFonts w:ascii="Times New Roman" w:hAnsi="Times New Roman"/>
          <w:bCs/>
          <w:sz w:val="24"/>
          <w:szCs w:val="24"/>
        </w:rPr>
      </w:pPr>
      <w:r w:rsidRPr="002053BD">
        <w:rPr>
          <w:rFonts w:ascii="Times New Roman" w:hAnsi="Times New Roman"/>
          <w:bCs/>
          <w:sz w:val="24"/>
          <w:szCs w:val="24"/>
        </w:rPr>
        <w:t>Sveikatos priežiūros specialistų situacija geresnė tik šeimos gydytojų – Kazlų Rūdos savivaldybėje 201</w:t>
      </w:r>
      <w:r w:rsidR="00CD0DE1">
        <w:rPr>
          <w:rFonts w:ascii="Times New Roman" w:hAnsi="Times New Roman"/>
          <w:bCs/>
          <w:sz w:val="24"/>
          <w:szCs w:val="24"/>
        </w:rPr>
        <w:t>6</w:t>
      </w:r>
      <w:r w:rsidRPr="002053BD">
        <w:rPr>
          <w:rFonts w:ascii="Times New Roman" w:hAnsi="Times New Roman"/>
          <w:bCs/>
          <w:sz w:val="24"/>
          <w:szCs w:val="24"/>
        </w:rPr>
        <w:t xml:space="preserve"> m. dirbančiųjų šeimos gydytojų rodiklis siekė 9,69/10 000 gyv., o šalies vidurkis atitinkamu laikotarpiu buvo 7,14/10 000 gyv. Kazlų Rūdos savivaldybės gyventojų apsilankymo pas šeimos gydytojus rodiklis 2015 m. siekė 8,67/1 gyv., o šalies vidurkis atitinkamu laikotarpiu buvo 8,34/1 gyv. </w:t>
      </w:r>
    </w:p>
    <w:p w:rsidR="002053BD" w:rsidRPr="002053BD" w:rsidRDefault="002053BD" w:rsidP="002053BD">
      <w:pPr>
        <w:spacing w:line="259" w:lineRule="auto"/>
        <w:ind w:left="426"/>
        <w:jc w:val="both"/>
        <w:rPr>
          <w:rFonts w:ascii="Times New Roman" w:hAnsi="Times New Roman"/>
          <w:bCs/>
          <w:sz w:val="24"/>
          <w:szCs w:val="24"/>
        </w:rPr>
      </w:pPr>
      <w:r w:rsidRPr="002053BD">
        <w:rPr>
          <w:rFonts w:ascii="Times New Roman" w:hAnsi="Times New Roman"/>
          <w:bCs/>
          <w:sz w:val="24"/>
          <w:szCs w:val="24"/>
        </w:rPr>
        <w:t>Kazlų Rūdos savivaldybėje 2015 m. daugiausia mirčių atvejų buvo užregistruota dėl kraujotakos sistemos ligų (497,79/100000 gyv.), dėl piktybinių navikų 232,11/100000 gyv.) ir nuo išorinių priežasčių (102,71/100000 gyv.).</w:t>
      </w:r>
    </w:p>
    <w:p w:rsidR="002053BD" w:rsidRPr="002053BD" w:rsidRDefault="002053BD" w:rsidP="002053BD">
      <w:pPr>
        <w:spacing w:line="259" w:lineRule="auto"/>
        <w:ind w:left="426"/>
        <w:jc w:val="both"/>
        <w:rPr>
          <w:rFonts w:ascii="Times New Roman" w:hAnsi="Times New Roman"/>
          <w:bCs/>
          <w:sz w:val="24"/>
          <w:szCs w:val="24"/>
        </w:rPr>
      </w:pPr>
      <w:r w:rsidRPr="002053BD">
        <w:rPr>
          <w:rFonts w:ascii="Times New Roman" w:hAnsi="Times New Roman"/>
          <w:bCs/>
          <w:sz w:val="24"/>
          <w:szCs w:val="24"/>
        </w:rPr>
        <w:t>Tarp visų asmenims registruotų naujų susirgimų (sergamumo) 201</w:t>
      </w:r>
      <w:r w:rsidR="00CD0DE1">
        <w:rPr>
          <w:rFonts w:ascii="Times New Roman" w:hAnsi="Times New Roman"/>
          <w:bCs/>
          <w:sz w:val="24"/>
          <w:szCs w:val="24"/>
        </w:rPr>
        <w:t>6</w:t>
      </w:r>
      <w:r w:rsidRPr="002053BD">
        <w:rPr>
          <w:rFonts w:ascii="Times New Roman" w:hAnsi="Times New Roman"/>
          <w:bCs/>
          <w:sz w:val="24"/>
          <w:szCs w:val="24"/>
        </w:rPr>
        <w:t xml:space="preserve"> metais Kazlų Rūdos savivaldybėje pirmą vietą užima kvėpavimo sistemos ligos.</w:t>
      </w:r>
    </w:p>
    <w:p w:rsidR="00B36FA2" w:rsidRDefault="00B36FA2" w:rsidP="00F70662">
      <w:pPr>
        <w:spacing w:line="259" w:lineRule="auto"/>
        <w:ind w:left="426"/>
        <w:jc w:val="both"/>
        <w:rPr>
          <w:rFonts w:ascii="Times New Roman" w:hAnsi="Times New Roman"/>
          <w:b/>
          <w:bCs/>
          <w:sz w:val="24"/>
          <w:szCs w:val="24"/>
        </w:rPr>
      </w:pPr>
    </w:p>
    <w:p w:rsidR="008B437D" w:rsidRDefault="00C513E4" w:rsidP="00C513E4">
      <w:pPr>
        <w:pStyle w:val="NoSpacing"/>
        <w:tabs>
          <w:tab w:val="left" w:pos="5670"/>
        </w:tabs>
        <w:jc w:val="both"/>
        <w:rPr>
          <w:rFonts w:ascii="Times New Roman" w:hAnsi="Times New Roman" w:cs="Times New Roman"/>
          <w:b/>
          <w:sz w:val="24"/>
          <w:szCs w:val="24"/>
        </w:rPr>
      </w:pPr>
      <w:r>
        <w:rPr>
          <w:rFonts w:ascii="Times New Roman" w:hAnsi="Times New Roman" w:cs="Times New Roman"/>
          <w:b/>
          <w:sz w:val="24"/>
          <w:szCs w:val="24"/>
        </w:rPr>
        <w:t xml:space="preserve">      </w:t>
      </w:r>
    </w:p>
    <w:p w:rsidR="008B437D" w:rsidRDefault="008B437D" w:rsidP="00C513E4">
      <w:pPr>
        <w:pStyle w:val="NoSpacing"/>
        <w:tabs>
          <w:tab w:val="left" w:pos="5670"/>
        </w:tabs>
        <w:jc w:val="both"/>
        <w:rPr>
          <w:rFonts w:ascii="Times New Roman" w:hAnsi="Times New Roman" w:cs="Times New Roman"/>
          <w:b/>
          <w:sz w:val="24"/>
          <w:szCs w:val="24"/>
        </w:rPr>
      </w:pPr>
    </w:p>
    <w:p w:rsidR="008B437D" w:rsidRDefault="008B437D" w:rsidP="00C513E4">
      <w:pPr>
        <w:pStyle w:val="NoSpacing"/>
        <w:tabs>
          <w:tab w:val="left" w:pos="5670"/>
        </w:tabs>
        <w:jc w:val="both"/>
        <w:rPr>
          <w:rFonts w:ascii="Times New Roman" w:hAnsi="Times New Roman" w:cs="Times New Roman"/>
          <w:b/>
          <w:sz w:val="24"/>
          <w:szCs w:val="24"/>
        </w:rPr>
      </w:pPr>
    </w:p>
    <w:p w:rsidR="008B437D" w:rsidRDefault="008B437D" w:rsidP="00C513E4">
      <w:pPr>
        <w:pStyle w:val="NoSpacing"/>
        <w:tabs>
          <w:tab w:val="left" w:pos="5670"/>
        </w:tabs>
        <w:jc w:val="both"/>
        <w:rPr>
          <w:rFonts w:ascii="Times New Roman" w:hAnsi="Times New Roman" w:cs="Times New Roman"/>
          <w:b/>
          <w:sz w:val="24"/>
          <w:szCs w:val="24"/>
        </w:rPr>
      </w:pPr>
    </w:p>
    <w:p w:rsidR="00C513E4" w:rsidRDefault="008B437D" w:rsidP="00C513E4">
      <w:pPr>
        <w:pStyle w:val="NoSpacing"/>
        <w:tabs>
          <w:tab w:val="left" w:pos="5670"/>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513E4">
        <w:rPr>
          <w:rFonts w:ascii="Times New Roman" w:hAnsi="Times New Roman" w:cs="Times New Roman"/>
          <w:b/>
          <w:sz w:val="24"/>
          <w:szCs w:val="24"/>
        </w:rPr>
        <w:t xml:space="preserve"> Teisinė bazė</w:t>
      </w:r>
    </w:p>
    <w:p w:rsidR="00C513E4" w:rsidRDefault="00C513E4" w:rsidP="00C513E4">
      <w:pPr>
        <w:pStyle w:val="NoSpacing"/>
        <w:tabs>
          <w:tab w:val="left" w:pos="5670"/>
        </w:tabs>
        <w:ind w:left="426" w:firstLine="567"/>
        <w:jc w:val="both"/>
        <w:rPr>
          <w:rFonts w:ascii="Times New Roman" w:hAnsi="Times New Roman" w:cs="Times New Roman"/>
          <w:b/>
          <w:sz w:val="24"/>
          <w:szCs w:val="24"/>
        </w:rPr>
      </w:pPr>
    </w:p>
    <w:p w:rsidR="00C513E4" w:rsidRDefault="00C513E4" w:rsidP="00C513E4">
      <w:pPr>
        <w:pStyle w:val="NoSpacing"/>
        <w:tabs>
          <w:tab w:val="left" w:pos="5670"/>
        </w:tabs>
        <w:ind w:left="426"/>
        <w:jc w:val="both"/>
        <w:rPr>
          <w:rFonts w:ascii="Times New Roman" w:hAnsi="Times New Roman" w:cs="Times New Roman"/>
          <w:sz w:val="24"/>
          <w:szCs w:val="24"/>
        </w:rPr>
      </w:pPr>
      <w:r w:rsidRPr="00831B70">
        <w:rPr>
          <w:rFonts w:ascii="Times New Roman" w:hAnsi="Times New Roman" w:cs="Times New Roman"/>
          <w:sz w:val="24"/>
          <w:szCs w:val="24"/>
        </w:rPr>
        <w:t xml:space="preserve">Pagrindiniai norminiai aktai, apsprendžiantys vietos savivaldos veiklą – Europos vietos savivaldos chartija ir Lietuvos Respublikos </w:t>
      </w:r>
      <w:hyperlink r:id="rId19" w:anchor="2z#2z" w:history="1">
        <w:r w:rsidRPr="00831B70">
          <w:rPr>
            <w:rStyle w:val="Hyperlink"/>
            <w:rFonts w:ascii="Times New Roman" w:hAnsi="Times New Roman" w:cs="Times New Roman"/>
            <w:color w:val="auto"/>
            <w:sz w:val="24"/>
            <w:szCs w:val="24"/>
            <w:u w:val="none"/>
          </w:rPr>
          <w:t>vietos</w:t>
        </w:r>
      </w:hyperlink>
      <w:r w:rsidRPr="00831B70">
        <w:rPr>
          <w:rFonts w:ascii="Times New Roman" w:hAnsi="Times New Roman" w:cs="Times New Roman"/>
          <w:sz w:val="24"/>
          <w:szCs w:val="24"/>
        </w:rPr>
        <w:t xml:space="preserve"> </w:t>
      </w:r>
      <w:hyperlink r:id="rId20" w:anchor="3z#3z" w:history="1">
        <w:r w:rsidRPr="00831B70">
          <w:rPr>
            <w:rStyle w:val="Hyperlink"/>
            <w:rFonts w:ascii="Times New Roman" w:hAnsi="Times New Roman" w:cs="Times New Roman"/>
            <w:color w:val="auto"/>
            <w:sz w:val="24"/>
            <w:szCs w:val="24"/>
            <w:u w:val="none"/>
          </w:rPr>
          <w:t>savivaldos</w:t>
        </w:r>
      </w:hyperlink>
      <w:r w:rsidRPr="00831B70">
        <w:rPr>
          <w:rFonts w:ascii="Times New Roman" w:hAnsi="Times New Roman" w:cs="Times New Roman"/>
          <w:sz w:val="24"/>
          <w:szCs w:val="24"/>
        </w:rPr>
        <w:t xml:space="preserve"> įstatymas, Lietuvos Respublikos biudžetinės sandaros įstatymas ir Lietuvos Respublikos valstybės tarnybos įstatymas.</w:t>
      </w:r>
    </w:p>
    <w:p w:rsidR="00B36FA2" w:rsidRDefault="00B36FA2" w:rsidP="00F70662">
      <w:pPr>
        <w:spacing w:line="259" w:lineRule="auto"/>
        <w:ind w:left="426"/>
        <w:jc w:val="both"/>
        <w:rPr>
          <w:rFonts w:ascii="Times New Roman" w:hAnsi="Times New Roman"/>
          <w:b/>
          <w:bCs/>
          <w:sz w:val="24"/>
          <w:szCs w:val="24"/>
        </w:rPr>
      </w:pPr>
    </w:p>
    <w:p w:rsidR="009139FB" w:rsidRDefault="009139FB" w:rsidP="009139FB">
      <w:pPr>
        <w:tabs>
          <w:tab w:val="left" w:pos="567"/>
          <w:tab w:val="left" w:pos="1260"/>
        </w:tabs>
        <w:ind w:left="426"/>
        <w:jc w:val="both"/>
        <w:rPr>
          <w:rFonts w:ascii="Times New Roman" w:hAnsi="Times New Roman"/>
          <w:bCs/>
          <w:sz w:val="24"/>
          <w:szCs w:val="24"/>
        </w:rPr>
      </w:pPr>
      <w:r>
        <w:rPr>
          <w:rFonts w:ascii="Times New Roman" w:hAnsi="Times New Roman"/>
          <w:b/>
          <w:sz w:val="24"/>
          <w:szCs w:val="24"/>
        </w:rPr>
        <w:t>Organizacinė struktūra</w:t>
      </w:r>
    </w:p>
    <w:p w:rsidR="009139FB" w:rsidRDefault="009139FB" w:rsidP="009139FB">
      <w:pPr>
        <w:tabs>
          <w:tab w:val="left" w:pos="567"/>
          <w:tab w:val="left" w:pos="1260"/>
        </w:tabs>
        <w:ind w:left="426"/>
        <w:jc w:val="both"/>
        <w:rPr>
          <w:rFonts w:ascii="Times New Roman" w:hAnsi="Times New Roman"/>
          <w:bCs/>
          <w:sz w:val="24"/>
          <w:szCs w:val="24"/>
        </w:rPr>
      </w:pPr>
    </w:p>
    <w:p w:rsidR="009139FB" w:rsidRPr="008B437D" w:rsidRDefault="009139FB" w:rsidP="008B437D">
      <w:pPr>
        <w:tabs>
          <w:tab w:val="left" w:pos="567"/>
          <w:tab w:val="left" w:pos="1260"/>
        </w:tabs>
        <w:ind w:left="426"/>
        <w:jc w:val="both"/>
        <w:rPr>
          <w:rFonts w:ascii="Times New Roman" w:hAnsi="Times New Roman"/>
          <w:sz w:val="24"/>
          <w:szCs w:val="24"/>
        </w:rPr>
      </w:pPr>
      <w:r w:rsidRPr="00831B70">
        <w:rPr>
          <w:rFonts w:ascii="Times New Roman" w:hAnsi="Times New Roman"/>
          <w:bCs/>
          <w:sz w:val="24"/>
          <w:szCs w:val="24"/>
        </w:rPr>
        <w:t>Vietos savivalda</w:t>
      </w:r>
      <w:r w:rsidRPr="00831B70">
        <w:rPr>
          <w:rFonts w:ascii="Times New Roman" w:hAnsi="Times New Roman"/>
          <w:b/>
          <w:bCs/>
          <w:sz w:val="24"/>
          <w:szCs w:val="24"/>
        </w:rPr>
        <w:t xml:space="preserve"> </w:t>
      </w:r>
      <w:r w:rsidRPr="00831B70">
        <w:rPr>
          <w:rFonts w:ascii="Times New Roman" w:hAnsi="Times New Roman"/>
          <w:sz w:val="24"/>
          <w:szCs w:val="24"/>
        </w:rPr>
        <w:t>– valstybės teritorijos administracinio vieneto – savivaldybės teisė laisvai ir savarankiškai tvarkytis pagal Lietuvos Respublikos Konstituciją ir įstatymus per administracinio vieneto nuolatinių gyventojų tiesiogiai išrinktų atstovų savivaldybės tarybą bei jos sudarytą vykdomąją ir kitas institucijas.</w:t>
      </w:r>
    </w:p>
    <w:p w:rsidR="00B65BA5" w:rsidRPr="009139FB" w:rsidRDefault="00B65BA5" w:rsidP="009139FB">
      <w:pPr>
        <w:pStyle w:val="NoSpacing"/>
        <w:tabs>
          <w:tab w:val="left" w:pos="5670"/>
        </w:tabs>
        <w:ind w:left="426"/>
        <w:jc w:val="both"/>
        <w:rPr>
          <w:rFonts w:ascii="Times New Roman" w:hAnsi="Times New Roman" w:cs="Times New Roman"/>
          <w:sz w:val="24"/>
          <w:szCs w:val="24"/>
        </w:rPr>
      </w:pPr>
      <w:r w:rsidRPr="009139FB">
        <w:rPr>
          <w:rFonts w:ascii="Times New Roman" w:hAnsi="Times New Roman" w:cs="Times New Roman"/>
          <w:bCs/>
          <w:sz w:val="24"/>
          <w:szCs w:val="24"/>
        </w:rPr>
        <w:t>Savivaldybės institucijos</w:t>
      </w:r>
      <w:r w:rsidRPr="009139FB">
        <w:rPr>
          <w:rFonts w:ascii="Times New Roman" w:hAnsi="Times New Roman" w:cs="Times New Roman"/>
          <w:b/>
          <w:bCs/>
          <w:sz w:val="24"/>
          <w:szCs w:val="24"/>
        </w:rPr>
        <w:t xml:space="preserve"> </w:t>
      </w:r>
      <w:r w:rsidRPr="009139FB">
        <w:rPr>
          <w:rFonts w:ascii="Times New Roman" w:hAnsi="Times New Roman" w:cs="Times New Roman"/>
          <w:sz w:val="24"/>
          <w:szCs w:val="24"/>
        </w:rPr>
        <w:t>– atstovaujamoji institucija, tai yra savivaldybės taryba, ir vykdomoji institucija, tai yra savivaldybės administracijos direktorius, turinčios vietos valdžios ir viešojo administravimo teises ir pareigas. Savivaldybės institucijos yra atsakingos už savivaldos teisės ir savo funkcijų įgyvendinimą bendruomenės interesais.</w:t>
      </w:r>
    </w:p>
    <w:p w:rsidR="00E71E6E" w:rsidRPr="00831B70" w:rsidRDefault="00B65BA5" w:rsidP="00CD0DE1">
      <w:pPr>
        <w:tabs>
          <w:tab w:val="left" w:pos="900"/>
          <w:tab w:val="left" w:pos="1260"/>
        </w:tabs>
        <w:ind w:left="426"/>
        <w:jc w:val="both"/>
        <w:rPr>
          <w:rFonts w:ascii="Times New Roman" w:hAnsi="Times New Roman"/>
          <w:sz w:val="24"/>
          <w:szCs w:val="24"/>
        </w:rPr>
      </w:pPr>
      <w:r w:rsidRPr="00831B70">
        <w:rPr>
          <w:rFonts w:ascii="Times New Roman" w:hAnsi="Times New Roman"/>
          <w:bCs/>
          <w:sz w:val="24"/>
          <w:szCs w:val="24"/>
        </w:rPr>
        <w:t>Savivaldybės kontrolės ir audito institucija</w:t>
      </w:r>
      <w:r w:rsidRPr="00831B70">
        <w:rPr>
          <w:rFonts w:ascii="Times New Roman" w:hAnsi="Times New Roman"/>
          <w:b/>
          <w:bCs/>
          <w:sz w:val="24"/>
          <w:szCs w:val="24"/>
        </w:rPr>
        <w:t xml:space="preserve"> </w:t>
      </w:r>
      <w:r w:rsidRPr="00831B70">
        <w:rPr>
          <w:rFonts w:ascii="Times New Roman" w:hAnsi="Times New Roman"/>
          <w:sz w:val="24"/>
          <w:szCs w:val="24"/>
        </w:rPr>
        <w:t>– savivaldybės kontrolierius (savivaldybės kontrolieriaus tarnyba), prižiūrintis(-i), ar teisėtai, efektyviai, ekonomiškai ir rezultatyviai valdomas ir naudojamas savivaldybės turtas, kaip vykdomas savivaldybės biudžetas.</w:t>
      </w:r>
    </w:p>
    <w:p w:rsidR="00CD0DE1" w:rsidRDefault="00A82543" w:rsidP="00CD0DE1">
      <w:pPr>
        <w:tabs>
          <w:tab w:val="left" w:pos="540"/>
        </w:tabs>
        <w:ind w:left="426"/>
        <w:jc w:val="both"/>
        <w:rPr>
          <w:rFonts w:ascii="Times New Roman" w:hAnsi="Times New Roman"/>
          <w:sz w:val="24"/>
          <w:szCs w:val="24"/>
        </w:rPr>
      </w:pPr>
      <w:r>
        <w:rPr>
          <w:rFonts w:ascii="Times New Roman" w:hAnsi="Times New Roman"/>
          <w:sz w:val="24"/>
          <w:szCs w:val="24"/>
        </w:rPr>
        <w:t>Kazlų Rūdos</w:t>
      </w:r>
      <w:r w:rsidR="00014866" w:rsidRPr="00831B70">
        <w:rPr>
          <w:rFonts w:ascii="Times New Roman" w:hAnsi="Times New Roman"/>
          <w:sz w:val="24"/>
          <w:szCs w:val="24"/>
        </w:rPr>
        <w:t xml:space="preserve"> savivaldybės</w:t>
      </w:r>
      <w:r>
        <w:rPr>
          <w:rFonts w:ascii="Times New Roman" w:hAnsi="Times New Roman"/>
          <w:sz w:val="24"/>
          <w:szCs w:val="24"/>
        </w:rPr>
        <w:t xml:space="preserve"> </w:t>
      </w:r>
      <w:r w:rsidR="00014866" w:rsidRPr="00831B70">
        <w:rPr>
          <w:rFonts w:ascii="Times New Roman" w:hAnsi="Times New Roman"/>
          <w:sz w:val="24"/>
          <w:szCs w:val="24"/>
        </w:rPr>
        <w:t xml:space="preserve"> tarybą sudaro </w:t>
      </w:r>
      <w:r>
        <w:rPr>
          <w:rFonts w:ascii="Times New Roman" w:hAnsi="Times New Roman"/>
          <w:sz w:val="24"/>
          <w:szCs w:val="24"/>
        </w:rPr>
        <w:t>2</w:t>
      </w:r>
      <w:r w:rsidR="00014866" w:rsidRPr="00831B70">
        <w:rPr>
          <w:rFonts w:ascii="Times New Roman" w:hAnsi="Times New Roman"/>
          <w:sz w:val="24"/>
          <w:szCs w:val="24"/>
        </w:rPr>
        <w:t xml:space="preserve">1 tarybos narys. </w:t>
      </w:r>
      <w:r w:rsidR="00014866" w:rsidRPr="00831B70">
        <w:rPr>
          <w:rFonts w:ascii="Times New Roman" w:hAnsi="Times New Roman"/>
          <w:iCs/>
          <w:sz w:val="24"/>
          <w:szCs w:val="24"/>
        </w:rPr>
        <w:t>Iš Savivaldybės tarybos narių sudaromi tarybos komitetai, kurių pagrindinės funkcijos yra preliminarus klausimų nagrinėjimas ir teikimas Tarybai, Merui svarstyti, kontroliuoti, kaip laikomasi įstatymų bei kaip vykdomi Tarybos sprendimai,</w:t>
      </w:r>
      <w:r w:rsidR="00014866" w:rsidRPr="00831B70">
        <w:rPr>
          <w:rFonts w:ascii="Times New Roman" w:hAnsi="Times New Roman"/>
          <w:i/>
          <w:iCs/>
          <w:sz w:val="24"/>
          <w:szCs w:val="24"/>
        </w:rPr>
        <w:t xml:space="preserve"> </w:t>
      </w:r>
      <w:r w:rsidR="00014866" w:rsidRPr="00831B70">
        <w:rPr>
          <w:rFonts w:ascii="Times New Roman" w:hAnsi="Times New Roman"/>
          <w:iCs/>
          <w:sz w:val="24"/>
          <w:szCs w:val="24"/>
        </w:rPr>
        <w:t>Mero potvarkiai</w:t>
      </w:r>
      <w:r w:rsidR="00014866" w:rsidRPr="00831B70">
        <w:rPr>
          <w:rFonts w:ascii="Times New Roman" w:hAnsi="Times New Roman"/>
          <w:i/>
          <w:iCs/>
          <w:sz w:val="24"/>
          <w:szCs w:val="24"/>
        </w:rPr>
        <w:t>.</w:t>
      </w:r>
      <w:r w:rsidR="00014866" w:rsidRPr="00831B70">
        <w:rPr>
          <w:rFonts w:ascii="Times New Roman" w:hAnsi="Times New Roman"/>
          <w:sz w:val="24"/>
          <w:szCs w:val="24"/>
        </w:rPr>
        <w:t xml:space="preserve"> </w:t>
      </w:r>
    </w:p>
    <w:p w:rsidR="00E71E6E" w:rsidRPr="00CD0DE1" w:rsidRDefault="00014866" w:rsidP="00CD0DE1">
      <w:pPr>
        <w:tabs>
          <w:tab w:val="left" w:pos="540"/>
        </w:tabs>
        <w:ind w:left="426"/>
        <w:jc w:val="both"/>
        <w:rPr>
          <w:rStyle w:val="Strong"/>
          <w:rFonts w:ascii="Times New Roman" w:hAnsi="Times New Roman"/>
          <w:b w:val="0"/>
          <w:bCs w:val="0"/>
          <w:sz w:val="24"/>
          <w:szCs w:val="24"/>
        </w:rPr>
      </w:pPr>
      <w:r w:rsidRPr="00E71E6E">
        <w:rPr>
          <w:rFonts w:ascii="Times New Roman" w:hAnsi="Times New Roman"/>
        </w:rPr>
        <w:t xml:space="preserve">Sudaryti </w:t>
      </w:r>
      <w:r w:rsidR="009B54BA">
        <w:rPr>
          <w:rFonts w:ascii="Times New Roman" w:hAnsi="Times New Roman"/>
        </w:rPr>
        <w:t>5</w:t>
      </w:r>
      <w:r w:rsidR="007F0375" w:rsidRPr="00E71E6E">
        <w:rPr>
          <w:rFonts w:ascii="Times New Roman" w:hAnsi="Times New Roman"/>
        </w:rPr>
        <w:t xml:space="preserve"> </w:t>
      </w:r>
      <w:r w:rsidRPr="00E71E6E">
        <w:rPr>
          <w:rFonts w:ascii="Times New Roman" w:hAnsi="Times New Roman"/>
        </w:rPr>
        <w:t>tarybos komitetai:</w:t>
      </w:r>
      <w:r w:rsidRPr="00E71E6E">
        <w:rPr>
          <w:rStyle w:val="Strong"/>
          <w:rFonts w:ascii="Times New Roman" w:hAnsi="Times New Roman"/>
        </w:rPr>
        <w:t xml:space="preserve"> </w:t>
      </w:r>
    </w:p>
    <w:p w:rsidR="00E71E6E" w:rsidRPr="00E71E6E" w:rsidRDefault="00E71E6E" w:rsidP="00C513E4">
      <w:pPr>
        <w:pStyle w:val="Subtitle"/>
        <w:numPr>
          <w:ilvl w:val="0"/>
          <w:numId w:val="4"/>
        </w:numPr>
        <w:spacing w:after="0"/>
        <w:ind w:left="426" w:firstLine="0"/>
        <w:jc w:val="both"/>
        <w:rPr>
          <w:rFonts w:ascii="Times New Roman" w:hAnsi="Times New Roman"/>
          <w:lang w:eastAsia="ar-SA"/>
        </w:rPr>
      </w:pPr>
      <w:r w:rsidRPr="00E71E6E">
        <w:rPr>
          <w:rFonts w:ascii="Times New Roman" w:hAnsi="Times New Roman"/>
          <w:lang w:eastAsia="ar-SA"/>
        </w:rPr>
        <w:t>Ekonomikos, finansų ir verslo reikalų komitetas;</w:t>
      </w:r>
    </w:p>
    <w:p w:rsidR="00E71E6E" w:rsidRPr="00E71E6E" w:rsidRDefault="00E71E6E" w:rsidP="00C513E4">
      <w:pPr>
        <w:pStyle w:val="Subtitle"/>
        <w:numPr>
          <w:ilvl w:val="0"/>
          <w:numId w:val="4"/>
        </w:numPr>
        <w:spacing w:after="0"/>
        <w:ind w:left="426" w:firstLine="0"/>
        <w:jc w:val="both"/>
        <w:rPr>
          <w:rFonts w:ascii="Times New Roman" w:hAnsi="Times New Roman"/>
          <w:lang w:eastAsia="ar-SA"/>
        </w:rPr>
      </w:pPr>
      <w:r w:rsidRPr="00E71E6E">
        <w:rPr>
          <w:rFonts w:ascii="Times New Roman" w:hAnsi="Times New Roman"/>
          <w:lang w:eastAsia="ar-SA"/>
        </w:rPr>
        <w:t>Švietimo, kultūros, sporto ir jaunimo reikalų komitetas;</w:t>
      </w:r>
    </w:p>
    <w:p w:rsidR="00E71E6E" w:rsidRPr="00E71E6E" w:rsidRDefault="00E71E6E" w:rsidP="00C513E4">
      <w:pPr>
        <w:pStyle w:val="Subtitle"/>
        <w:numPr>
          <w:ilvl w:val="0"/>
          <w:numId w:val="4"/>
        </w:numPr>
        <w:spacing w:after="0"/>
        <w:ind w:left="426" w:firstLine="0"/>
        <w:jc w:val="both"/>
        <w:rPr>
          <w:rFonts w:ascii="Times New Roman" w:hAnsi="Times New Roman"/>
          <w:lang w:eastAsia="ar-SA"/>
        </w:rPr>
      </w:pPr>
      <w:r w:rsidRPr="00E71E6E">
        <w:rPr>
          <w:rFonts w:ascii="Times New Roman" w:hAnsi="Times New Roman"/>
          <w:lang w:eastAsia="ar-SA"/>
        </w:rPr>
        <w:t>Socialinių, sveikatos ir bendruomenių reikalų komitetas;</w:t>
      </w:r>
    </w:p>
    <w:p w:rsidR="00E71E6E" w:rsidRPr="00E71E6E" w:rsidRDefault="00E71E6E" w:rsidP="00C513E4">
      <w:pPr>
        <w:pStyle w:val="Subtitle"/>
        <w:numPr>
          <w:ilvl w:val="0"/>
          <w:numId w:val="4"/>
        </w:numPr>
        <w:spacing w:after="0"/>
        <w:ind w:left="426" w:firstLine="0"/>
        <w:jc w:val="both"/>
        <w:rPr>
          <w:rFonts w:ascii="Times New Roman" w:hAnsi="Times New Roman"/>
          <w:lang w:eastAsia="ar-SA"/>
        </w:rPr>
      </w:pPr>
      <w:r w:rsidRPr="00E71E6E">
        <w:rPr>
          <w:rFonts w:ascii="Times New Roman" w:hAnsi="Times New Roman"/>
          <w:lang w:eastAsia="ar-SA"/>
        </w:rPr>
        <w:t>Kontrolės komitetas;</w:t>
      </w:r>
    </w:p>
    <w:p w:rsidR="00E71E6E" w:rsidRPr="00E71E6E" w:rsidRDefault="00E71E6E" w:rsidP="00C513E4">
      <w:pPr>
        <w:pStyle w:val="Subtitle"/>
        <w:numPr>
          <w:ilvl w:val="0"/>
          <w:numId w:val="4"/>
        </w:numPr>
        <w:spacing w:after="0"/>
        <w:ind w:left="426" w:firstLine="0"/>
        <w:jc w:val="both"/>
        <w:rPr>
          <w:rFonts w:ascii="Times New Roman" w:hAnsi="Times New Roman"/>
          <w:lang w:eastAsia="ar-SA"/>
        </w:rPr>
      </w:pPr>
      <w:r w:rsidRPr="00E71E6E">
        <w:rPr>
          <w:rFonts w:ascii="Times New Roman" w:hAnsi="Times New Roman"/>
          <w:lang w:eastAsia="ar-SA"/>
        </w:rPr>
        <w:t>Ūkio, turto, žemės ūkio ir teisėsaugos reikalų komitetas.</w:t>
      </w:r>
    </w:p>
    <w:p w:rsidR="00E71E6E" w:rsidRPr="009B54BA" w:rsidRDefault="00E71E6E" w:rsidP="00CD0DE1">
      <w:pPr>
        <w:pStyle w:val="BodyText"/>
        <w:tabs>
          <w:tab w:val="left" w:pos="900"/>
          <w:tab w:val="left" w:pos="1260"/>
        </w:tabs>
        <w:ind w:left="426"/>
        <w:rPr>
          <w:rStyle w:val="Strong"/>
          <w:rFonts w:ascii="Times New Roman" w:hAnsi="Times New Roman"/>
          <w:b w:val="0"/>
          <w:szCs w:val="24"/>
          <w:lang w:val="lt-LT"/>
        </w:rPr>
      </w:pPr>
      <w:r w:rsidRPr="009B54BA">
        <w:rPr>
          <w:rStyle w:val="Strong"/>
          <w:rFonts w:ascii="Times New Roman" w:hAnsi="Times New Roman"/>
          <w:b w:val="0"/>
          <w:szCs w:val="24"/>
          <w:lang w:val="lt-LT"/>
        </w:rPr>
        <w:t xml:space="preserve">Vadovaudamasi Lietuvos Respublikos vietos savivaldos įstatymu, Kazlų Rūdos savivaldybės taryba jos įgaliojimų laikotarpiui yra sudariusi Administracinę komisiją, Politikų etikos komisiją ir kitas komisijas, kurios gali būti sudarytos iš tarybos narių, administracijos darbuotojų, bendruomenės narių. </w:t>
      </w:r>
    </w:p>
    <w:p w:rsidR="00014866" w:rsidRDefault="00014866" w:rsidP="00CD0DE1">
      <w:pPr>
        <w:pStyle w:val="BodyText"/>
        <w:tabs>
          <w:tab w:val="left" w:pos="900"/>
          <w:tab w:val="left" w:pos="1260"/>
        </w:tabs>
        <w:ind w:left="426"/>
        <w:rPr>
          <w:rFonts w:ascii="Times New Roman" w:hAnsi="Times New Roman"/>
          <w:szCs w:val="24"/>
          <w:lang w:val="lt-LT"/>
        </w:rPr>
      </w:pPr>
      <w:r w:rsidRPr="00831B70">
        <w:rPr>
          <w:rFonts w:ascii="Times New Roman" w:hAnsi="Times New Roman"/>
          <w:szCs w:val="24"/>
          <w:lang w:val="lt-LT"/>
        </w:rPr>
        <w:t xml:space="preserve">Savivaldybių funkcijos pagal veiklos pobūdį skirstomos į vietos valdžios, viešojo administravimo ir viešųjų paslaugų teikimo. Vietos valdžios funkcijas įstatymų nustatyta tvarka atlieka savivaldybės taryba. Viešojo administravimo funkcijas įstatymų nustatyta tvarka atlieka savivaldybės taryba, savivaldybės administracijos direktorius, kiti savivaldybės įstaigų ir tarnybų vadovai, valstybės tarnautojai, kuriems teisės aktai ar savivaldybės tarybos sprendimai suteikia viešojo administravimo teises savivaldybės teritorijoje. Viešąsias paslaugas teikia savivaldybių įsteigti paslaugų teikėjai arba pagal su savivaldybėmis sudarytas sutartis kiti fiziniai bei juridiniai asmenys, pasirenkami viešai. </w:t>
      </w:r>
    </w:p>
    <w:p w:rsidR="00E71E6E" w:rsidRPr="00831B70" w:rsidRDefault="00E71E6E" w:rsidP="00AD5134">
      <w:pPr>
        <w:pStyle w:val="BodyText"/>
        <w:tabs>
          <w:tab w:val="left" w:pos="900"/>
          <w:tab w:val="left" w:pos="1260"/>
        </w:tabs>
        <w:ind w:left="426" w:firstLine="567"/>
        <w:rPr>
          <w:rFonts w:ascii="Times New Roman" w:hAnsi="Times New Roman"/>
          <w:szCs w:val="24"/>
          <w:lang w:val="lt-LT"/>
        </w:rPr>
      </w:pPr>
    </w:p>
    <w:p w:rsidR="00E71E6E" w:rsidRDefault="00CD0DE1" w:rsidP="00CD0DE1">
      <w:pPr>
        <w:jc w:val="both"/>
        <w:rPr>
          <w:rFonts w:ascii="Times New Roman" w:hAnsi="Times New Roman"/>
          <w:b/>
          <w:bCs/>
          <w:sz w:val="24"/>
          <w:szCs w:val="24"/>
        </w:rPr>
      </w:pPr>
      <w:r>
        <w:rPr>
          <w:rFonts w:ascii="Times New Roman" w:hAnsi="Times New Roman"/>
          <w:b/>
          <w:bCs/>
          <w:sz w:val="24"/>
          <w:szCs w:val="24"/>
        </w:rPr>
        <w:t xml:space="preserve">       </w:t>
      </w:r>
      <w:r w:rsidR="00E71E6E">
        <w:rPr>
          <w:rFonts w:ascii="Times New Roman" w:hAnsi="Times New Roman"/>
          <w:b/>
          <w:bCs/>
          <w:sz w:val="24"/>
          <w:szCs w:val="24"/>
        </w:rPr>
        <w:t>Žmonių ištekliai</w:t>
      </w:r>
    </w:p>
    <w:p w:rsidR="00E71E6E" w:rsidRDefault="00E71E6E" w:rsidP="00AD5134">
      <w:pPr>
        <w:ind w:left="426" w:firstLine="567"/>
        <w:jc w:val="both"/>
        <w:rPr>
          <w:rFonts w:ascii="Times New Roman" w:hAnsi="Times New Roman"/>
          <w:b/>
          <w:bCs/>
          <w:sz w:val="24"/>
          <w:szCs w:val="24"/>
        </w:rPr>
      </w:pPr>
    </w:p>
    <w:p w:rsidR="00557A85" w:rsidRDefault="006135E3" w:rsidP="00C513E4">
      <w:pPr>
        <w:ind w:left="426"/>
        <w:jc w:val="both"/>
        <w:rPr>
          <w:rFonts w:ascii="Times New Roman" w:hAnsi="Times New Roman"/>
          <w:sz w:val="24"/>
          <w:szCs w:val="24"/>
        </w:rPr>
      </w:pPr>
      <w:r w:rsidRPr="00831B70">
        <w:rPr>
          <w:rFonts w:ascii="Times New Roman" w:hAnsi="Times New Roman"/>
          <w:sz w:val="24"/>
          <w:szCs w:val="24"/>
        </w:rPr>
        <w:t>2017</w:t>
      </w:r>
      <w:r w:rsidR="00014866" w:rsidRPr="00831B70">
        <w:rPr>
          <w:rFonts w:ascii="Times New Roman" w:hAnsi="Times New Roman"/>
          <w:sz w:val="24"/>
          <w:szCs w:val="24"/>
        </w:rPr>
        <w:t xml:space="preserve"> metų </w:t>
      </w:r>
      <w:r w:rsidR="00FC442C">
        <w:rPr>
          <w:rFonts w:ascii="Times New Roman" w:hAnsi="Times New Roman"/>
          <w:sz w:val="24"/>
          <w:szCs w:val="24"/>
        </w:rPr>
        <w:t>gruodžio</w:t>
      </w:r>
      <w:r w:rsidRPr="00831B70">
        <w:rPr>
          <w:rFonts w:ascii="Times New Roman" w:hAnsi="Times New Roman"/>
          <w:sz w:val="24"/>
          <w:szCs w:val="24"/>
        </w:rPr>
        <w:t xml:space="preserve"> mėn</w:t>
      </w:r>
      <w:r w:rsidR="00014866" w:rsidRPr="00831B70">
        <w:rPr>
          <w:rFonts w:ascii="Times New Roman" w:hAnsi="Times New Roman"/>
          <w:sz w:val="24"/>
          <w:szCs w:val="24"/>
        </w:rPr>
        <w:t>. Savivaldybės administracijoje</w:t>
      </w:r>
      <w:r w:rsidR="00FC442C">
        <w:rPr>
          <w:rFonts w:ascii="Times New Roman" w:hAnsi="Times New Roman"/>
          <w:sz w:val="24"/>
          <w:szCs w:val="24"/>
        </w:rPr>
        <w:t xml:space="preserve"> dirbo </w:t>
      </w:r>
      <w:r w:rsidR="007710F5">
        <w:rPr>
          <w:rFonts w:ascii="Times New Roman" w:hAnsi="Times New Roman"/>
          <w:sz w:val="24"/>
          <w:szCs w:val="24"/>
        </w:rPr>
        <w:t>105 darbuotojai</w:t>
      </w:r>
      <w:r w:rsidR="004F364B" w:rsidRPr="004F364B">
        <w:rPr>
          <w:rFonts w:ascii="Times New Roman" w:hAnsi="Times New Roman"/>
          <w:sz w:val="24"/>
          <w:szCs w:val="24"/>
          <w:vertAlign w:val="superscript"/>
        </w:rPr>
        <w:t>.</w:t>
      </w:r>
      <w:r w:rsidR="00350DBD" w:rsidRPr="00831B70">
        <w:rPr>
          <w:rFonts w:ascii="Times New Roman" w:hAnsi="Times New Roman"/>
          <w:sz w:val="24"/>
          <w:szCs w:val="24"/>
        </w:rPr>
        <w:t xml:space="preserve"> (</w:t>
      </w:r>
      <w:r w:rsidR="007710F5">
        <w:rPr>
          <w:rFonts w:ascii="Times New Roman" w:hAnsi="Times New Roman"/>
          <w:sz w:val="24"/>
          <w:szCs w:val="24"/>
        </w:rPr>
        <w:t>valstybės tarnautojai A lygio – 43</w:t>
      </w:r>
      <w:r w:rsidR="00350DBD" w:rsidRPr="00831B70">
        <w:rPr>
          <w:rFonts w:ascii="Times New Roman" w:hAnsi="Times New Roman"/>
          <w:sz w:val="24"/>
          <w:szCs w:val="24"/>
        </w:rPr>
        <w:t>,</w:t>
      </w:r>
      <w:r w:rsidR="007710F5">
        <w:rPr>
          <w:rFonts w:ascii="Times New Roman" w:hAnsi="Times New Roman"/>
          <w:sz w:val="24"/>
          <w:szCs w:val="24"/>
        </w:rPr>
        <w:t xml:space="preserve"> dirbantys pagal darbo sutartis: A2</w:t>
      </w:r>
      <w:r w:rsidR="00350DBD" w:rsidRPr="00831B70">
        <w:rPr>
          <w:rFonts w:ascii="Times New Roman" w:hAnsi="Times New Roman"/>
          <w:sz w:val="24"/>
          <w:szCs w:val="24"/>
        </w:rPr>
        <w:t xml:space="preserve"> lygio</w:t>
      </w:r>
      <w:r w:rsidR="007710F5">
        <w:rPr>
          <w:rFonts w:ascii="Times New Roman" w:hAnsi="Times New Roman"/>
          <w:sz w:val="24"/>
          <w:szCs w:val="24"/>
        </w:rPr>
        <w:t xml:space="preserve"> </w:t>
      </w:r>
      <w:r w:rsidR="009609D9">
        <w:rPr>
          <w:rFonts w:ascii="Times New Roman" w:hAnsi="Times New Roman"/>
          <w:sz w:val="24"/>
          <w:szCs w:val="24"/>
        </w:rPr>
        <w:t>–</w:t>
      </w:r>
      <w:r w:rsidR="007710F5">
        <w:rPr>
          <w:rFonts w:ascii="Times New Roman" w:hAnsi="Times New Roman"/>
          <w:sz w:val="24"/>
          <w:szCs w:val="24"/>
        </w:rPr>
        <w:t xml:space="preserve"> </w:t>
      </w:r>
      <w:r w:rsidR="009609D9">
        <w:rPr>
          <w:rFonts w:ascii="Times New Roman" w:hAnsi="Times New Roman"/>
          <w:sz w:val="24"/>
          <w:szCs w:val="24"/>
        </w:rPr>
        <w:t>17</w:t>
      </w:r>
      <w:r w:rsidR="00014866" w:rsidRPr="00831B70">
        <w:rPr>
          <w:rFonts w:ascii="Times New Roman" w:hAnsi="Times New Roman"/>
          <w:sz w:val="24"/>
          <w:szCs w:val="24"/>
        </w:rPr>
        <w:t xml:space="preserve">, </w:t>
      </w:r>
      <w:r w:rsidR="00350DBD" w:rsidRPr="00831B70">
        <w:rPr>
          <w:rFonts w:ascii="Times New Roman" w:hAnsi="Times New Roman"/>
          <w:sz w:val="24"/>
          <w:szCs w:val="24"/>
        </w:rPr>
        <w:t xml:space="preserve">B – </w:t>
      </w:r>
      <w:r w:rsidR="009609D9">
        <w:rPr>
          <w:rFonts w:ascii="Times New Roman" w:hAnsi="Times New Roman"/>
          <w:sz w:val="24"/>
          <w:szCs w:val="24"/>
        </w:rPr>
        <w:t>1</w:t>
      </w:r>
      <w:r w:rsidR="00350DBD" w:rsidRPr="00831B70">
        <w:rPr>
          <w:rFonts w:ascii="Times New Roman" w:hAnsi="Times New Roman"/>
          <w:sz w:val="24"/>
          <w:szCs w:val="24"/>
        </w:rPr>
        <w:t xml:space="preserve">7, C – </w:t>
      </w:r>
      <w:r w:rsidR="009609D9">
        <w:rPr>
          <w:rFonts w:ascii="Times New Roman" w:hAnsi="Times New Roman"/>
          <w:sz w:val="24"/>
          <w:szCs w:val="24"/>
        </w:rPr>
        <w:t>3</w:t>
      </w:r>
      <w:r w:rsidR="00350DBD" w:rsidRPr="00831B70">
        <w:rPr>
          <w:rFonts w:ascii="Times New Roman" w:hAnsi="Times New Roman"/>
          <w:sz w:val="24"/>
          <w:szCs w:val="24"/>
        </w:rPr>
        <w:t xml:space="preserve">, D - </w:t>
      </w:r>
      <w:r w:rsidR="009609D9">
        <w:rPr>
          <w:rFonts w:ascii="Times New Roman" w:hAnsi="Times New Roman"/>
          <w:sz w:val="24"/>
          <w:szCs w:val="24"/>
        </w:rPr>
        <w:t>25</w:t>
      </w:r>
      <w:r w:rsidR="00350DBD" w:rsidRPr="00831B70">
        <w:rPr>
          <w:rFonts w:ascii="Times New Roman" w:hAnsi="Times New Roman"/>
          <w:sz w:val="24"/>
          <w:szCs w:val="24"/>
        </w:rPr>
        <w:t>)</w:t>
      </w:r>
      <w:r w:rsidR="00E569ED">
        <w:rPr>
          <w:rFonts w:ascii="Times New Roman" w:hAnsi="Times New Roman"/>
          <w:sz w:val="24"/>
          <w:szCs w:val="24"/>
        </w:rPr>
        <w:t xml:space="preserve">. </w:t>
      </w:r>
      <w:r w:rsidR="007237A3">
        <w:rPr>
          <w:rFonts w:ascii="Times New Roman" w:hAnsi="Times New Roman"/>
          <w:sz w:val="24"/>
          <w:szCs w:val="24"/>
        </w:rPr>
        <w:t>Mero institucijoje dirbo 3 asmenys.</w:t>
      </w:r>
    </w:p>
    <w:p w:rsidR="008B437D" w:rsidRDefault="008B437D" w:rsidP="008B437D">
      <w:pPr>
        <w:spacing w:line="259" w:lineRule="auto"/>
        <w:ind w:left="426"/>
        <w:jc w:val="both"/>
        <w:rPr>
          <w:rFonts w:ascii="Times New Roman" w:hAnsi="Times New Roman"/>
          <w:b/>
          <w:bCs/>
          <w:sz w:val="24"/>
          <w:szCs w:val="24"/>
        </w:rPr>
      </w:pPr>
    </w:p>
    <w:p w:rsidR="008B437D" w:rsidRDefault="008B437D" w:rsidP="008B437D">
      <w:pPr>
        <w:spacing w:line="259" w:lineRule="auto"/>
        <w:ind w:left="426"/>
        <w:jc w:val="both"/>
        <w:rPr>
          <w:rFonts w:ascii="Times New Roman" w:hAnsi="Times New Roman"/>
          <w:b/>
          <w:bCs/>
          <w:sz w:val="24"/>
          <w:szCs w:val="24"/>
        </w:rPr>
      </w:pPr>
    </w:p>
    <w:p w:rsidR="008B437D" w:rsidRDefault="008B437D" w:rsidP="008B437D">
      <w:pPr>
        <w:spacing w:line="259" w:lineRule="auto"/>
        <w:ind w:left="426"/>
        <w:jc w:val="both"/>
        <w:rPr>
          <w:rFonts w:ascii="Times New Roman" w:hAnsi="Times New Roman"/>
          <w:b/>
          <w:bCs/>
          <w:sz w:val="24"/>
          <w:szCs w:val="24"/>
        </w:rPr>
      </w:pPr>
      <w:r>
        <w:rPr>
          <w:rFonts w:ascii="Times New Roman" w:hAnsi="Times New Roman"/>
          <w:b/>
          <w:bCs/>
          <w:sz w:val="24"/>
          <w:szCs w:val="24"/>
        </w:rPr>
        <w:t>________________________</w:t>
      </w:r>
    </w:p>
    <w:p w:rsidR="008B437D" w:rsidRDefault="008B437D" w:rsidP="008B437D">
      <w:pPr>
        <w:spacing w:line="259" w:lineRule="auto"/>
        <w:ind w:left="426"/>
        <w:jc w:val="both"/>
        <w:rPr>
          <w:rFonts w:ascii="Times New Roman" w:hAnsi="Times New Roman"/>
          <w:b/>
          <w:bCs/>
          <w:sz w:val="24"/>
          <w:szCs w:val="24"/>
        </w:rPr>
      </w:pPr>
    </w:p>
    <w:p w:rsidR="008B437D" w:rsidRPr="003B41C8" w:rsidRDefault="008B437D" w:rsidP="008B437D">
      <w:pPr>
        <w:spacing w:line="259" w:lineRule="auto"/>
        <w:ind w:left="426"/>
        <w:jc w:val="both"/>
        <w:rPr>
          <w:rFonts w:ascii="Times New Roman" w:hAnsi="Times New Roman"/>
          <w:bCs/>
          <w:sz w:val="20"/>
          <w:szCs w:val="20"/>
        </w:rPr>
      </w:pPr>
      <w:r w:rsidRPr="003B41C8">
        <w:rPr>
          <w:rFonts w:ascii="Times New Roman" w:hAnsi="Times New Roman"/>
          <w:bCs/>
          <w:sz w:val="20"/>
          <w:szCs w:val="20"/>
        </w:rPr>
        <w:t>7 http://lrv.lt/uploads/main/documents/files/LRV%202016m%20ataskaita.pdf</w:t>
      </w:r>
    </w:p>
    <w:p w:rsidR="00E71E6E" w:rsidRDefault="00E71E6E" w:rsidP="00AD5134">
      <w:pPr>
        <w:ind w:left="426" w:firstLine="567"/>
        <w:jc w:val="both"/>
        <w:rPr>
          <w:rFonts w:ascii="Times New Roman" w:hAnsi="Times New Roman"/>
          <w:sz w:val="24"/>
          <w:szCs w:val="24"/>
        </w:rPr>
      </w:pPr>
    </w:p>
    <w:p w:rsidR="00E71E6E" w:rsidRDefault="00CD0DE1" w:rsidP="00CD0DE1">
      <w:pPr>
        <w:jc w:val="both"/>
        <w:rPr>
          <w:rFonts w:ascii="Times New Roman" w:hAnsi="Times New Roman"/>
          <w:b/>
          <w:sz w:val="24"/>
          <w:szCs w:val="24"/>
        </w:rPr>
      </w:pPr>
      <w:r>
        <w:rPr>
          <w:rFonts w:ascii="Times New Roman" w:hAnsi="Times New Roman"/>
          <w:b/>
          <w:sz w:val="24"/>
          <w:szCs w:val="24"/>
        </w:rPr>
        <w:lastRenderedPageBreak/>
        <w:t xml:space="preserve">      </w:t>
      </w:r>
      <w:r w:rsidR="00E71E6E">
        <w:rPr>
          <w:rFonts w:ascii="Times New Roman" w:hAnsi="Times New Roman"/>
          <w:b/>
          <w:sz w:val="24"/>
          <w:szCs w:val="24"/>
        </w:rPr>
        <w:t>Planavimo sistema</w:t>
      </w:r>
    </w:p>
    <w:p w:rsidR="00E71E6E" w:rsidRDefault="00E71E6E" w:rsidP="00AD5134">
      <w:pPr>
        <w:ind w:left="426" w:firstLine="567"/>
        <w:jc w:val="both"/>
        <w:rPr>
          <w:rFonts w:ascii="Times New Roman" w:hAnsi="Times New Roman"/>
          <w:b/>
          <w:sz w:val="24"/>
          <w:szCs w:val="24"/>
        </w:rPr>
      </w:pPr>
    </w:p>
    <w:p w:rsidR="000C2EC3" w:rsidRPr="001D0B67" w:rsidRDefault="009609D9" w:rsidP="00CD0DE1">
      <w:pPr>
        <w:ind w:left="426"/>
        <w:jc w:val="both"/>
        <w:rPr>
          <w:rFonts w:ascii="Times New Roman" w:hAnsi="Times New Roman"/>
          <w:sz w:val="24"/>
          <w:szCs w:val="24"/>
        </w:rPr>
      </w:pPr>
      <w:r>
        <w:rPr>
          <w:rFonts w:ascii="Times New Roman" w:hAnsi="Times New Roman"/>
          <w:sz w:val="24"/>
          <w:szCs w:val="24"/>
        </w:rPr>
        <w:t>Kazlų Rūdos savivaldybės</w:t>
      </w:r>
      <w:r w:rsidR="000C2EC3" w:rsidRPr="001D0B67">
        <w:rPr>
          <w:rFonts w:ascii="Times New Roman" w:hAnsi="Times New Roman"/>
          <w:sz w:val="24"/>
          <w:szCs w:val="24"/>
        </w:rPr>
        <w:t xml:space="preserve"> plėtra planuojama atsižvelgiant į </w:t>
      </w:r>
      <w:r>
        <w:rPr>
          <w:rFonts w:ascii="Times New Roman" w:hAnsi="Times New Roman"/>
          <w:sz w:val="24"/>
          <w:szCs w:val="24"/>
        </w:rPr>
        <w:t>Kazlų Rūdos savivaldybės</w:t>
      </w:r>
      <w:r w:rsidR="000C2EC3" w:rsidRPr="001D0B67">
        <w:rPr>
          <w:rFonts w:ascii="Times New Roman" w:hAnsi="Times New Roman"/>
          <w:sz w:val="24"/>
          <w:szCs w:val="24"/>
        </w:rPr>
        <w:t xml:space="preserve"> 201</w:t>
      </w:r>
      <w:r>
        <w:rPr>
          <w:rFonts w:ascii="Times New Roman" w:hAnsi="Times New Roman"/>
          <w:sz w:val="24"/>
          <w:szCs w:val="24"/>
        </w:rPr>
        <w:t>3</w:t>
      </w:r>
      <w:r w:rsidR="000C2EC3" w:rsidRPr="001D0B67">
        <w:rPr>
          <w:rFonts w:ascii="Times New Roman" w:hAnsi="Times New Roman"/>
          <w:sz w:val="24"/>
          <w:szCs w:val="24"/>
        </w:rPr>
        <w:t xml:space="preserve">–2020 m. strateginį planą ir </w:t>
      </w:r>
      <w:r>
        <w:rPr>
          <w:rFonts w:ascii="Times New Roman" w:hAnsi="Times New Roman"/>
          <w:sz w:val="24"/>
          <w:szCs w:val="24"/>
        </w:rPr>
        <w:t>Kazlų Rūdos</w:t>
      </w:r>
      <w:r w:rsidR="000C2EC3" w:rsidRPr="001D0B67">
        <w:rPr>
          <w:rFonts w:ascii="Times New Roman" w:hAnsi="Times New Roman"/>
          <w:sz w:val="24"/>
          <w:szCs w:val="24"/>
        </w:rPr>
        <w:t xml:space="preserve"> teritorijos bendrąjį planą. Rengiami planai ir programos, kurių pagalba išskiriami </w:t>
      </w:r>
      <w:r>
        <w:rPr>
          <w:rFonts w:ascii="Times New Roman" w:hAnsi="Times New Roman"/>
          <w:sz w:val="24"/>
          <w:szCs w:val="24"/>
        </w:rPr>
        <w:t xml:space="preserve">Kazlų Rūdos savivaldybės plėtros prioritetai. </w:t>
      </w:r>
      <w:r w:rsidR="000C2EC3" w:rsidRPr="001D0B67">
        <w:rPr>
          <w:rFonts w:ascii="Times New Roman" w:hAnsi="Times New Roman"/>
          <w:sz w:val="24"/>
          <w:szCs w:val="24"/>
        </w:rPr>
        <w:t xml:space="preserve">Pagal </w:t>
      </w:r>
      <w:r>
        <w:rPr>
          <w:rFonts w:ascii="Times New Roman" w:hAnsi="Times New Roman"/>
          <w:sz w:val="24"/>
          <w:szCs w:val="24"/>
        </w:rPr>
        <w:t>Kazlų Rūdos savivaldybės</w:t>
      </w:r>
      <w:r w:rsidR="000C2EC3" w:rsidRPr="001D0B67">
        <w:rPr>
          <w:rFonts w:ascii="Times New Roman" w:hAnsi="Times New Roman"/>
          <w:sz w:val="24"/>
          <w:szCs w:val="24"/>
        </w:rPr>
        <w:t xml:space="preserve"> strateginio ir bendrojo plano temas rengiami specialieji, detalieji, žemės sklypų ribų planai, schemos, investicinės programos padedančios spręsti atskirų sferų aktualius klausimus.</w:t>
      </w:r>
    </w:p>
    <w:p w:rsidR="001F2C55" w:rsidRDefault="000C2EC3" w:rsidP="00CD0DE1">
      <w:pPr>
        <w:tabs>
          <w:tab w:val="left" w:pos="993"/>
        </w:tabs>
        <w:ind w:left="426"/>
        <w:jc w:val="both"/>
        <w:rPr>
          <w:rFonts w:ascii="Times New Roman" w:hAnsi="Times New Roman"/>
          <w:sz w:val="24"/>
          <w:szCs w:val="24"/>
          <w:lang w:val="pt-BR"/>
        </w:rPr>
      </w:pPr>
      <w:r w:rsidRPr="001D0B67">
        <w:rPr>
          <w:rFonts w:ascii="Times New Roman" w:hAnsi="Times New Roman"/>
          <w:sz w:val="24"/>
          <w:szCs w:val="24"/>
        </w:rPr>
        <w:t>Vadovaujantis Vietos savivaldos įstatymu</w:t>
      </w:r>
      <w:r w:rsidR="00E569ED">
        <w:rPr>
          <w:rFonts w:ascii="Times New Roman" w:hAnsi="Times New Roman"/>
          <w:sz w:val="24"/>
          <w:szCs w:val="24"/>
        </w:rPr>
        <w:t>,</w:t>
      </w:r>
      <w:r w:rsidRPr="001D0B67">
        <w:rPr>
          <w:rFonts w:ascii="Times New Roman" w:hAnsi="Times New Roman"/>
          <w:sz w:val="24"/>
          <w:szCs w:val="24"/>
        </w:rPr>
        <w:t xml:space="preserve"> kasmet tvirtinamas </w:t>
      </w:r>
      <w:r w:rsidRPr="001D0B67">
        <w:rPr>
          <w:rFonts w:ascii="Times New Roman" w:hAnsi="Times New Roman"/>
          <w:sz w:val="24"/>
          <w:szCs w:val="24"/>
          <w:lang w:val="pt-BR"/>
        </w:rPr>
        <w:t xml:space="preserve">Savivaldybės strateginis veiklos planas, kuris rengiamas 3 metų laikotarpiui, detalizuoja savivaldybės strateginio plėtros plano ir savivaldybės atskirų ūkio šakų (sektorių) plėtros programų tikslų ir uždavinių įgyvendinimą ir sudaromas atsižvelgiant į planuojamus savivaldybės finansinius ir žmogiškuosius išteklius. </w:t>
      </w:r>
    </w:p>
    <w:p w:rsidR="009609D9" w:rsidRDefault="009609D9" w:rsidP="00AD5134">
      <w:pPr>
        <w:tabs>
          <w:tab w:val="left" w:pos="993"/>
        </w:tabs>
        <w:ind w:left="426" w:firstLine="567"/>
        <w:jc w:val="both"/>
      </w:pPr>
    </w:p>
    <w:tbl>
      <w:tblPr>
        <w:tblW w:w="10173" w:type="dxa"/>
        <w:tblLook w:val="04A0" w:firstRow="1" w:lastRow="0" w:firstColumn="1" w:lastColumn="0" w:noHBand="0" w:noVBand="1"/>
      </w:tblPr>
      <w:tblGrid>
        <w:gridCol w:w="10173"/>
      </w:tblGrid>
      <w:tr w:rsidR="00ED7EE6" w:rsidRPr="001D0B67" w:rsidTr="00E57815">
        <w:trPr>
          <w:trHeight w:val="360"/>
        </w:trPr>
        <w:tc>
          <w:tcPr>
            <w:tcW w:w="10173" w:type="dxa"/>
            <w:tcBorders>
              <w:top w:val="nil"/>
              <w:left w:val="nil"/>
              <w:bottom w:val="nil"/>
              <w:right w:val="nil"/>
            </w:tcBorders>
            <w:shd w:val="clear" w:color="auto" w:fill="auto"/>
            <w:noWrap/>
            <w:vAlign w:val="bottom"/>
            <w:hideMark/>
          </w:tcPr>
          <w:p w:rsidR="00A37E41" w:rsidRDefault="00A37E41" w:rsidP="00C513E4">
            <w:pPr>
              <w:tabs>
                <w:tab w:val="left" w:pos="993"/>
              </w:tabs>
              <w:jc w:val="both"/>
              <w:rPr>
                <w:rFonts w:ascii="Times New Roman" w:hAnsi="Times New Roman"/>
                <w:b/>
                <w:bCs/>
                <w:sz w:val="24"/>
                <w:szCs w:val="24"/>
              </w:rPr>
            </w:pPr>
          </w:p>
          <w:p w:rsidR="007343F3" w:rsidRDefault="00557A85" w:rsidP="007343F3">
            <w:pPr>
              <w:tabs>
                <w:tab w:val="left" w:pos="993"/>
              </w:tabs>
              <w:ind w:left="426"/>
              <w:jc w:val="both"/>
              <w:rPr>
                <w:rFonts w:ascii="Times New Roman" w:hAnsi="Times New Roman"/>
                <w:b/>
                <w:bCs/>
                <w:sz w:val="24"/>
                <w:szCs w:val="24"/>
              </w:rPr>
            </w:pPr>
            <w:r>
              <w:rPr>
                <w:rFonts w:ascii="Times New Roman" w:hAnsi="Times New Roman"/>
                <w:b/>
                <w:bCs/>
                <w:sz w:val="24"/>
                <w:szCs w:val="24"/>
              </w:rPr>
              <w:t xml:space="preserve">Finansiniai </w:t>
            </w:r>
            <w:r w:rsidR="0011080E">
              <w:rPr>
                <w:rFonts w:ascii="Times New Roman" w:hAnsi="Times New Roman"/>
                <w:b/>
                <w:bCs/>
                <w:sz w:val="24"/>
                <w:szCs w:val="24"/>
              </w:rPr>
              <w:t>ištekliai</w:t>
            </w:r>
          </w:p>
          <w:p w:rsidR="007343F3" w:rsidRDefault="007343F3" w:rsidP="007343F3">
            <w:pPr>
              <w:tabs>
                <w:tab w:val="left" w:pos="993"/>
              </w:tabs>
              <w:ind w:left="426"/>
              <w:jc w:val="both"/>
              <w:rPr>
                <w:rFonts w:ascii="Times New Roman" w:hAnsi="Times New Roman"/>
                <w:b/>
                <w:bCs/>
                <w:sz w:val="24"/>
                <w:szCs w:val="24"/>
              </w:rPr>
            </w:pPr>
          </w:p>
          <w:p w:rsidR="009609D9" w:rsidRDefault="00793FB8" w:rsidP="007343F3">
            <w:pPr>
              <w:tabs>
                <w:tab w:val="left" w:pos="993"/>
              </w:tabs>
              <w:ind w:left="426"/>
              <w:jc w:val="both"/>
              <w:rPr>
                <w:rFonts w:ascii="Times New Roman" w:eastAsia="Times New Roman" w:hAnsi="Times New Roman"/>
                <w:sz w:val="24"/>
                <w:szCs w:val="24"/>
              </w:rPr>
            </w:pPr>
            <w:r w:rsidRPr="001D0B67">
              <w:rPr>
                <w:rFonts w:ascii="Times New Roman" w:hAnsi="Times New Roman"/>
                <w:sz w:val="24"/>
                <w:szCs w:val="24"/>
              </w:rPr>
              <w:t xml:space="preserve">Savivaldybės </w:t>
            </w:r>
            <w:r w:rsidR="00D90EC6" w:rsidRPr="001D0B67">
              <w:rPr>
                <w:rFonts w:ascii="Times New Roman" w:hAnsi="Times New Roman"/>
                <w:sz w:val="24"/>
                <w:szCs w:val="24"/>
              </w:rPr>
              <w:t>201</w:t>
            </w:r>
            <w:r w:rsidR="009609D9">
              <w:rPr>
                <w:rFonts w:ascii="Times New Roman" w:hAnsi="Times New Roman"/>
                <w:sz w:val="24"/>
                <w:szCs w:val="24"/>
              </w:rPr>
              <w:t>8</w:t>
            </w:r>
            <w:r w:rsidRPr="001D0B67">
              <w:rPr>
                <w:rFonts w:ascii="Times New Roman" w:hAnsi="Times New Roman"/>
                <w:sz w:val="24"/>
                <w:szCs w:val="24"/>
              </w:rPr>
              <w:t xml:space="preserve"> m. biudžeto finansinius šaltinius sudaro:</w:t>
            </w:r>
            <w:r w:rsidRPr="001D0B67">
              <w:rPr>
                <w:rFonts w:ascii="Times New Roman" w:hAnsi="Times New Roman"/>
                <w:b/>
                <w:sz w:val="24"/>
                <w:szCs w:val="24"/>
              </w:rPr>
              <w:t xml:space="preserve"> </w:t>
            </w:r>
            <w:r w:rsidRPr="001D0B67">
              <w:rPr>
                <w:rFonts w:ascii="Times New Roman" w:hAnsi="Times New Roman"/>
                <w:sz w:val="24"/>
                <w:szCs w:val="24"/>
              </w:rPr>
              <w:t>biudž</w:t>
            </w:r>
            <w:r w:rsidR="00A965C3">
              <w:rPr>
                <w:rFonts w:ascii="Times New Roman" w:hAnsi="Times New Roman"/>
                <w:sz w:val="24"/>
                <w:szCs w:val="24"/>
              </w:rPr>
              <w:t xml:space="preserve">eto pajamos, valstybės biudžeto </w:t>
            </w:r>
            <w:r w:rsidRPr="001D0B67">
              <w:rPr>
                <w:rFonts w:ascii="Times New Roman" w:hAnsi="Times New Roman"/>
                <w:sz w:val="24"/>
                <w:szCs w:val="24"/>
              </w:rPr>
              <w:t>dotacijos, apyvartos lėšų likučiai Savivaldybės sąskaitoje, skolintos lėšos</w:t>
            </w:r>
            <w:r w:rsidR="00A965C3">
              <w:rPr>
                <w:rFonts w:ascii="Times New Roman" w:hAnsi="Times New Roman"/>
                <w:sz w:val="24"/>
                <w:szCs w:val="24"/>
              </w:rPr>
              <w:t xml:space="preserve"> investicijų</w:t>
            </w:r>
            <w:r w:rsidRPr="001D0B67">
              <w:rPr>
                <w:rFonts w:ascii="Times New Roman" w:hAnsi="Times New Roman"/>
                <w:sz w:val="24"/>
                <w:szCs w:val="24"/>
              </w:rPr>
              <w:t xml:space="preserve"> projektams</w:t>
            </w:r>
            <w:r w:rsidR="00A965C3">
              <w:rPr>
                <w:rFonts w:ascii="Times New Roman" w:eastAsia="Times New Roman" w:hAnsi="Times New Roman"/>
                <w:sz w:val="24"/>
                <w:szCs w:val="24"/>
              </w:rPr>
              <w:t>.</w:t>
            </w:r>
          </w:p>
          <w:p w:rsidR="001F2C55" w:rsidRDefault="00EC6BA3" w:rsidP="00111156">
            <w:pPr>
              <w:tabs>
                <w:tab w:val="left" w:pos="993"/>
              </w:tabs>
              <w:ind w:left="426"/>
              <w:jc w:val="both"/>
              <w:rPr>
                <w:rFonts w:ascii="Times New Roman" w:hAnsi="Times New Roman"/>
                <w:sz w:val="24"/>
                <w:szCs w:val="24"/>
              </w:rPr>
            </w:pPr>
            <w:r w:rsidRPr="009609D9">
              <w:rPr>
                <w:rFonts w:ascii="Times New Roman" w:hAnsi="Times New Roman"/>
                <w:sz w:val="24"/>
                <w:szCs w:val="24"/>
              </w:rPr>
              <w:t xml:space="preserve">Savivaldybės </w:t>
            </w:r>
            <w:r w:rsidR="008837E3" w:rsidRPr="009609D9">
              <w:rPr>
                <w:rFonts w:ascii="Times New Roman" w:hAnsi="Times New Roman"/>
                <w:sz w:val="24"/>
                <w:szCs w:val="24"/>
              </w:rPr>
              <w:t>201</w:t>
            </w:r>
            <w:r w:rsidR="009609D9" w:rsidRPr="009609D9">
              <w:rPr>
                <w:rFonts w:ascii="Times New Roman" w:hAnsi="Times New Roman"/>
                <w:sz w:val="24"/>
                <w:szCs w:val="24"/>
              </w:rPr>
              <w:t>8</w:t>
            </w:r>
            <w:r w:rsidRPr="009609D9">
              <w:rPr>
                <w:rFonts w:ascii="Times New Roman" w:hAnsi="Times New Roman"/>
                <w:sz w:val="24"/>
                <w:szCs w:val="24"/>
              </w:rPr>
              <w:t xml:space="preserve"> m. biudžeto pajamų dalį sudaro:</w:t>
            </w:r>
            <w:r w:rsidRPr="001D0B67">
              <w:rPr>
                <w:rFonts w:ascii="Times New Roman" w:hAnsi="Times New Roman"/>
                <w:sz w:val="24"/>
                <w:szCs w:val="24"/>
              </w:rPr>
              <w:t xml:space="preserve"> gyventojų pajamų mokestis, turto mokesčiai bei pajamos, prekių ir paslaugų mokesčiai bei pajamos, pajamos iš baudų ir konfiskacijos, kitos neišvardytos pajamos, valstybinės žemės pardavimo pajamos, gyventojų gyvenamųjų patalpų privatizavimo pajamos, Savivaldy</w:t>
            </w:r>
            <w:r w:rsidR="00580CF7">
              <w:rPr>
                <w:rFonts w:ascii="Times New Roman" w:hAnsi="Times New Roman"/>
                <w:sz w:val="24"/>
                <w:szCs w:val="24"/>
              </w:rPr>
              <w:t>bės turto privatizavimo pajamos</w:t>
            </w:r>
            <w:r w:rsidRPr="001D0B67">
              <w:t xml:space="preserve"> </w:t>
            </w:r>
            <w:r w:rsidRPr="001D0B67">
              <w:rPr>
                <w:rFonts w:ascii="Times New Roman" w:hAnsi="Times New Roman"/>
                <w:sz w:val="24"/>
                <w:szCs w:val="24"/>
              </w:rPr>
              <w:t xml:space="preserve">bei </w:t>
            </w:r>
            <w:r w:rsidR="00A965C3">
              <w:rPr>
                <w:rFonts w:ascii="Times New Roman" w:hAnsi="Times New Roman"/>
                <w:sz w:val="24"/>
                <w:szCs w:val="24"/>
              </w:rPr>
              <w:t xml:space="preserve">valstybės </w:t>
            </w:r>
            <w:r w:rsidRPr="001D0B67">
              <w:rPr>
                <w:rFonts w:ascii="Times New Roman" w:hAnsi="Times New Roman"/>
                <w:sz w:val="24"/>
                <w:szCs w:val="24"/>
              </w:rPr>
              <w:t>dotacijos.</w:t>
            </w:r>
            <w:r w:rsidR="00D90EC6" w:rsidRPr="001D0B67">
              <w:rPr>
                <w:rFonts w:ascii="Times New Roman" w:hAnsi="Times New Roman"/>
                <w:sz w:val="24"/>
                <w:szCs w:val="24"/>
              </w:rPr>
              <w:t xml:space="preserve"> Savivaldybės 201</w:t>
            </w:r>
            <w:r w:rsidR="00EA3657">
              <w:rPr>
                <w:rFonts w:ascii="Times New Roman" w:hAnsi="Times New Roman"/>
                <w:sz w:val="24"/>
                <w:szCs w:val="24"/>
              </w:rPr>
              <w:t>7</w:t>
            </w:r>
            <w:r w:rsidRPr="001D0B67">
              <w:rPr>
                <w:rFonts w:ascii="Times New Roman" w:hAnsi="Times New Roman"/>
                <w:sz w:val="24"/>
                <w:szCs w:val="24"/>
              </w:rPr>
              <w:t xml:space="preserve"> </w:t>
            </w:r>
            <w:r w:rsidR="00111156">
              <w:rPr>
                <w:rFonts w:ascii="Times New Roman" w:hAnsi="Times New Roman"/>
                <w:sz w:val="24"/>
                <w:szCs w:val="24"/>
              </w:rPr>
              <w:t xml:space="preserve">– 2018 </w:t>
            </w:r>
            <w:r w:rsidRPr="001D0B67">
              <w:rPr>
                <w:rFonts w:ascii="Times New Roman" w:hAnsi="Times New Roman"/>
                <w:sz w:val="24"/>
                <w:szCs w:val="24"/>
              </w:rPr>
              <w:t>metų</w:t>
            </w:r>
            <w:r w:rsidR="009609D9">
              <w:rPr>
                <w:rFonts w:ascii="Times New Roman" w:hAnsi="Times New Roman"/>
                <w:sz w:val="24"/>
                <w:szCs w:val="24"/>
              </w:rPr>
              <w:t xml:space="preserve"> </w:t>
            </w:r>
            <w:r w:rsidRPr="001D0B67">
              <w:rPr>
                <w:rFonts w:ascii="Times New Roman" w:hAnsi="Times New Roman"/>
                <w:sz w:val="24"/>
                <w:szCs w:val="24"/>
              </w:rPr>
              <w:t xml:space="preserve">biudžeto pajamų struktūra parodyta </w:t>
            </w:r>
            <w:r w:rsidR="00831B70" w:rsidRPr="00AA53EB">
              <w:rPr>
                <w:rFonts w:ascii="Times New Roman" w:hAnsi="Times New Roman"/>
                <w:sz w:val="24"/>
                <w:szCs w:val="24"/>
              </w:rPr>
              <w:t>3</w:t>
            </w:r>
            <w:r w:rsidR="003A5E95" w:rsidRPr="00AA53EB">
              <w:rPr>
                <w:rFonts w:ascii="Times New Roman" w:hAnsi="Times New Roman"/>
                <w:sz w:val="24"/>
                <w:szCs w:val="24"/>
              </w:rPr>
              <w:t xml:space="preserve"> </w:t>
            </w:r>
            <w:r w:rsidR="001D0B67" w:rsidRPr="00AA53EB">
              <w:rPr>
                <w:rFonts w:ascii="Times New Roman" w:hAnsi="Times New Roman"/>
                <w:sz w:val="24"/>
                <w:szCs w:val="24"/>
              </w:rPr>
              <w:t>lentelėje.</w:t>
            </w:r>
          </w:p>
          <w:p w:rsidR="00111156" w:rsidRPr="00111156" w:rsidRDefault="00111156" w:rsidP="00111156">
            <w:pPr>
              <w:tabs>
                <w:tab w:val="left" w:pos="993"/>
              </w:tabs>
              <w:ind w:left="426"/>
              <w:jc w:val="both"/>
              <w:rPr>
                <w:rFonts w:ascii="Times New Roman" w:hAnsi="Times New Roman"/>
                <w:sz w:val="24"/>
                <w:szCs w:val="24"/>
              </w:rPr>
            </w:pPr>
            <w:r w:rsidRPr="00111156">
              <w:rPr>
                <w:rFonts w:ascii="Times New Roman" w:hAnsi="Times New Roman"/>
                <w:sz w:val="24"/>
                <w:szCs w:val="24"/>
              </w:rPr>
              <w:t>GPM</w:t>
            </w:r>
            <w:r w:rsidR="009139FB">
              <w:rPr>
                <w:rFonts w:ascii="Times New Roman" w:hAnsi="Times New Roman"/>
                <w:sz w:val="24"/>
                <w:szCs w:val="24"/>
              </w:rPr>
              <w:t xml:space="preserve"> </w:t>
            </w:r>
            <w:r w:rsidR="009139FB" w:rsidRPr="00111156">
              <w:rPr>
                <w:rFonts w:ascii="Times New Roman" w:hAnsi="Times New Roman"/>
                <w:sz w:val="24"/>
                <w:szCs w:val="24"/>
              </w:rPr>
              <w:t xml:space="preserve">(toliau – GPM) </w:t>
            </w:r>
            <w:r w:rsidRPr="00111156">
              <w:rPr>
                <w:rFonts w:ascii="Times New Roman" w:hAnsi="Times New Roman"/>
                <w:sz w:val="24"/>
                <w:szCs w:val="24"/>
              </w:rPr>
              <w:t xml:space="preserve"> yra pagrindinis ir didžiausias savivaldybės pajamų šaltinis, sudarantis apie 50-60 proc. savivaldybės biudžeto (neįskaitant dotacijų). Bendra GPM suma, kurią gauna Kazlų Rūdos savivaldybė, prognozuojama didėjanti (2017 m. – 4,</w:t>
            </w:r>
            <w:r w:rsidR="009139FB">
              <w:rPr>
                <w:rFonts w:ascii="Times New Roman" w:hAnsi="Times New Roman"/>
                <w:sz w:val="24"/>
                <w:szCs w:val="24"/>
              </w:rPr>
              <w:t>9</w:t>
            </w:r>
            <w:r w:rsidRPr="00111156">
              <w:rPr>
                <w:rFonts w:ascii="Times New Roman" w:hAnsi="Times New Roman"/>
                <w:sz w:val="24"/>
                <w:szCs w:val="24"/>
              </w:rPr>
              <w:t xml:space="preserve"> mln. </w:t>
            </w:r>
            <w:proofErr w:type="spellStart"/>
            <w:r w:rsidRPr="00111156">
              <w:rPr>
                <w:rFonts w:ascii="Times New Roman" w:hAnsi="Times New Roman"/>
                <w:sz w:val="24"/>
                <w:szCs w:val="24"/>
              </w:rPr>
              <w:t>Eur</w:t>
            </w:r>
            <w:proofErr w:type="spellEnd"/>
            <w:r w:rsidRPr="00111156">
              <w:rPr>
                <w:rFonts w:ascii="Times New Roman" w:hAnsi="Times New Roman"/>
                <w:sz w:val="24"/>
                <w:szCs w:val="24"/>
              </w:rPr>
              <w:t xml:space="preserve">, 2018 m. prognozė – 5,6 mln. </w:t>
            </w:r>
            <w:proofErr w:type="spellStart"/>
            <w:r w:rsidRPr="00111156">
              <w:rPr>
                <w:rFonts w:ascii="Times New Roman" w:hAnsi="Times New Roman"/>
                <w:sz w:val="24"/>
                <w:szCs w:val="24"/>
              </w:rPr>
              <w:t>Eur</w:t>
            </w:r>
            <w:proofErr w:type="spellEnd"/>
            <w:r w:rsidRPr="00111156">
              <w:rPr>
                <w:rFonts w:ascii="Times New Roman" w:hAnsi="Times New Roman"/>
                <w:sz w:val="24"/>
                <w:szCs w:val="24"/>
              </w:rPr>
              <w:t>).</w:t>
            </w:r>
          </w:p>
          <w:p w:rsidR="00111156" w:rsidRPr="001F2C55" w:rsidRDefault="00111156" w:rsidP="00111156">
            <w:pPr>
              <w:tabs>
                <w:tab w:val="left" w:pos="993"/>
              </w:tabs>
              <w:ind w:left="426"/>
              <w:jc w:val="both"/>
              <w:rPr>
                <w:rFonts w:ascii="Times New Roman" w:hAnsi="Times New Roman"/>
                <w:sz w:val="24"/>
                <w:szCs w:val="24"/>
              </w:rPr>
            </w:pPr>
            <w:r w:rsidRPr="00111156">
              <w:rPr>
                <w:rFonts w:ascii="Times New Roman" w:hAnsi="Times New Roman"/>
                <w:sz w:val="24"/>
                <w:szCs w:val="24"/>
              </w:rPr>
              <w:t>Nuo 2018 metų Kazlų Rūdos savivaldybei tampa aktualios fiskalinių taisyklių nuostatos, numatytos Fiskalinės sutarties įgyvendinimo konstituciniame įstatyme. Pagal šį įstatymą Savivaldybės biudžetas turi būti planuojamas, tvirtinamas, keičiamas ir vykdomas taip, kad, sprendžiant pagal to biudžeto struktūrinį balanso rodiklį, apskaičiuotą kaupiamuoju principu, jis būtų perteklinis arba subalansuotas.</w:t>
            </w:r>
          </w:p>
        </w:tc>
      </w:tr>
    </w:tbl>
    <w:p w:rsidR="003A5E95" w:rsidRDefault="003A5E95" w:rsidP="00111156">
      <w:pPr>
        <w:spacing w:after="160" w:line="259" w:lineRule="auto"/>
        <w:rPr>
          <w:rFonts w:ascii="Times New Roman" w:eastAsia="Times New Roman" w:hAnsi="Times New Roman"/>
          <w:bCs/>
          <w:sz w:val="24"/>
          <w:szCs w:val="24"/>
        </w:rPr>
      </w:pPr>
    </w:p>
    <w:tbl>
      <w:tblPr>
        <w:tblStyle w:val="TableGrid"/>
        <w:tblW w:w="10060" w:type="dxa"/>
        <w:tblLayout w:type="fixed"/>
        <w:tblLook w:val="04A0" w:firstRow="1" w:lastRow="0" w:firstColumn="1" w:lastColumn="0" w:noHBand="0" w:noVBand="1"/>
      </w:tblPr>
      <w:tblGrid>
        <w:gridCol w:w="562"/>
        <w:gridCol w:w="3544"/>
        <w:gridCol w:w="1559"/>
        <w:gridCol w:w="1418"/>
        <w:gridCol w:w="1559"/>
        <w:gridCol w:w="1418"/>
      </w:tblGrid>
      <w:tr w:rsidR="00C513E4" w:rsidRPr="00C513E4" w:rsidTr="009139FB">
        <w:trPr>
          <w:trHeight w:val="300"/>
        </w:trPr>
        <w:tc>
          <w:tcPr>
            <w:tcW w:w="562" w:type="dxa"/>
            <w:vMerge w:val="restart"/>
            <w:shd w:val="clear" w:color="auto" w:fill="9CC2E5" w:themeFill="accent1" w:themeFillTint="99"/>
            <w:hideMark/>
          </w:tcPr>
          <w:p w:rsidR="00C513E4" w:rsidRPr="00C513E4" w:rsidRDefault="00C513E4" w:rsidP="00C513E4">
            <w:pPr>
              <w:spacing w:after="160" w:line="259" w:lineRule="auto"/>
              <w:rPr>
                <w:rFonts w:ascii="Times New Roman" w:hAnsi="Times New Roman"/>
                <w:b/>
                <w:bCs/>
              </w:rPr>
            </w:pPr>
            <w:r w:rsidRPr="00C513E4">
              <w:rPr>
                <w:rFonts w:ascii="Times New Roman" w:hAnsi="Times New Roman"/>
                <w:b/>
                <w:bCs/>
              </w:rPr>
              <w:t>Eil. Nr.</w:t>
            </w:r>
          </w:p>
        </w:tc>
        <w:tc>
          <w:tcPr>
            <w:tcW w:w="3544" w:type="dxa"/>
            <w:vMerge w:val="restart"/>
            <w:shd w:val="clear" w:color="auto" w:fill="9CC2E5" w:themeFill="accent1" w:themeFillTint="99"/>
            <w:hideMark/>
          </w:tcPr>
          <w:p w:rsidR="00C513E4" w:rsidRDefault="00C513E4" w:rsidP="00C513E4">
            <w:pPr>
              <w:spacing w:after="160" w:line="259" w:lineRule="auto"/>
              <w:ind w:left="426"/>
              <w:jc w:val="center"/>
              <w:rPr>
                <w:rFonts w:ascii="Times New Roman" w:hAnsi="Times New Roman"/>
                <w:b/>
                <w:bCs/>
              </w:rPr>
            </w:pPr>
          </w:p>
          <w:p w:rsidR="00C513E4" w:rsidRDefault="00C513E4" w:rsidP="00C513E4">
            <w:pPr>
              <w:spacing w:after="160" w:line="259" w:lineRule="auto"/>
              <w:ind w:left="426"/>
              <w:jc w:val="center"/>
              <w:rPr>
                <w:rFonts w:ascii="Times New Roman" w:hAnsi="Times New Roman"/>
                <w:b/>
                <w:bCs/>
              </w:rPr>
            </w:pPr>
          </w:p>
          <w:p w:rsidR="00C513E4" w:rsidRPr="00C513E4" w:rsidRDefault="00C513E4" w:rsidP="00C513E4">
            <w:pPr>
              <w:spacing w:after="160" w:line="259" w:lineRule="auto"/>
              <w:jc w:val="center"/>
              <w:rPr>
                <w:rFonts w:ascii="Times New Roman" w:hAnsi="Times New Roman"/>
                <w:b/>
                <w:bCs/>
              </w:rPr>
            </w:pPr>
            <w:r w:rsidRPr="00C513E4">
              <w:rPr>
                <w:rFonts w:ascii="Times New Roman" w:hAnsi="Times New Roman"/>
                <w:b/>
                <w:bCs/>
              </w:rPr>
              <w:t>Pajamos</w:t>
            </w:r>
          </w:p>
        </w:tc>
        <w:tc>
          <w:tcPr>
            <w:tcW w:w="2977" w:type="dxa"/>
            <w:gridSpan w:val="2"/>
            <w:shd w:val="clear" w:color="auto" w:fill="9CC2E5" w:themeFill="accent1" w:themeFillTint="99"/>
            <w:hideMark/>
          </w:tcPr>
          <w:p w:rsidR="00C513E4" w:rsidRPr="00C513E4" w:rsidRDefault="00C513E4" w:rsidP="00C513E4">
            <w:pPr>
              <w:spacing w:after="160" w:line="259" w:lineRule="auto"/>
              <w:ind w:left="34"/>
              <w:jc w:val="center"/>
              <w:rPr>
                <w:rFonts w:ascii="Times New Roman" w:hAnsi="Times New Roman"/>
                <w:b/>
                <w:bCs/>
              </w:rPr>
            </w:pPr>
            <w:r w:rsidRPr="00C513E4">
              <w:rPr>
                <w:rFonts w:ascii="Times New Roman" w:hAnsi="Times New Roman"/>
                <w:b/>
                <w:bCs/>
              </w:rPr>
              <w:t>2017 metų įvykdymas</w:t>
            </w:r>
          </w:p>
        </w:tc>
        <w:tc>
          <w:tcPr>
            <w:tcW w:w="2977" w:type="dxa"/>
            <w:gridSpan w:val="2"/>
            <w:shd w:val="clear" w:color="auto" w:fill="9CC2E5" w:themeFill="accent1" w:themeFillTint="99"/>
            <w:hideMark/>
          </w:tcPr>
          <w:p w:rsidR="00C513E4" w:rsidRPr="00C513E4" w:rsidRDefault="00C513E4" w:rsidP="00C513E4">
            <w:pPr>
              <w:spacing w:after="160" w:line="259" w:lineRule="auto"/>
              <w:ind w:left="34"/>
              <w:jc w:val="center"/>
              <w:rPr>
                <w:rFonts w:ascii="Times New Roman" w:hAnsi="Times New Roman"/>
                <w:b/>
                <w:bCs/>
              </w:rPr>
            </w:pPr>
            <w:r w:rsidRPr="00C513E4">
              <w:rPr>
                <w:rFonts w:ascii="Times New Roman" w:hAnsi="Times New Roman"/>
                <w:b/>
                <w:bCs/>
              </w:rPr>
              <w:t>2018 metų projektas</w:t>
            </w:r>
          </w:p>
        </w:tc>
      </w:tr>
      <w:tr w:rsidR="00C513E4" w:rsidRPr="00C513E4" w:rsidTr="009139FB">
        <w:trPr>
          <w:trHeight w:val="181"/>
        </w:trPr>
        <w:tc>
          <w:tcPr>
            <w:tcW w:w="562" w:type="dxa"/>
            <w:vMerge/>
            <w:shd w:val="clear" w:color="auto" w:fill="9CC2E5" w:themeFill="accent1" w:themeFillTint="99"/>
            <w:hideMark/>
          </w:tcPr>
          <w:p w:rsidR="00C513E4" w:rsidRPr="00C513E4" w:rsidRDefault="00C513E4" w:rsidP="00C513E4">
            <w:pPr>
              <w:spacing w:after="160" w:line="259" w:lineRule="auto"/>
              <w:ind w:left="426"/>
              <w:jc w:val="center"/>
              <w:rPr>
                <w:rFonts w:ascii="Times New Roman" w:hAnsi="Times New Roman"/>
                <w:b/>
                <w:bCs/>
              </w:rPr>
            </w:pPr>
          </w:p>
        </w:tc>
        <w:tc>
          <w:tcPr>
            <w:tcW w:w="3544" w:type="dxa"/>
            <w:vMerge/>
            <w:shd w:val="clear" w:color="auto" w:fill="9CC2E5" w:themeFill="accent1" w:themeFillTint="99"/>
            <w:hideMark/>
          </w:tcPr>
          <w:p w:rsidR="00C513E4" w:rsidRPr="00C513E4" w:rsidRDefault="00C513E4" w:rsidP="00C513E4">
            <w:pPr>
              <w:spacing w:after="160" w:line="259" w:lineRule="auto"/>
              <w:ind w:left="426"/>
              <w:jc w:val="center"/>
              <w:rPr>
                <w:rFonts w:ascii="Times New Roman" w:hAnsi="Times New Roman"/>
                <w:b/>
                <w:bCs/>
              </w:rPr>
            </w:pPr>
          </w:p>
        </w:tc>
        <w:tc>
          <w:tcPr>
            <w:tcW w:w="1559" w:type="dxa"/>
            <w:shd w:val="clear" w:color="auto" w:fill="9CC2E5" w:themeFill="accent1" w:themeFillTint="99"/>
            <w:hideMark/>
          </w:tcPr>
          <w:p w:rsidR="00C513E4" w:rsidRPr="00C513E4" w:rsidRDefault="00C513E4" w:rsidP="00C513E4">
            <w:pPr>
              <w:spacing w:after="160" w:line="259" w:lineRule="auto"/>
              <w:ind w:left="426"/>
              <w:jc w:val="center"/>
              <w:rPr>
                <w:rFonts w:ascii="Times New Roman" w:hAnsi="Times New Roman"/>
                <w:b/>
                <w:bCs/>
              </w:rPr>
            </w:pPr>
            <w:r w:rsidRPr="00C513E4">
              <w:rPr>
                <w:rFonts w:ascii="Times New Roman" w:hAnsi="Times New Roman"/>
                <w:b/>
                <w:bCs/>
              </w:rPr>
              <w:t xml:space="preserve">Suma        </w:t>
            </w:r>
          </w:p>
        </w:tc>
        <w:tc>
          <w:tcPr>
            <w:tcW w:w="1418" w:type="dxa"/>
            <w:vMerge w:val="restart"/>
            <w:shd w:val="clear" w:color="auto" w:fill="9CC2E5" w:themeFill="accent1" w:themeFillTint="99"/>
            <w:hideMark/>
          </w:tcPr>
          <w:p w:rsidR="00C513E4" w:rsidRPr="00C513E4" w:rsidRDefault="00C513E4" w:rsidP="00C513E4">
            <w:pPr>
              <w:spacing w:after="160" w:line="259" w:lineRule="auto"/>
              <w:jc w:val="center"/>
              <w:rPr>
                <w:rFonts w:ascii="Times New Roman" w:hAnsi="Times New Roman"/>
                <w:b/>
                <w:bCs/>
              </w:rPr>
            </w:pPr>
            <w:r w:rsidRPr="00C513E4">
              <w:rPr>
                <w:rFonts w:ascii="Times New Roman" w:hAnsi="Times New Roman"/>
                <w:b/>
                <w:bCs/>
              </w:rPr>
              <w:t>Lyginamasis svoris (proc.)</w:t>
            </w:r>
          </w:p>
        </w:tc>
        <w:tc>
          <w:tcPr>
            <w:tcW w:w="1559" w:type="dxa"/>
            <w:shd w:val="clear" w:color="auto" w:fill="9CC2E5" w:themeFill="accent1" w:themeFillTint="99"/>
            <w:hideMark/>
          </w:tcPr>
          <w:p w:rsidR="00C513E4" w:rsidRPr="00C513E4" w:rsidRDefault="00C513E4" w:rsidP="00C513E4">
            <w:pPr>
              <w:spacing w:after="160" w:line="259" w:lineRule="auto"/>
              <w:ind w:left="426"/>
              <w:jc w:val="center"/>
              <w:rPr>
                <w:rFonts w:ascii="Times New Roman" w:hAnsi="Times New Roman"/>
                <w:b/>
                <w:bCs/>
              </w:rPr>
            </w:pPr>
            <w:r w:rsidRPr="00C513E4">
              <w:rPr>
                <w:rFonts w:ascii="Times New Roman" w:hAnsi="Times New Roman"/>
                <w:b/>
                <w:bCs/>
              </w:rPr>
              <w:t xml:space="preserve">Suma        </w:t>
            </w:r>
          </w:p>
        </w:tc>
        <w:tc>
          <w:tcPr>
            <w:tcW w:w="1418" w:type="dxa"/>
            <w:vMerge w:val="restart"/>
            <w:shd w:val="clear" w:color="auto" w:fill="9CC2E5" w:themeFill="accent1" w:themeFillTint="99"/>
            <w:hideMark/>
          </w:tcPr>
          <w:p w:rsidR="00C513E4" w:rsidRPr="00C513E4" w:rsidRDefault="00C513E4" w:rsidP="00111156">
            <w:pPr>
              <w:spacing w:after="160" w:line="259" w:lineRule="auto"/>
              <w:jc w:val="center"/>
              <w:rPr>
                <w:rFonts w:ascii="Times New Roman" w:hAnsi="Times New Roman"/>
                <w:b/>
                <w:bCs/>
              </w:rPr>
            </w:pPr>
            <w:r w:rsidRPr="00C513E4">
              <w:rPr>
                <w:rFonts w:ascii="Times New Roman" w:hAnsi="Times New Roman"/>
                <w:b/>
                <w:bCs/>
              </w:rPr>
              <w:t>Lyginamasis svoris (proc.)</w:t>
            </w:r>
          </w:p>
        </w:tc>
      </w:tr>
      <w:tr w:rsidR="00C513E4" w:rsidRPr="00C513E4" w:rsidTr="009139FB">
        <w:trPr>
          <w:trHeight w:val="360"/>
        </w:trPr>
        <w:tc>
          <w:tcPr>
            <w:tcW w:w="562" w:type="dxa"/>
            <w:vMerge/>
            <w:hideMark/>
          </w:tcPr>
          <w:p w:rsidR="00C513E4" w:rsidRPr="00C513E4" w:rsidRDefault="00C513E4" w:rsidP="00C513E4">
            <w:pPr>
              <w:spacing w:after="160" w:line="259" w:lineRule="auto"/>
              <w:ind w:left="426"/>
              <w:jc w:val="center"/>
              <w:rPr>
                <w:rFonts w:ascii="Times New Roman" w:hAnsi="Times New Roman"/>
                <w:b/>
                <w:bCs/>
              </w:rPr>
            </w:pPr>
          </w:p>
        </w:tc>
        <w:tc>
          <w:tcPr>
            <w:tcW w:w="3544" w:type="dxa"/>
            <w:vMerge/>
            <w:hideMark/>
          </w:tcPr>
          <w:p w:rsidR="00C513E4" w:rsidRPr="00C513E4" w:rsidRDefault="00C513E4" w:rsidP="00C513E4">
            <w:pPr>
              <w:spacing w:after="160" w:line="259" w:lineRule="auto"/>
              <w:ind w:left="426"/>
              <w:jc w:val="center"/>
              <w:rPr>
                <w:rFonts w:ascii="Times New Roman" w:hAnsi="Times New Roman"/>
                <w:b/>
                <w:bCs/>
              </w:rPr>
            </w:pPr>
          </w:p>
        </w:tc>
        <w:tc>
          <w:tcPr>
            <w:tcW w:w="1559" w:type="dxa"/>
            <w:shd w:val="clear" w:color="auto" w:fill="9CC2E5" w:themeFill="accent1" w:themeFillTint="99"/>
            <w:hideMark/>
          </w:tcPr>
          <w:p w:rsidR="00C513E4" w:rsidRPr="00C513E4" w:rsidRDefault="00C513E4" w:rsidP="00C513E4">
            <w:pPr>
              <w:spacing w:after="160" w:line="259" w:lineRule="auto"/>
              <w:jc w:val="center"/>
              <w:rPr>
                <w:rFonts w:ascii="Times New Roman" w:hAnsi="Times New Roman"/>
                <w:b/>
                <w:bCs/>
              </w:rPr>
            </w:pPr>
            <w:r w:rsidRPr="00C513E4">
              <w:rPr>
                <w:rFonts w:ascii="Times New Roman" w:hAnsi="Times New Roman"/>
                <w:b/>
                <w:bCs/>
              </w:rPr>
              <w:t xml:space="preserve">(tūkst. </w:t>
            </w:r>
            <w:proofErr w:type="spellStart"/>
            <w:r w:rsidRPr="00C513E4">
              <w:rPr>
                <w:rFonts w:ascii="Times New Roman" w:hAnsi="Times New Roman"/>
                <w:b/>
                <w:bCs/>
              </w:rPr>
              <w:t>Eur</w:t>
            </w:r>
            <w:proofErr w:type="spellEnd"/>
            <w:r w:rsidRPr="00C513E4">
              <w:rPr>
                <w:rFonts w:ascii="Times New Roman" w:hAnsi="Times New Roman"/>
                <w:b/>
                <w:bCs/>
              </w:rPr>
              <w:t>)</w:t>
            </w:r>
          </w:p>
        </w:tc>
        <w:tc>
          <w:tcPr>
            <w:tcW w:w="1418" w:type="dxa"/>
            <w:vMerge/>
            <w:shd w:val="clear" w:color="auto" w:fill="9CC2E5" w:themeFill="accent1" w:themeFillTint="99"/>
            <w:hideMark/>
          </w:tcPr>
          <w:p w:rsidR="00C513E4" w:rsidRPr="00C513E4" w:rsidRDefault="00C513E4" w:rsidP="00C513E4">
            <w:pPr>
              <w:spacing w:after="160" w:line="259" w:lineRule="auto"/>
              <w:ind w:left="426"/>
              <w:jc w:val="center"/>
              <w:rPr>
                <w:rFonts w:ascii="Times New Roman" w:hAnsi="Times New Roman"/>
                <w:b/>
                <w:bCs/>
              </w:rPr>
            </w:pPr>
          </w:p>
        </w:tc>
        <w:tc>
          <w:tcPr>
            <w:tcW w:w="1559" w:type="dxa"/>
            <w:shd w:val="clear" w:color="auto" w:fill="9CC2E5" w:themeFill="accent1" w:themeFillTint="99"/>
            <w:hideMark/>
          </w:tcPr>
          <w:p w:rsidR="00C513E4" w:rsidRPr="00C513E4" w:rsidRDefault="00C513E4" w:rsidP="00C513E4">
            <w:pPr>
              <w:spacing w:after="160" w:line="259" w:lineRule="auto"/>
              <w:jc w:val="center"/>
              <w:rPr>
                <w:rFonts w:ascii="Times New Roman" w:hAnsi="Times New Roman"/>
                <w:b/>
                <w:bCs/>
              </w:rPr>
            </w:pPr>
            <w:r w:rsidRPr="00C513E4">
              <w:rPr>
                <w:rFonts w:ascii="Times New Roman" w:hAnsi="Times New Roman"/>
                <w:b/>
                <w:bCs/>
              </w:rPr>
              <w:t xml:space="preserve">(tūkst. </w:t>
            </w:r>
            <w:proofErr w:type="spellStart"/>
            <w:r w:rsidRPr="00C513E4">
              <w:rPr>
                <w:rFonts w:ascii="Times New Roman" w:hAnsi="Times New Roman"/>
                <w:b/>
                <w:bCs/>
              </w:rPr>
              <w:t>Eur</w:t>
            </w:r>
            <w:proofErr w:type="spellEnd"/>
            <w:r w:rsidRPr="00C513E4">
              <w:rPr>
                <w:rFonts w:ascii="Times New Roman" w:hAnsi="Times New Roman"/>
                <w:b/>
                <w:bCs/>
              </w:rPr>
              <w:t>)</w:t>
            </w:r>
          </w:p>
        </w:tc>
        <w:tc>
          <w:tcPr>
            <w:tcW w:w="1418" w:type="dxa"/>
            <w:vMerge/>
            <w:hideMark/>
          </w:tcPr>
          <w:p w:rsidR="00C513E4" w:rsidRPr="00C513E4" w:rsidRDefault="00C513E4" w:rsidP="00C513E4">
            <w:pPr>
              <w:spacing w:after="160" w:line="259" w:lineRule="auto"/>
              <w:ind w:left="426"/>
              <w:jc w:val="center"/>
              <w:rPr>
                <w:rFonts w:ascii="Times New Roman" w:hAnsi="Times New Roman"/>
                <w:b/>
                <w:bCs/>
              </w:rPr>
            </w:pPr>
          </w:p>
        </w:tc>
      </w:tr>
      <w:tr w:rsidR="00C513E4" w:rsidRPr="00C513E4" w:rsidTr="009139FB">
        <w:trPr>
          <w:trHeight w:val="315"/>
        </w:trPr>
        <w:tc>
          <w:tcPr>
            <w:tcW w:w="562" w:type="dxa"/>
            <w:shd w:val="clear" w:color="auto" w:fill="BDD6EE" w:themeFill="accent1" w:themeFillTint="66"/>
            <w:noWrap/>
            <w:hideMark/>
          </w:tcPr>
          <w:p w:rsidR="00C513E4" w:rsidRPr="00C513E4" w:rsidRDefault="00C513E4" w:rsidP="00C513E4">
            <w:pPr>
              <w:spacing w:after="160" w:line="259" w:lineRule="auto"/>
              <w:ind w:left="426" w:hanging="681"/>
              <w:jc w:val="center"/>
              <w:rPr>
                <w:rFonts w:ascii="Times New Roman" w:hAnsi="Times New Roman"/>
                <w:b/>
                <w:bCs/>
              </w:rPr>
            </w:pPr>
            <w:r w:rsidRPr="00C513E4">
              <w:rPr>
                <w:rFonts w:ascii="Times New Roman" w:hAnsi="Times New Roman"/>
                <w:b/>
                <w:bCs/>
              </w:rPr>
              <w:t>1.</w:t>
            </w:r>
          </w:p>
        </w:tc>
        <w:tc>
          <w:tcPr>
            <w:tcW w:w="3544" w:type="dxa"/>
            <w:shd w:val="clear" w:color="auto" w:fill="BDD6EE" w:themeFill="accent1" w:themeFillTint="66"/>
            <w:noWrap/>
            <w:hideMark/>
          </w:tcPr>
          <w:p w:rsidR="00C513E4" w:rsidRPr="00C513E4" w:rsidRDefault="00C513E4" w:rsidP="00C513E4">
            <w:pPr>
              <w:spacing w:after="160" w:line="259" w:lineRule="auto"/>
              <w:rPr>
                <w:rFonts w:ascii="Times New Roman" w:hAnsi="Times New Roman"/>
                <w:b/>
                <w:bCs/>
              </w:rPr>
            </w:pPr>
            <w:r w:rsidRPr="00C513E4">
              <w:rPr>
                <w:rFonts w:ascii="Times New Roman" w:hAnsi="Times New Roman"/>
                <w:b/>
                <w:bCs/>
              </w:rPr>
              <w:t>MOKESČIAI (2+3+4)</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5369,60</w:t>
            </w:r>
          </w:p>
        </w:tc>
        <w:tc>
          <w:tcPr>
            <w:tcW w:w="1418"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51,10</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5974,00</w:t>
            </w:r>
          </w:p>
        </w:tc>
        <w:tc>
          <w:tcPr>
            <w:tcW w:w="1418"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57,41</w:t>
            </w:r>
          </w:p>
        </w:tc>
      </w:tr>
      <w:tr w:rsidR="00C513E4" w:rsidRPr="00C513E4" w:rsidTr="009139FB">
        <w:trPr>
          <w:trHeight w:val="450"/>
        </w:trPr>
        <w:tc>
          <w:tcPr>
            <w:tcW w:w="562" w:type="dxa"/>
            <w:shd w:val="clear" w:color="auto" w:fill="DEEAF6" w:themeFill="accent1" w:themeFillTint="33"/>
            <w:noWrap/>
            <w:hideMark/>
          </w:tcPr>
          <w:p w:rsidR="00C513E4" w:rsidRPr="00C513E4" w:rsidRDefault="00C513E4" w:rsidP="00C513E4">
            <w:pPr>
              <w:spacing w:after="160" w:line="259" w:lineRule="auto"/>
              <w:ind w:left="426" w:hanging="681"/>
              <w:jc w:val="center"/>
              <w:rPr>
                <w:rFonts w:ascii="Times New Roman" w:hAnsi="Times New Roman"/>
                <w:bCs/>
              </w:rPr>
            </w:pPr>
            <w:r w:rsidRPr="00C513E4">
              <w:rPr>
                <w:rFonts w:ascii="Times New Roman" w:hAnsi="Times New Roman"/>
                <w:bCs/>
              </w:rPr>
              <w:t xml:space="preserve"> 2.</w:t>
            </w:r>
          </w:p>
        </w:tc>
        <w:tc>
          <w:tcPr>
            <w:tcW w:w="3544" w:type="dxa"/>
            <w:shd w:val="clear" w:color="auto" w:fill="DEEAF6" w:themeFill="accent1" w:themeFillTint="33"/>
            <w:hideMark/>
          </w:tcPr>
          <w:p w:rsidR="00C513E4" w:rsidRPr="00C513E4" w:rsidRDefault="00C513E4" w:rsidP="00C513E4">
            <w:pPr>
              <w:spacing w:after="160" w:line="259" w:lineRule="auto"/>
              <w:ind w:left="-50"/>
              <w:rPr>
                <w:rFonts w:ascii="Times New Roman" w:hAnsi="Times New Roman"/>
                <w:bCs/>
              </w:rPr>
            </w:pPr>
            <w:r w:rsidRPr="00C513E4">
              <w:rPr>
                <w:rFonts w:ascii="Times New Roman" w:hAnsi="Times New Roman"/>
                <w:bCs/>
              </w:rPr>
              <w:t xml:space="preserve"> Gyventojų pajamų mokestis               </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4921,60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46,83</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5647,00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54,27</w:t>
            </w:r>
          </w:p>
        </w:tc>
      </w:tr>
      <w:tr w:rsidR="00C513E4" w:rsidRPr="00C513E4" w:rsidTr="009139FB">
        <w:trPr>
          <w:trHeight w:val="345"/>
        </w:trPr>
        <w:tc>
          <w:tcPr>
            <w:tcW w:w="562" w:type="dxa"/>
            <w:shd w:val="clear" w:color="auto" w:fill="DEEAF6" w:themeFill="accent1" w:themeFillTint="33"/>
            <w:noWrap/>
            <w:hideMark/>
          </w:tcPr>
          <w:p w:rsidR="00C513E4" w:rsidRPr="00C513E4" w:rsidRDefault="00C513E4" w:rsidP="00C513E4">
            <w:pPr>
              <w:spacing w:after="160" w:line="259" w:lineRule="auto"/>
              <w:ind w:left="-113"/>
              <w:rPr>
                <w:rFonts w:ascii="Times New Roman" w:hAnsi="Times New Roman"/>
                <w:bCs/>
              </w:rPr>
            </w:pPr>
            <w:r w:rsidRPr="00C513E4">
              <w:rPr>
                <w:rFonts w:ascii="Times New Roman" w:hAnsi="Times New Roman"/>
                <w:bCs/>
              </w:rPr>
              <w:t xml:space="preserve">  3.</w:t>
            </w:r>
          </w:p>
        </w:tc>
        <w:tc>
          <w:tcPr>
            <w:tcW w:w="3544" w:type="dxa"/>
            <w:shd w:val="clear" w:color="auto" w:fill="DEEAF6" w:themeFill="accent1" w:themeFillTint="33"/>
            <w:hideMark/>
          </w:tcPr>
          <w:p w:rsidR="00C513E4" w:rsidRPr="00C513E4" w:rsidRDefault="00C513E4" w:rsidP="00C513E4">
            <w:pPr>
              <w:spacing w:after="160" w:line="259" w:lineRule="auto"/>
              <w:ind w:left="-1950"/>
              <w:jc w:val="center"/>
              <w:rPr>
                <w:rFonts w:ascii="Times New Roman" w:hAnsi="Times New Roman"/>
                <w:bCs/>
              </w:rPr>
            </w:pPr>
            <w:r w:rsidRPr="00C513E4">
              <w:rPr>
                <w:rFonts w:ascii="Times New Roman" w:hAnsi="Times New Roman"/>
                <w:bCs/>
              </w:rPr>
              <w:t xml:space="preserve">Turto mokesčiai </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369,30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3,52</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253,00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2,43</w:t>
            </w:r>
          </w:p>
        </w:tc>
      </w:tr>
      <w:tr w:rsidR="00C513E4" w:rsidRPr="00C513E4" w:rsidTr="009139FB">
        <w:trPr>
          <w:trHeight w:val="315"/>
        </w:trPr>
        <w:tc>
          <w:tcPr>
            <w:tcW w:w="562" w:type="dxa"/>
            <w:shd w:val="clear" w:color="auto" w:fill="DEEAF6" w:themeFill="accent1" w:themeFillTint="33"/>
            <w:noWrap/>
            <w:hideMark/>
          </w:tcPr>
          <w:p w:rsidR="00C513E4" w:rsidRPr="00C513E4" w:rsidRDefault="00C513E4" w:rsidP="00C513E4">
            <w:pPr>
              <w:spacing w:after="160" w:line="259" w:lineRule="auto"/>
              <w:ind w:left="-113"/>
              <w:rPr>
                <w:rFonts w:ascii="Times New Roman" w:hAnsi="Times New Roman"/>
                <w:bCs/>
              </w:rPr>
            </w:pPr>
            <w:r>
              <w:rPr>
                <w:rFonts w:ascii="Times New Roman" w:hAnsi="Times New Roman"/>
                <w:bCs/>
              </w:rPr>
              <w:t xml:space="preserve">  </w:t>
            </w:r>
            <w:r w:rsidRPr="00C513E4">
              <w:rPr>
                <w:rFonts w:ascii="Times New Roman" w:hAnsi="Times New Roman"/>
                <w:bCs/>
              </w:rPr>
              <w:t>4.</w:t>
            </w:r>
          </w:p>
        </w:tc>
        <w:tc>
          <w:tcPr>
            <w:tcW w:w="3544" w:type="dxa"/>
            <w:shd w:val="clear" w:color="auto" w:fill="DEEAF6" w:themeFill="accent1" w:themeFillTint="33"/>
            <w:hideMark/>
          </w:tcPr>
          <w:p w:rsidR="00C513E4" w:rsidRPr="00C513E4" w:rsidRDefault="00C513E4" w:rsidP="00C513E4">
            <w:pPr>
              <w:spacing w:after="160" w:line="259" w:lineRule="auto"/>
              <w:ind w:left="-675"/>
              <w:jc w:val="center"/>
              <w:rPr>
                <w:rFonts w:ascii="Times New Roman" w:hAnsi="Times New Roman"/>
                <w:bCs/>
              </w:rPr>
            </w:pPr>
            <w:r w:rsidRPr="00C513E4">
              <w:rPr>
                <w:rFonts w:ascii="Times New Roman" w:hAnsi="Times New Roman"/>
                <w:bCs/>
              </w:rPr>
              <w:t xml:space="preserve">Prekių ir paslaugų mokesčiai </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78,70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0,75</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74,00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0,71</w:t>
            </w:r>
          </w:p>
        </w:tc>
      </w:tr>
      <w:tr w:rsidR="00C513E4" w:rsidRPr="00C513E4" w:rsidTr="009139FB">
        <w:trPr>
          <w:trHeight w:val="435"/>
        </w:trPr>
        <w:tc>
          <w:tcPr>
            <w:tcW w:w="562" w:type="dxa"/>
            <w:shd w:val="clear" w:color="auto" w:fill="BDD6EE" w:themeFill="accent1" w:themeFillTint="66"/>
            <w:noWrap/>
            <w:hideMark/>
          </w:tcPr>
          <w:p w:rsidR="00C513E4" w:rsidRPr="00C513E4" w:rsidRDefault="00C513E4" w:rsidP="00C513E4">
            <w:pPr>
              <w:spacing w:after="160" w:line="259" w:lineRule="auto"/>
              <w:ind w:left="-113"/>
              <w:jc w:val="center"/>
              <w:rPr>
                <w:rFonts w:ascii="Times New Roman" w:hAnsi="Times New Roman"/>
                <w:b/>
                <w:bCs/>
              </w:rPr>
            </w:pPr>
            <w:r w:rsidRPr="00C513E4">
              <w:rPr>
                <w:rFonts w:ascii="Times New Roman" w:hAnsi="Times New Roman"/>
                <w:b/>
                <w:bCs/>
              </w:rPr>
              <w:t>5.</w:t>
            </w:r>
          </w:p>
        </w:tc>
        <w:tc>
          <w:tcPr>
            <w:tcW w:w="3544" w:type="dxa"/>
            <w:shd w:val="clear" w:color="auto" w:fill="BDD6EE" w:themeFill="accent1" w:themeFillTint="66"/>
            <w:noWrap/>
            <w:hideMark/>
          </w:tcPr>
          <w:p w:rsidR="00C513E4" w:rsidRPr="00C513E4" w:rsidRDefault="00C513E4" w:rsidP="00C513E4">
            <w:pPr>
              <w:spacing w:after="160" w:line="259" w:lineRule="auto"/>
              <w:rPr>
                <w:rFonts w:ascii="Times New Roman" w:hAnsi="Times New Roman"/>
                <w:b/>
                <w:bCs/>
              </w:rPr>
            </w:pPr>
            <w:r w:rsidRPr="00C513E4">
              <w:rPr>
                <w:rFonts w:ascii="Times New Roman" w:hAnsi="Times New Roman"/>
                <w:b/>
                <w:bCs/>
              </w:rPr>
              <w:t>KITOS PAJAMOS (6+7+8+9)</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281,60</w:t>
            </w:r>
          </w:p>
        </w:tc>
        <w:tc>
          <w:tcPr>
            <w:tcW w:w="1418" w:type="dxa"/>
            <w:shd w:val="clear" w:color="auto" w:fill="BDD6EE" w:themeFill="accent1" w:themeFillTint="66"/>
            <w:noWrap/>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2,68</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250,00</w:t>
            </w:r>
          </w:p>
        </w:tc>
        <w:tc>
          <w:tcPr>
            <w:tcW w:w="1418" w:type="dxa"/>
            <w:shd w:val="clear" w:color="auto" w:fill="BDD6EE" w:themeFill="accent1" w:themeFillTint="66"/>
            <w:noWrap/>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2,40</w:t>
            </w:r>
          </w:p>
        </w:tc>
      </w:tr>
      <w:tr w:rsidR="00C513E4" w:rsidRPr="00C513E4" w:rsidTr="009139FB">
        <w:trPr>
          <w:trHeight w:val="330"/>
        </w:trPr>
        <w:tc>
          <w:tcPr>
            <w:tcW w:w="562" w:type="dxa"/>
            <w:shd w:val="clear" w:color="auto" w:fill="DEEAF6" w:themeFill="accent1" w:themeFillTint="33"/>
            <w:noWrap/>
            <w:hideMark/>
          </w:tcPr>
          <w:p w:rsidR="00C513E4" w:rsidRPr="00C513E4" w:rsidRDefault="00C513E4" w:rsidP="00C513E4">
            <w:pPr>
              <w:spacing w:after="160" w:line="259" w:lineRule="auto"/>
              <w:ind w:left="-113"/>
              <w:jc w:val="center"/>
              <w:rPr>
                <w:rFonts w:ascii="Times New Roman" w:hAnsi="Times New Roman"/>
                <w:bCs/>
              </w:rPr>
            </w:pPr>
            <w:r w:rsidRPr="00C513E4">
              <w:rPr>
                <w:rFonts w:ascii="Times New Roman" w:hAnsi="Times New Roman"/>
                <w:bCs/>
              </w:rPr>
              <w:t>6.</w:t>
            </w:r>
          </w:p>
        </w:tc>
        <w:tc>
          <w:tcPr>
            <w:tcW w:w="3544" w:type="dxa"/>
            <w:shd w:val="clear" w:color="auto" w:fill="DEEAF6" w:themeFill="accent1" w:themeFillTint="33"/>
            <w:hideMark/>
          </w:tcPr>
          <w:p w:rsidR="00C513E4" w:rsidRPr="00C513E4" w:rsidRDefault="00C513E4" w:rsidP="00C513E4">
            <w:pPr>
              <w:spacing w:after="160" w:line="259" w:lineRule="auto"/>
              <w:rPr>
                <w:rFonts w:ascii="Times New Roman" w:hAnsi="Times New Roman"/>
                <w:bCs/>
              </w:rPr>
            </w:pPr>
            <w:r w:rsidRPr="00C513E4">
              <w:rPr>
                <w:rFonts w:ascii="Times New Roman" w:hAnsi="Times New Roman"/>
                <w:bCs/>
              </w:rPr>
              <w:t xml:space="preserve">Turto pajamos </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87,40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0,83</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83,00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0,80</w:t>
            </w:r>
          </w:p>
        </w:tc>
      </w:tr>
      <w:tr w:rsidR="00C513E4" w:rsidRPr="00C513E4" w:rsidTr="009139FB">
        <w:trPr>
          <w:trHeight w:val="300"/>
        </w:trPr>
        <w:tc>
          <w:tcPr>
            <w:tcW w:w="562" w:type="dxa"/>
            <w:shd w:val="clear" w:color="auto" w:fill="DEEAF6" w:themeFill="accent1" w:themeFillTint="33"/>
            <w:noWrap/>
            <w:hideMark/>
          </w:tcPr>
          <w:p w:rsidR="00C513E4" w:rsidRPr="00C513E4" w:rsidRDefault="00C513E4" w:rsidP="00C513E4">
            <w:pPr>
              <w:spacing w:after="160" w:line="259" w:lineRule="auto"/>
              <w:ind w:left="-113"/>
              <w:jc w:val="center"/>
              <w:rPr>
                <w:rFonts w:ascii="Times New Roman" w:hAnsi="Times New Roman"/>
                <w:bCs/>
              </w:rPr>
            </w:pPr>
            <w:r w:rsidRPr="00C513E4">
              <w:rPr>
                <w:rFonts w:ascii="Times New Roman" w:hAnsi="Times New Roman"/>
                <w:bCs/>
              </w:rPr>
              <w:t>7.</w:t>
            </w:r>
          </w:p>
        </w:tc>
        <w:tc>
          <w:tcPr>
            <w:tcW w:w="3544" w:type="dxa"/>
            <w:shd w:val="clear" w:color="auto" w:fill="DEEAF6" w:themeFill="accent1" w:themeFillTint="33"/>
            <w:hideMark/>
          </w:tcPr>
          <w:p w:rsidR="00C513E4" w:rsidRPr="00C513E4" w:rsidRDefault="00C513E4" w:rsidP="00C513E4">
            <w:pPr>
              <w:spacing w:after="160" w:line="259" w:lineRule="auto"/>
              <w:rPr>
                <w:rFonts w:ascii="Times New Roman" w:hAnsi="Times New Roman"/>
                <w:bCs/>
              </w:rPr>
            </w:pPr>
            <w:r w:rsidRPr="00C513E4">
              <w:rPr>
                <w:rFonts w:ascii="Times New Roman" w:hAnsi="Times New Roman"/>
                <w:bCs/>
              </w:rPr>
              <w:t xml:space="preserve">Pajamos už prekes ir paslaugas </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178,20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1,70</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166,00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1,59</w:t>
            </w:r>
          </w:p>
        </w:tc>
      </w:tr>
      <w:tr w:rsidR="00C513E4" w:rsidRPr="00C513E4" w:rsidTr="009139FB">
        <w:trPr>
          <w:trHeight w:val="330"/>
        </w:trPr>
        <w:tc>
          <w:tcPr>
            <w:tcW w:w="562" w:type="dxa"/>
            <w:shd w:val="clear" w:color="auto" w:fill="DEEAF6" w:themeFill="accent1" w:themeFillTint="33"/>
            <w:noWrap/>
            <w:hideMark/>
          </w:tcPr>
          <w:p w:rsidR="00C513E4" w:rsidRPr="00C513E4" w:rsidRDefault="00C513E4" w:rsidP="00C513E4">
            <w:pPr>
              <w:spacing w:after="160" w:line="259" w:lineRule="auto"/>
              <w:ind w:left="-113"/>
              <w:jc w:val="center"/>
              <w:rPr>
                <w:rFonts w:ascii="Times New Roman" w:hAnsi="Times New Roman"/>
                <w:bCs/>
              </w:rPr>
            </w:pPr>
            <w:r w:rsidRPr="00C513E4">
              <w:rPr>
                <w:rFonts w:ascii="Times New Roman" w:hAnsi="Times New Roman"/>
                <w:bCs/>
              </w:rPr>
              <w:t>8.</w:t>
            </w:r>
          </w:p>
        </w:tc>
        <w:tc>
          <w:tcPr>
            <w:tcW w:w="3544" w:type="dxa"/>
            <w:shd w:val="clear" w:color="auto" w:fill="DEEAF6" w:themeFill="accent1" w:themeFillTint="33"/>
            <w:hideMark/>
          </w:tcPr>
          <w:p w:rsidR="00C513E4" w:rsidRPr="00C513E4" w:rsidRDefault="00C513E4" w:rsidP="00C513E4">
            <w:pPr>
              <w:spacing w:after="160" w:line="259" w:lineRule="auto"/>
              <w:rPr>
                <w:rFonts w:ascii="Times New Roman" w:hAnsi="Times New Roman"/>
                <w:bCs/>
              </w:rPr>
            </w:pPr>
            <w:r w:rsidRPr="00C513E4">
              <w:rPr>
                <w:rFonts w:ascii="Times New Roman" w:hAnsi="Times New Roman"/>
                <w:bCs/>
              </w:rPr>
              <w:t xml:space="preserve">Pajamos iš baudų ir konfiskacijos </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8,70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0,08</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 </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 </w:t>
            </w:r>
          </w:p>
        </w:tc>
      </w:tr>
      <w:tr w:rsidR="00C513E4" w:rsidRPr="00C513E4" w:rsidTr="009139FB">
        <w:trPr>
          <w:trHeight w:val="300"/>
        </w:trPr>
        <w:tc>
          <w:tcPr>
            <w:tcW w:w="562" w:type="dxa"/>
            <w:shd w:val="clear" w:color="auto" w:fill="DEEAF6" w:themeFill="accent1" w:themeFillTint="33"/>
            <w:noWrap/>
            <w:hideMark/>
          </w:tcPr>
          <w:p w:rsidR="00C513E4" w:rsidRPr="00C513E4" w:rsidRDefault="00C513E4" w:rsidP="00C513E4">
            <w:pPr>
              <w:spacing w:after="160" w:line="259" w:lineRule="auto"/>
              <w:ind w:left="-113"/>
              <w:jc w:val="center"/>
              <w:rPr>
                <w:rFonts w:ascii="Times New Roman" w:hAnsi="Times New Roman"/>
                <w:bCs/>
              </w:rPr>
            </w:pPr>
            <w:r w:rsidRPr="00C513E4">
              <w:rPr>
                <w:rFonts w:ascii="Times New Roman" w:hAnsi="Times New Roman"/>
                <w:bCs/>
              </w:rPr>
              <w:t>9.</w:t>
            </w:r>
          </w:p>
        </w:tc>
        <w:tc>
          <w:tcPr>
            <w:tcW w:w="3544" w:type="dxa"/>
            <w:shd w:val="clear" w:color="auto" w:fill="DEEAF6" w:themeFill="accent1" w:themeFillTint="33"/>
            <w:noWrap/>
            <w:hideMark/>
          </w:tcPr>
          <w:p w:rsidR="00C513E4" w:rsidRPr="00C513E4" w:rsidRDefault="00C513E4" w:rsidP="00C513E4">
            <w:pPr>
              <w:spacing w:after="160" w:line="259" w:lineRule="auto"/>
              <w:rPr>
                <w:rFonts w:ascii="Times New Roman" w:hAnsi="Times New Roman"/>
                <w:bCs/>
              </w:rPr>
            </w:pPr>
            <w:r w:rsidRPr="00C513E4">
              <w:rPr>
                <w:rFonts w:ascii="Times New Roman" w:hAnsi="Times New Roman"/>
                <w:bCs/>
              </w:rPr>
              <w:t>Kitos neišvardytos pajamos</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7,30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0,07</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1,00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0,01</w:t>
            </w:r>
          </w:p>
        </w:tc>
      </w:tr>
      <w:tr w:rsidR="00C513E4" w:rsidRPr="00C513E4" w:rsidTr="009139FB">
        <w:trPr>
          <w:trHeight w:val="675"/>
        </w:trPr>
        <w:tc>
          <w:tcPr>
            <w:tcW w:w="562" w:type="dxa"/>
            <w:shd w:val="clear" w:color="auto" w:fill="BDD6EE" w:themeFill="accent1" w:themeFillTint="66"/>
            <w:noWrap/>
            <w:hideMark/>
          </w:tcPr>
          <w:p w:rsidR="00C513E4" w:rsidRPr="00C513E4" w:rsidRDefault="00C513E4" w:rsidP="00C513E4">
            <w:pPr>
              <w:spacing w:after="160" w:line="259" w:lineRule="auto"/>
              <w:ind w:left="-113"/>
              <w:jc w:val="center"/>
              <w:rPr>
                <w:rFonts w:ascii="Times New Roman" w:hAnsi="Times New Roman"/>
                <w:b/>
                <w:bCs/>
              </w:rPr>
            </w:pPr>
            <w:r w:rsidRPr="00C513E4">
              <w:rPr>
                <w:rFonts w:ascii="Times New Roman" w:hAnsi="Times New Roman"/>
                <w:b/>
                <w:bCs/>
              </w:rPr>
              <w:lastRenderedPageBreak/>
              <w:t>10.</w:t>
            </w:r>
          </w:p>
        </w:tc>
        <w:tc>
          <w:tcPr>
            <w:tcW w:w="3544" w:type="dxa"/>
            <w:shd w:val="clear" w:color="auto" w:fill="BDD6EE" w:themeFill="accent1" w:themeFillTint="66"/>
            <w:hideMark/>
          </w:tcPr>
          <w:p w:rsidR="00C513E4" w:rsidRPr="00C513E4" w:rsidRDefault="00C513E4" w:rsidP="00C513E4">
            <w:pPr>
              <w:spacing w:after="160" w:line="259" w:lineRule="auto"/>
              <w:rPr>
                <w:rFonts w:ascii="Times New Roman" w:hAnsi="Times New Roman"/>
                <w:b/>
                <w:bCs/>
              </w:rPr>
            </w:pPr>
            <w:r w:rsidRPr="00C513E4">
              <w:rPr>
                <w:rFonts w:ascii="Times New Roman" w:hAnsi="Times New Roman"/>
                <w:b/>
                <w:bCs/>
              </w:rPr>
              <w:t>MATERIALIOJO IR NEMATERIALIOJO TURTO REALIZAVIMO PAJAMOS (11+12+13)</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8,70</w:t>
            </w:r>
          </w:p>
        </w:tc>
        <w:tc>
          <w:tcPr>
            <w:tcW w:w="1418" w:type="dxa"/>
            <w:shd w:val="clear" w:color="auto" w:fill="BDD6EE" w:themeFill="accent1" w:themeFillTint="66"/>
            <w:noWrap/>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0,08</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8,00</w:t>
            </w:r>
          </w:p>
        </w:tc>
        <w:tc>
          <w:tcPr>
            <w:tcW w:w="1418" w:type="dxa"/>
            <w:shd w:val="clear" w:color="auto" w:fill="BDD6EE" w:themeFill="accent1" w:themeFillTint="66"/>
            <w:noWrap/>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0,08</w:t>
            </w:r>
          </w:p>
        </w:tc>
      </w:tr>
      <w:tr w:rsidR="00C513E4" w:rsidRPr="00C513E4" w:rsidTr="009139FB">
        <w:trPr>
          <w:trHeight w:val="480"/>
        </w:trPr>
        <w:tc>
          <w:tcPr>
            <w:tcW w:w="562" w:type="dxa"/>
            <w:shd w:val="clear" w:color="auto" w:fill="DEEAF6" w:themeFill="accent1" w:themeFillTint="33"/>
            <w:noWrap/>
            <w:hideMark/>
          </w:tcPr>
          <w:p w:rsidR="00C513E4" w:rsidRPr="00C513E4" w:rsidRDefault="00C513E4" w:rsidP="00C513E4">
            <w:pPr>
              <w:spacing w:after="160" w:line="259" w:lineRule="auto"/>
              <w:ind w:left="-113"/>
              <w:jc w:val="center"/>
              <w:rPr>
                <w:rFonts w:ascii="Times New Roman" w:hAnsi="Times New Roman"/>
                <w:bCs/>
              </w:rPr>
            </w:pPr>
            <w:r w:rsidRPr="00C513E4">
              <w:rPr>
                <w:rFonts w:ascii="Times New Roman" w:hAnsi="Times New Roman"/>
                <w:bCs/>
              </w:rPr>
              <w:t>11.</w:t>
            </w:r>
          </w:p>
        </w:tc>
        <w:tc>
          <w:tcPr>
            <w:tcW w:w="3544" w:type="dxa"/>
            <w:shd w:val="clear" w:color="auto" w:fill="DEEAF6" w:themeFill="accent1" w:themeFillTint="33"/>
            <w:hideMark/>
          </w:tcPr>
          <w:p w:rsidR="00C513E4" w:rsidRPr="00C513E4" w:rsidRDefault="00C513E4" w:rsidP="00C513E4">
            <w:pPr>
              <w:spacing w:after="160" w:line="259" w:lineRule="auto"/>
              <w:rPr>
                <w:rFonts w:ascii="Times New Roman" w:hAnsi="Times New Roman"/>
                <w:bCs/>
              </w:rPr>
            </w:pPr>
            <w:r w:rsidRPr="00C513E4">
              <w:rPr>
                <w:rFonts w:ascii="Times New Roman" w:hAnsi="Times New Roman"/>
                <w:bCs/>
              </w:rPr>
              <w:t>Žemė (valstybinės žemės pardavimas)</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3,60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0,03</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0,40</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0,01</w:t>
            </w:r>
          </w:p>
        </w:tc>
      </w:tr>
      <w:tr w:rsidR="00C513E4" w:rsidRPr="00C513E4" w:rsidTr="009139FB">
        <w:trPr>
          <w:trHeight w:val="255"/>
        </w:trPr>
        <w:tc>
          <w:tcPr>
            <w:tcW w:w="562" w:type="dxa"/>
            <w:vMerge w:val="restart"/>
            <w:shd w:val="clear" w:color="auto" w:fill="DEEAF6" w:themeFill="accent1" w:themeFillTint="33"/>
            <w:noWrap/>
            <w:hideMark/>
          </w:tcPr>
          <w:p w:rsidR="00C513E4" w:rsidRPr="00C513E4" w:rsidRDefault="00C513E4" w:rsidP="00C513E4">
            <w:pPr>
              <w:spacing w:after="160" w:line="259" w:lineRule="auto"/>
              <w:ind w:left="-113"/>
              <w:jc w:val="center"/>
              <w:rPr>
                <w:rFonts w:ascii="Times New Roman" w:hAnsi="Times New Roman"/>
                <w:bCs/>
              </w:rPr>
            </w:pPr>
            <w:r w:rsidRPr="00C513E4">
              <w:rPr>
                <w:rFonts w:ascii="Times New Roman" w:hAnsi="Times New Roman"/>
                <w:bCs/>
              </w:rPr>
              <w:t>12.</w:t>
            </w:r>
          </w:p>
        </w:tc>
        <w:tc>
          <w:tcPr>
            <w:tcW w:w="3544" w:type="dxa"/>
            <w:shd w:val="clear" w:color="auto" w:fill="DEEAF6" w:themeFill="accent1" w:themeFillTint="33"/>
            <w:hideMark/>
          </w:tcPr>
          <w:p w:rsidR="00C513E4" w:rsidRPr="00C513E4" w:rsidRDefault="00C513E4" w:rsidP="00C513E4">
            <w:pPr>
              <w:spacing w:after="160" w:line="259" w:lineRule="auto"/>
              <w:rPr>
                <w:rFonts w:ascii="Times New Roman" w:hAnsi="Times New Roman"/>
                <w:bCs/>
              </w:rPr>
            </w:pPr>
            <w:r w:rsidRPr="00C513E4">
              <w:rPr>
                <w:rFonts w:ascii="Times New Roman" w:hAnsi="Times New Roman"/>
                <w:bCs/>
              </w:rPr>
              <w:t>Pastatų ir statinių realizavimo pajamos</w:t>
            </w:r>
          </w:p>
        </w:tc>
        <w:tc>
          <w:tcPr>
            <w:tcW w:w="1559" w:type="dxa"/>
            <w:vMerge w:val="restart"/>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5,10</w:t>
            </w:r>
          </w:p>
        </w:tc>
        <w:tc>
          <w:tcPr>
            <w:tcW w:w="1418" w:type="dxa"/>
            <w:vMerge w:val="restart"/>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0,05</w:t>
            </w:r>
          </w:p>
        </w:tc>
        <w:tc>
          <w:tcPr>
            <w:tcW w:w="1559" w:type="dxa"/>
            <w:vMerge w:val="restart"/>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7,60</w:t>
            </w:r>
          </w:p>
        </w:tc>
        <w:tc>
          <w:tcPr>
            <w:tcW w:w="1418" w:type="dxa"/>
            <w:vMerge w:val="restart"/>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0,07</w:t>
            </w:r>
          </w:p>
        </w:tc>
      </w:tr>
      <w:tr w:rsidR="00C513E4" w:rsidRPr="00C513E4" w:rsidTr="009139FB">
        <w:trPr>
          <w:trHeight w:val="240"/>
        </w:trPr>
        <w:tc>
          <w:tcPr>
            <w:tcW w:w="562" w:type="dxa"/>
            <w:vMerge/>
            <w:shd w:val="clear" w:color="auto" w:fill="DEEAF6" w:themeFill="accent1" w:themeFillTint="33"/>
            <w:hideMark/>
          </w:tcPr>
          <w:p w:rsidR="00C513E4" w:rsidRPr="00C513E4" w:rsidRDefault="00C513E4" w:rsidP="00C513E4">
            <w:pPr>
              <w:spacing w:after="160" w:line="259" w:lineRule="auto"/>
              <w:ind w:left="426"/>
              <w:jc w:val="center"/>
              <w:rPr>
                <w:rFonts w:ascii="Times New Roman" w:hAnsi="Times New Roman"/>
                <w:bCs/>
              </w:rPr>
            </w:pPr>
          </w:p>
        </w:tc>
        <w:tc>
          <w:tcPr>
            <w:tcW w:w="3544" w:type="dxa"/>
            <w:shd w:val="clear" w:color="auto" w:fill="DEEAF6" w:themeFill="accent1" w:themeFillTint="33"/>
            <w:hideMark/>
          </w:tcPr>
          <w:p w:rsidR="00C513E4" w:rsidRPr="00C513E4" w:rsidRDefault="00C513E4" w:rsidP="00C513E4">
            <w:pPr>
              <w:spacing w:after="160" w:line="259" w:lineRule="auto"/>
              <w:rPr>
                <w:rFonts w:ascii="Times New Roman" w:hAnsi="Times New Roman"/>
                <w:bCs/>
              </w:rPr>
            </w:pPr>
            <w:r w:rsidRPr="00C513E4">
              <w:rPr>
                <w:rFonts w:ascii="Times New Roman" w:hAnsi="Times New Roman"/>
                <w:bCs/>
              </w:rPr>
              <w:t>(už privatizuojamas Savivaldybės gyventojų gyvenamas patalpas)</w:t>
            </w:r>
          </w:p>
        </w:tc>
        <w:tc>
          <w:tcPr>
            <w:tcW w:w="1559" w:type="dxa"/>
            <w:vMerge/>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p>
        </w:tc>
        <w:tc>
          <w:tcPr>
            <w:tcW w:w="1418" w:type="dxa"/>
            <w:vMerge/>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p>
        </w:tc>
        <w:tc>
          <w:tcPr>
            <w:tcW w:w="1559" w:type="dxa"/>
            <w:vMerge/>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p>
        </w:tc>
        <w:tc>
          <w:tcPr>
            <w:tcW w:w="1418" w:type="dxa"/>
            <w:vMerge/>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p>
        </w:tc>
      </w:tr>
      <w:tr w:rsidR="00C513E4" w:rsidRPr="00C513E4" w:rsidTr="009139FB">
        <w:trPr>
          <w:trHeight w:val="675"/>
        </w:trPr>
        <w:tc>
          <w:tcPr>
            <w:tcW w:w="562" w:type="dxa"/>
            <w:shd w:val="clear" w:color="auto" w:fill="DEEAF6" w:themeFill="accent1" w:themeFillTint="33"/>
            <w:noWrap/>
            <w:hideMark/>
          </w:tcPr>
          <w:p w:rsidR="00C513E4" w:rsidRPr="00C513E4" w:rsidRDefault="00C513E4" w:rsidP="00C513E4">
            <w:pPr>
              <w:spacing w:after="160" w:line="259" w:lineRule="auto"/>
              <w:ind w:left="-113"/>
              <w:jc w:val="center"/>
              <w:rPr>
                <w:rFonts w:ascii="Times New Roman" w:hAnsi="Times New Roman"/>
                <w:bCs/>
              </w:rPr>
            </w:pPr>
            <w:r w:rsidRPr="00C513E4">
              <w:rPr>
                <w:rFonts w:ascii="Times New Roman" w:hAnsi="Times New Roman"/>
                <w:bCs/>
              </w:rPr>
              <w:t>13.</w:t>
            </w:r>
          </w:p>
        </w:tc>
        <w:tc>
          <w:tcPr>
            <w:tcW w:w="3544" w:type="dxa"/>
            <w:shd w:val="clear" w:color="auto" w:fill="DEEAF6" w:themeFill="accent1" w:themeFillTint="33"/>
            <w:hideMark/>
          </w:tcPr>
          <w:p w:rsidR="00C513E4" w:rsidRPr="00C513E4" w:rsidRDefault="00C513E4" w:rsidP="00C513E4">
            <w:pPr>
              <w:spacing w:after="160" w:line="259" w:lineRule="auto"/>
              <w:rPr>
                <w:rFonts w:ascii="Times New Roman" w:hAnsi="Times New Roman"/>
                <w:bCs/>
              </w:rPr>
            </w:pPr>
            <w:r w:rsidRPr="00C513E4">
              <w:rPr>
                <w:rFonts w:ascii="Times New Roman" w:hAnsi="Times New Roman"/>
                <w:bCs/>
              </w:rPr>
              <w:t>Kito ilgalaikio materialiojo turto realizavimo pajamos (už privatizuojamą Savivaldybės turtą)</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 </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 </w:t>
            </w:r>
          </w:p>
        </w:tc>
        <w:tc>
          <w:tcPr>
            <w:tcW w:w="1559" w:type="dxa"/>
            <w:shd w:val="clear" w:color="auto" w:fill="DEEAF6" w:themeFill="accent1" w:themeFillTint="33"/>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 </w:t>
            </w:r>
          </w:p>
        </w:tc>
        <w:tc>
          <w:tcPr>
            <w:tcW w:w="1418" w:type="dxa"/>
            <w:shd w:val="clear" w:color="auto" w:fill="DEEAF6" w:themeFill="accent1" w:themeFillTint="33"/>
            <w:noWrap/>
            <w:hideMark/>
          </w:tcPr>
          <w:p w:rsidR="00C513E4" w:rsidRPr="00C513E4" w:rsidRDefault="00C513E4" w:rsidP="00111156">
            <w:pPr>
              <w:spacing w:after="160" w:line="259" w:lineRule="auto"/>
              <w:ind w:left="34"/>
              <w:jc w:val="center"/>
              <w:rPr>
                <w:rFonts w:ascii="Times New Roman" w:hAnsi="Times New Roman"/>
                <w:bCs/>
              </w:rPr>
            </w:pPr>
            <w:r w:rsidRPr="00C513E4">
              <w:rPr>
                <w:rFonts w:ascii="Times New Roman" w:hAnsi="Times New Roman"/>
                <w:bCs/>
              </w:rPr>
              <w:t> </w:t>
            </w:r>
          </w:p>
        </w:tc>
      </w:tr>
      <w:tr w:rsidR="00C513E4" w:rsidRPr="00C513E4" w:rsidTr="009139FB">
        <w:trPr>
          <w:trHeight w:val="465"/>
        </w:trPr>
        <w:tc>
          <w:tcPr>
            <w:tcW w:w="562" w:type="dxa"/>
            <w:shd w:val="clear" w:color="auto" w:fill="BDD6EE" w:themeFill="accent1" w:themeFillTint="66"/>
            <w:noWrap/>
            <w:hideMark/>
          </w:tcPr>
          <w:p w:rsidR="00C513E4" w:rsidRPr="00C513E4" w:rsidRDefault="00C513E4" w:rsidP="00C513E4">
            <w:pPr>
              <w:spacing w:after="160" w:line="259" w:lineRule="auto"/>
              <w:ind w:left="-113"/>
              <w:jc w:val="center"/>
              <w:rPr>
                <w:rFonts w:ascii="Times New Roman" w:hAnsi="Times New Roman"/>
                <w:b/>
                <w:bCs/>
              </w:rPr>
            </w:pPr>
            <w:r w:rsidRPr="00C513E4">
              <w:rPr>
                <w:rFonts w:ascii="Times New Roman" w:hAnsi="Times New Roman"/>
                <w:b/>
                <w:bCs/>
              </w:rPr>
              <w:t>14.</w:t>
            </w:r>
          </w:p>
        </w:tc>
        <w:tc>
          <w:tcPr>
            <w:tcW w:w="3544" w:type="dxa"/>
            <w:shd w:val="clear" w:color="auto" w:fill="BDD6EE" w:themeFill="accent1" w:themeFillTint="66"/>
            <w:hideMark/>
          </w:tcPr>
          <w:p w:rsidR="00C513E4" w:rsidRPr="00C513E4" w:rsidRDefault="00C513E4" w:rsidP="00C513E4">
            <w:pPr>
              <w:spacing w:after="160" w:line="259" w:lineRule="auto"/>
              <w:rPr>
                <w:rFonts w:ascii="Times New Roman" w:hAnsi="Times New Roman"/>
                <w:b/>
                <w:bCs/>
              </w:rPr>
            </w:pPr>
            <w:r w:rsidRPr="00C513E4">
              <w:rPr>
                <w:rFonts w:ascii="Times New Roman" w:hAnsi="Times New Roman"/>
                <w:b/>
                <w:bCs/>
              </w:rPr>
              <w:t>Valstybės biudžeto bendrosios dotacijos kompensacijos</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6,50</w:t>
            </w:r>
          </w:p>
        </w:tc>
        <w:tc>
          <w:tcPr>
            <w:tcW w:w="1418" w:type="dxa"/>
            <w:shd w:val="clear" w:color="auto" w:fill="BDD6EE" w:themeFill="accent1" w:themeFillTint="66"/>
            <w:noWrap/>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0,06</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0,00</w:t>
            </w:r>
          </w:p>
        </w:tc>
        <w:tc>
          <w:tcPr>
            <w:tcW w:w="1418" w:type="dxa"/>
            <w:shd w:val="clear" w:color="auto" w:fill="BDD6EE" w:themeFill="accent1" w:themeFillTint="66"/>
            <w:noWrap/>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 </w:t>
            </w:r>
          </w:p>
        </w:tc>
      </w:tr>
      <w:tr w:rsidR="00C513E4" w:rsidRPr="00C513E4" w:rsidTr="009139FB">
        <w:trPr>
          <w:trHeight w:val="480"/>
        </w:trPr>
        <w:tc>
          <w:tcPr>
            <w:tcW w:w="562" w:type="dxa"/>
            <w:shd w:val="clear" w:color="auto" w:fill="BDD6EE" w:themeFill="accent1" w:themeFillTint="66"/>
            <w:noWrap/>
            <w:hideMark/>
          </w:tcPr>
          <w:p w:rsidR="00C513E4" w:rsidRPr="00C513E4" w:rsidRDefault="00C513E4" w:rsidP="00C513E4">
            <w:pPr>
              <w:spacing w:after="160" w:line="259" w:lineRule="auto"/>
              <w:jc w:val="center"/>
              <w:rPr>
                <w:rFonts w:ascii="Times New Roman" w:hAnsi="Times New Roman"/>
                <w:b/>
                <w:bCs/>
              </w:rPr>
            </w:pPr>
            <w:r w:rsidRPr="00C513E4">
              <w:rPr>
                <w:rFonts w:ascii="Times New Roman" w:hAnsi="Times New Roman"/>
                <w:b/>
                <w:bCs/>
              </w:rPr>
              <w:t>15.</w:t>
            </w:r>
          </w:p>
        </w:tc>
        <w:tc>
          <w:tcPr>
            <w:tcW w:w="3544" w:type="dxa"/>
            <w:shd w:val="clear" w:color="auto" w:fill="BDD6EE" w:themeFill="accent1" w:themeFillTint="66"/>
            <w:hideMark/>
          </w:tcPr>
          <w:p w:rsidR="00C513E4" w:rsidRPr="00C513E4" w:rsidRDefault="00C513E4" w:rsidP="00C513E4">
            <w:pPr>
              <w:spacing w:after="160" w:line="259" w:lineRule="auto"/>
              <w:rPr>
                <w:rFonts w:ascii="Times New Roman" w:hAnsi="Times New Roman"/>
                <w:b/>
                <w:bCs/>
              </w:rPr>
            </w:pPr>
            <w:r w:rsidRPr="00C513E4">
              <w:rPr>
                <w:rFonts w:ascii="Times New Roman" w:hAnsi="Times New Roman"/>
                <w:b/>
                <w:bCs/>
              </w:rPr>
              <w:t>Valstybės biudžeto specialios tikslinės dotacijos ir ES lėšos</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4842,50</w:t>
            </w:r>
          </w:p>
        </w:tc>
        <w:tc>
          <w:tcPr>
            <w:tcW w:w="1418" w:type="dxa"/>
            <w:shd w:val="clear" w:color="auto" w:fill="BDD6EE" w:themeFill="accent1" w:themeFillTint="66"/>
            <w:noWrap/>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46,08</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4173,10</w:t>
            </w:r>
          </w:p>
        </w:tc>
        <w:tc>
          <w:tcPr>
            <w:tcW w:w="1418" w:type="dxa"/>
            <w:shd w:val="clear" w:color="auto" w:fill="BDD6EE" w:themeFill="accent1" w:themeFillTint="66"/>
            <w:noWrap/>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40,11</w:t>
            </w:r>
          </w:p>
        </w:tc>
      </w:tr>
      <w:tr w:rsidR="00C513E4" w:rsidRPr="00C513E4" w:rsidTr="009139FB">
        <w:trPr>
          <w:trHeight w:val="315"/>
        </w:trPr>
        <w:tc>
          <w:tcPr>
            <w:tcW w:w="562" w:type="dxa"/>
            <w:shd w:val="clear" w:color="auto" w:fill="BDD6EE" w:themeFill="accent1" w:themeFillTint="66"/>
            <w:noWrap/>
            <w:hideMark/>
          </w:tcPr>
          <w:p w:rsidR="00C513E4" w:rsidRPr="00C513E4" w:rsidRDefault="00C513E4" w:rsidP="00C513E4">
            <w:pPr>
              <w:spacing w:after="160" w:line="259" w:lineRule="auto"/>
              <w:ind w:left="29"/>
              <w:jc w:val="center"/>
              <w:rPr>
                <w:rFonts w:ascii="Times New Roman" w:hAnsi="Times New Roman"/>
                <w:b/>
                <w:bCs/>
              </w:rPr>
            </w:pPr>
            <w:r w:rsidRPr="00C513E4">
              <w:rPr>
                <w:rFonts w:ascii="Times New Roman" w:hAnsi="Times New Roman"/>
                <w:b/>
                <w:bCs/>
              </w:rPr>
              <w:t>16.</w:t>
            </w:r>
          </w:p>
        </w:tc>
        <w:tc>
          <w:tcPr>
            <w:tcW w:w="3544" w:type="dxa"/>
            <w:shd w:val="clear" w:color="auto" w:fill="BDD6EE" w:themeFill="accent1" w:themeFillTint="66"/>
            <w:noWrap/>
            <w:hideMark/>
          </w:tcPr>
          <w:p w:rsidR="00C513E4" w:rsidRPr="00C513E4" w:rsidRDefault="00C513E4" w:rsidP="00C513E4">
            <w:pPr>
              <w:spacing w:after="160" w:line="259" w:lineRule="auto"/>
              <w:rPr>
                <w:rFonts w:ascii="Times New Roman" w:hAnsi="Times New Roman"/>
                <w:b/>
                <w:bCs/>
              </w:rPr>
            </w:pPr>
            <w:r w:rsidRPr="00C513E4">
              <w:rPr>
                <w:rFonts w:ascii="Times New Roman" w:hAnsi="Times New Roman"/>
                <w:b/>
                <w:bCs/>
              </w:rPr>
              <w:t>IŠ VISO (1+5+10+14+15)</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10508,90</w:t>
            </w:r>
          </w:p>
        </w:tc>
        <w:tc>
          <w:tcPr>
            <w:tcW w:w="1418"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100,00</w:t>
            </w:r>
          </w:p>
        </w:tc>
        <w:tc>
          <w:tcPr>
            <w:tcW w:w="1559"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10405,10</w:t>
            </w:r>
          </w:p>
        </w:tc>
        <w:tc>
          <w:tcPr>
            <w:tcW w:w="1418" w:type="dxa"/>
            <w:shd w:val="clear" w:color="auto" w:fill="BDD6EE" w:themeFill="accent1" w:themeFillTint="66"/>
            <w:hideMark/>
          </w:tcPr>
          <w:p w:rsidR="00C513E4" w:rsidRPr="00C513E4" w:rsidRDefault="00C513E4" w:rsidP="00111156">
            <w:pPr>
              <w:spacing w:after="160" w:line="259" w:lineRule="auto"/>
              <w:ind w:left="34"/>
              <w:jc w:val="center"/>
              <w:rPr>
                <w:rFonts w:ascii="Times New Roman" w:hAnsi="Times New Roman"/>
                <w:b/>
                <w:bCs/>
              </w:rPr>
            </w:pPr>
            <w:r w:rsidRPr="00C513E4">
              <w:rPr>
                <w:rFonts w:ascii="Times New Roman" w:hAnsi="Times New Roman"/>
                <w:b/>
                <w:bCs/>
              </w:rPr>
              <w:t>100,00</w:t>
            </w:r>
          </w:p>
        </w:tc>
      </w:tr>
    </w:tbl>
    <w:p w:rsidR="00793FB8" w:rsidRDefault="00AA53EB" w:rsidP="00111156">
      <w:pPr>
        <w:jc w:val="center"/>
        <w:rPr>
          <w:rFonts w:ascii="Times New Roman" w:hAnsi="Times New Roman"/>
          <w:b/>
          <w:bCs/>
        </w:rPr>
      </w:pPr>
      <w:r>
        <w:rPr>
          <w:rFonts w:ascii="Times New Roman" w:hAnsi="Times New Roman"/>
          <w:b/>
          <w:bCs/>
        </w:rPr>
        <w:t xml:space="preserve">3 lentelė. </w:t>
      </w:r>
      <w:r w:rsidRPr="00342F24">
        <w:rPr>
          <w:rFonts w:ascii="Times New Roman" w:hAnsi="Times New Roman"/>
          <w:b/>
          <w:bCs/>
        </w:rPr>
        <w:t>201</w:t>
      </w:r>
      <w:r>
        <w:rPr>
          <w:rFonts w:ascii="Times New Roman" w:hAnsi="Times New Roman"/>
          <w:b/>
          <w:bCs/>
        </w:rPr>
        <w:t>7</w:t>
      </w:r>
      <w:r w:rsidRPr="00342F24">
        <w:rPr>
          <w:rFonts w:ascii="Times New Roman" w:hAnsi="Times New Roman"/>
          <w:b/>
          <w:bCs/>
        </w:rPr>
        <w:t xml:space="preserve"> m. biudžeto pajamų </w:t>
      </w:r>
      <w:r w:rsidRPr="00E57815">
        <w:rPr>
          <w:rFonts w:ascii="Times New Roman" w:hAnsi="Times New Roman"/>
          <w:b/>
          <w:bCs/>
        </w:rPr>
        <w:t>struktūra</w:t>
      </w:r>
    </w:p>
    <w:p w:rsidR="00AA53EB" w:rsidRPr="00AA53EB" w:rsidRDefault="00AA53EB" w:rsidP="00AA53EB">
      <w:pPr>
        <w:ind w:left="426"/>
        <w:jc w:val="center"/>
        <w:rPr>
          <w:rFonts w:ascii="Times New Roman" w:hAnsi="Times New Roman"/>
          <w:sz w:val="20"/>
          <w:szCs w:val="20"/>
          <w:lang w:eastAsia="en-US"/>
        </w:rPr>
      </w:pPr>
      <w:r w:rsidRPr="00AA53EB">
        <w:rPr>
          <w:rFonts w:ascii="Times New Roman" w:hAnsi="Times New Roman"/>
          <w:sz w:val="20"/>
          <w:szCs w:val="20"/>
          <w:lang w:eastAsia="en-US"/>
        </w:rPr>
        <w:t xml:space="preserve">Šaltinis: Kazlų Rūdos savivaldybės </w:t>
      </w:r>
      <w:r>
        <w:rPr>
          <w:rFonts w:ascii="Times New Roman" w:hAnsi="Times New Roman"/>
          <w:sz w:val="20"/>
          <w:szCs w:val="20"/>
          <w:lang w:eastAsia="en-US"/>
        </w:rPr>
        <w:t>Finansų skyriaus informacija</w:t>
      </w:r>
    </w:p>
    <w:p w:rsidR="00C513E4" w:rsidRDefault="007F0436" w:rsidP="00111156">
      <w:pPr>
        <w:shd w:val="clear" w:color="auto" w:fill="FFFFFF"/>
        <w:tabs>
          <w:tab w:val="left" w:pos="709"/>
          <w:tab w:val="left" w:pos="1260"/>
        </w:tabs>
        <w:ind w:left="426"/>
        <w:jc w:val="both"/>
        <w:rPr>
          <w:rFonts w:ascii="Times New Roman" w:hAnsi="Times New Roman"/>
          <w:b/>
          <w:sz w:val="24"/>
          <w:szCs w:val="24"/>
        </w:rPr>
      </w:pPr>
      <w:r w:rsidRPr="007F0436">
        <w:rPr>
          <w:rFonts w:ascii="Times New Roman" w:hAnsi="Times New Roman"/>
          <w:b/>
          <w:sz w:val="24"/>
          <w:szCs w:val="24"/>
        </w:rPr>
        <w:tab/>
      </w:r>
    </w:p>
    <w:p w:rsidR="00B954F1" w:rsidRDefault="00AA53EB" w:rsidP="00AD5134">
      <w:pPr>
        <w:tabs>
          <w:tab w:val="left" w:pos="709"/>
          <w:tab w:val="left" w:pos="1260"/>
        </w:tabs>
        <w:ind w:left="426"/>
        <w:jc w:val="both"/>
        <w:rPr>
          <w:rFonts w:ascii="Times New Roman" w:hAnsi="Times New Roman"/>
          <w:b/>
          <w:sz w:val="24"/>
          <w:szCs w:val="24"/>
        </w:rPr>
      </w:pPr>
      <w:r w:rsidRPr="00AA53EB">
        <w:rPr>
          <w:rFonts w:ascii="Times New Roman" w:hAnsi="Times New Roman"/>
          <w:b/>
          <w:sz w:val="24"/>
          <w:szCs w:val="24"/>
        </w:rPr>
        <w:t>Ryšių sistema, inform</w:t>
      </w:r>
      <w:r>
        <w:rPr>
          <w:rFonts w:ascii="Times New Roman" w:hAnsi="Times New Roman"/>
          <w:b/>
          <w:sz w:val="24"/>
          <w:szCs w:val="24"/>
        </w:rPr>
        <w:t>acinės ir komunikavimo sistemos</w:t>
      </w:r>
    </w:p>
    <w:p w:rsidR="00AA53EB" w:rsidRDefault="00AA53EB" w:rsidP="00AD5134">
      <w:pPr>
        <w:tabs>
          <w:tab w:val="left" w:pos="709"/>
          <w:tab w:val="left" w:pos="1260"/>
        </w:tabs>
        <w:ind w:left="426"/>
        <w:jc w:val="both"/>
        <w:rPr>
          <w:rFonts w:ascii="Times New Roman" w:hAnsi="Times New Roman"/>
          <w:sz w:val="24"/>
          <w:szCs w:val="24"/>
        </w:rPr>
      </w:pPr>
    </w:p>
    <w:p w:rsidR="00AA53EB" w:rsidRDefault="00AA53EB" w:rsidP="00AD5134">
      <w:pPr>
        <w:tabs>
          <w:tab w:val="left" w:pos="567"/>
          <w:tab w:val="left" w:pos="1260"/>
        </w:tabs>
        <w:ind w:left="426"/>
        <w:jc w:val="both"/>
        <w:rPr>
          <w:rFonts w:ascii="Times New Roman" w:hAnsi="Times New Roman"/>
          <w:sz w:val="24"/>
          <w:szCs w:val="24"/>
        </w:rPr>
      </w:pPr>
      <w:r w:rsidRPr="00AA53EB">
        <w:rPr>
          <w:rFonts w:ascii="Times New Roman" w:hAnsi="Times New Roman"/>
          <w:sz w:val="24"/>
          <w:szCs w:val="24"/>
        </w:rPr>
        <w:t>Kaip veiklos viešinimo ir įvaizdžio kūrimo priemonė Kazlų Rūdos savivaldybei svarbus internetinis puslapis www.kazluruda.lt, kuris yra atnaujinamas pateikiant svarbiausias naujienas, Savivaldybės tarybos sprendimus, direktoriaus įsakymus ar kitą aktualią gyventojams, turistams ar verslininkams informaciją. Taip pat Savivaldybė skelbia svarbiausią informaciją apie tarybos, administracijos darbą, priimtus sprendimus, seniūnijų naujienas ir kitą naudingą informaciją vietinėje ir regioninėje spaudoje.</w:t>
      </w:r>
    </w:p>
    <w:p w:rsidR="00AA53EB" w:rsidRDefault="00AA53EB" w:rsidP="00AD5134">
      <w:pPr>
        <w:tabs>
          <w:tab w:val="left" w:pos="567"/>
          <w:tab w:val="left" w:pos="1260"/>
        </w:tabs>
        <w:ind w:left="426"/>
        <w:jc w:val="both"/>
        <w:rPr>
          <w:rFonts w:ascii="Times New Roman" w:hAnsi="Times New Roman"/>
          <w:b/>
          <w:sz w:val="24"/>
          <w:szCs w:val="24"/>
        </w:rPr>
      </w:pPr>
    </w:p>
    <w:p w:rsidR="00AA53EB" w:rsidRDefault="00AA53EB" w:rsidP="00AD5134">
      <w:pPr>
        <w:tabs>
          <w:tab w:val="left" w:pos="567"/>
          <w:tab w:val="left" w:pos="1260"/>
        </w:tabs>
        <w:ind w:left="426"/>
        <w:jc w:val="both"/>
        <w:rPr>
          <w:rFonts w:ascii="Times New Roman" w:hAnsi="Times New Roman"/>
          <w:b/>
          <w:sz w:val="24"/>
          <w:szCs w:val="24"/>
        </w:rPr>
      </w:pPr>
      <w:r>
        <w:rPr>
          <w:rFonts w:ascii="Times New Roman" w:hAnsi="Times New Roman"/>
          <w:b/>
          <w:sz w:val="24"/>
          <w:szCs w:val="24"/>
        </w:rPr>
        <w:t>Vidaus darbo kontrolė</w:t>
      </w:r>
    </w:p>
    <w:p w:rsidR="00AA53EB" w:rsidRDefault="00AA53EB" w:rsidP="00AD5134">
      <w:pPr>
        <w:tabs>
          <w:tab w:val="left" w:pos="567"/>
          <w:tab w:val="left" w:pos="1260"/>
        </w:tabs>
        <w:ind w:left="426"/>
        <w:jc w:val="both"/>
        <w:rPr>
          <w:rFonts w:ascii="Times New Roman" w:hAnsi="Times New Roman"/>
          <w:b/>
          <w:sz w:val="24"/>
          <w:szCs w:val="24"/>
        </w:rPr>
      </w:pPr>
    </w:p>
    <w:p w:rsidR="00FD46D6" w:rsidRPr="005C2954" w:rsidRDefault="00FD46D6" w:rsidP="00AD5134">
      <w:pPr>
        <w:tabs>
          <w:tab w:val="left" w:pos="567"/>
          <w:tab w:val="left" w:pos="1260"/>
        </w:tabs>
        <w:ind w:left="426"/>
        <w:jc w:val="both"/>
        <w:rPr>
          <w:rFonts w:ascii="Times New Roman" w:hAnsi="Times New Roman"/>
          <w:b/>
          <w:sz w:val="24"/>
          <w:szCs w:val="24"/>
        </w:rPr>
      </w:pPr>
      <w:r w:rsidRPr="005C2954">
        <w:rPr>
          <w:rFonts w:ascii="Times New Roman" w:hAnsi="Times New Roman"/>
          <w:sz w:val="24"/>
          <w:szCs w:val="24"/>
        </w:rPr>
        <w:t>Savivaldybės Kontrolės ir audito tarnyba atlieka finansinį ir veiklos auditą savivaldybės administracijoje, savivaldybės administravimo subjektuose bei savivaldybės kontroliuojamose įmonėse. Savivaldybės Kontrolės ir audito tarnybos atliekamo audito išorinę peržiūrą atlieka Valstybės kontrolė.</w:t>
      </w:r>
    </w:p>
    <w:p w:rsidR="00BB331F" w:rsidRDefault="00FD46D6" w:rsidP="00AD5134">
      <w:pPr>
        <w:tabs>
          <w:tab w:val="left" w:pos="567"/>
          <w:tab w:val="left" w:pos="900"/>
          <w:tab w:val="left" w:pos="1260"/>
        </w:tabs>
        <w:ind w:left="426"/>
        <w:jc w:val="both"/>
        <w:rPr>
          <w:rFonts w:ascii="Times New Roman" w:hAnsi="Times New Roman"/>
          <w:sz w:val="24"/>
          <w:szCs w:val="24"/>
        </w:rPr>
      </w:pPr>
      <w:r w:rsidRPr="005C2954">
        <w:rPr>
          <w:rFonts w:ascii="Times New Roman" w:hAnsi="Times New Roman"/>
          <w:sz w:val="24"/>
          <w:szCs w:val="24"/>
        </w:rPr>
        <w:t xml:space="preserve">Savivaldybės Centralizuotas vidaus audito skyrius, kuris yra tiesiogiai pavaldus ir atsiskaito </w:t>
      </w:r>
      <w:r w:rsidR="007F0375">
        <w:rPr>
          <w:rFonts w:ascii="Times New Roman" w:hAnsi="Times New Roman"/>
          <w:sz w:val="24"/>
          <w:szCs w:val="24"/>
        </w:rPr>
        <w:t>administracijos direktoriui</w:t>
      </w:r>
      <w:r w:rsidRPr="005C2954">
        <w:rPr>
          <w:rFonts w:ascii="Times New Roman" w:hAnsi="Times New Roman"/>
          <w:sz w:val="24"/>
          <w:szCs w:val="24"/>
        </w:rPr>
        <w:t>, savo veikloje vadovaujasi Vidaus kontrolės ir vidaus audito įstatymo nuostatomis bei kitais teisės aktais, reglamentuojančiais vidaus auditą. Vykdo nepriklausomą, objektyvią tyrimo, vertinimo ir konsultavimo veiklą siekiant užtikrinti administracijos, jos struktūrinių dalinių,</w:t>
      </w:r>
      <w:r w:rsidRPr="005C2954">
        <w:rPr>
          <w:rFonts w:ascii="Times New Roman" w:hAnsi="Times New Roman"/>
          <w:b/>
          <w:bCs/>
          <w:sz w:val="24"/>
          <w:szCs w:val="24"/>
        </w:rPr>
        <w:t xml:space="preserve"> </w:t>
      </w:r>
      <w:r w:rsidRPr="005C2954">
        <w:rPr>
          <w:rFonts w:ascii="Times New Roman" w:hAnsi="Times New Roman"/>
          <w:sz w:val="24"/>
          <w:szCs w:val="24"/>
        </w:rPr>
        <w:t>jai pavaldžių ir (arba) jos valdymo sričiai priskirtų viešųjų juridinių asmenų</w:t>
      </w:r>
      <w:r w:rsidRPr="005C2954">
        <w:rPr>
          <w:rFonts w:ascii="Times New Roman" w:hAnsi="Times New Roman"/>
          <w:b/>
          <w:bCs/>
          <w:sz w:val="24"/>
          <w:szCs w:val="24"/>
        </w:rPr>
        <w:t xml:space="preserve"> </w:t>
      </w:r>
      <w:r w:rsidRPr="005C2954">
        <w:rPr>
          <w:rFonts w:ascii="Times New Roman" w:hAnsi="Times New Roman"/>
          <w:sz w:val="24"/>
          <w:szCs w:val="24"/>
        </w:rPr>
        <w:t>veiklos gerinimą.</w:t>
      </w:r>
    </w:p>
    <w:p w:rsidR="008B437D" w:rsidRDefault="008B437D" w:rsidP="00AD5134">
      <w:pPr>
        <w:tabs>
          <w:tab w:val="left" w:pos="900"/>
          <w:tab w:val="left" w:pos="1260"/>
        </w:tabs>
        <w:ind w:left="426"/>
        <w:jc w:val="right"/>
        <w:rPr>
          <w:rFonts w:ascii="Times New Roman" w:hAnsi="Times New Roman"/>
          <w:szCs w:val="24"/>
        </w:rPr>
      </w:pPr>
    </w:p>
    <w:p w:rsidR="008B437D" w:rsidRDefault="008B437D" w:rsidP="00AD5134">
      <w:pPr>
        <w:tabs>
          <w:tab w:val="left" w:pos="900"/>
          <w:tab w:val="left" w:pos="1260"/>
        </w:tabs>
        <w:ind w:left="426"/>
        <w:jc w:val="right"/>
        <w:rPr>
          <w:rFonts w:ascii="Times New Roman" w:hAnsi="Times New Roman"/>
          <w:szCs w:val="24"/>
        </w:rPr>
      </w:pPr>
    </w:p>
    <w:p w:rsidR="008B437D" w:rsidRDefault="008B437D" w:rsidP="00AD5134">
      <w:pPr>
        <w:tabs>
          <w:tab w:val="left" w:pos="900"/>
          <w:tab w:val="left" w:pos="1260"/>
        </w:tabs>
        <w:ind w:left="426"/>
        <w:jc w:val="right"/>
        <w:rPr>
          <w:rFonts w:ascii="Times New Roman" w:hAnsi="Times New Roman"/>
          <w:szCs w:val="24"/>
        </w:rPr>
      </w:pPr>
    </w:p>
    <w:p w:rsidR="008B437D" w:rsidRDefault="008B437D" w:rsidP="00AD5134">
      <w:pPr>
        <w:tabs>
          <w:tab w:val="left" w:pos="900"/>
          <w:tab w:val="left" w:pos="1260"/>
        </w:tabs>
        <w:ind w:left="426"/>
        <w:jc w:val="right"/>
        <w:rPr>
          <w:rFonts w:ascii="Times New Roman" w:hAnsi="Times New Roman"/>
          <w:szCs w:val="24"/>
        </w:rPr>
      </w:pPr>
    </w:p>
    <w:p w:rsidR="00831B70" w:rsidRPr="00831B70" w:rsidRDefault="00133744" w:rsidP="00AD5134">
      <w:pPr>
        <w:tabs>
          <w:tab w:val="left" w:pos="900"/>
          <w:tab w:val="left" w:pos="1260"/>
        </w:tabs>
        <w:ind w:left="426"/>
        <w:jc w:val="right"/>
        <w:rPr>
          <w:rFonts w:ascii="Times New Roman" w:hAnsi="Times New Roman"/>
          <w:b/>
          <w:szCs w:val="24"/>
        </w:rPr>
      </w:pPr>
      <w:bookmarkStart w:id="0" w:name="_GoBack"/>
      <w:bookmarkEnd w:id="0"/>
      <w:r>
        <w:rPr>
          <w:rFonts w:ascii="Times New Roman" w:hAnsi="Times New Roman"/>
          <w:szCs w:val="24"/>
        </w:rPr>
        <w:t xml:space="preserve"> </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546"/>
      </w:tblGrid>
      <w:tr w:rsidR="00436BF9" w:rsidRPr="006C5EA9" w:rsidTr="009139FB">
        <w:trPr>
          <w:trHeight w:val="703"/>
        </w:trPr>
        <w:tc>
          <w:tcPr>
            <w:tcW w:w="9526" w:type="dxa"/>
            <w:gridSpan w:val="2"/>
            <w:shd w:val="clear" w:color="auto" w:fill="A8D08D" w:themeFill="accent6" w:themeFillTint="99"/>
          </w:tcPr>
          <w:p w:rsidR="00436BF9" w:rsidRPr="009329EF" w:rsidRDefault="00AA53EB" w:rsidP="00AD5134">
            <w:pPr>
              <w:tabs>
                <w:tab w:val="left" w:pos="900"/>
                <w:tab w:val="left" w:pos="1260"/>
              </w:tabs>
              <w:ind w:left="426"/>
              <w:jc w:val="center"/>
              <w:rPr>
                <w:rFonts w:ascii="Times New Roman" w:hAnsi="Times New Roman"/>
                <w:b/>
              </w:rPr>
            </w:pPr>
            <w:r>
              <w:rPr>
                <w:rFonts w:ascii="Times New Roman" w:hAnsi="Times New Roman"/>
                <w:b/>
              </w:rPr>
              <w:lastRenderedPageBreak/>
              <w:t>Kazlų Rūdos</w:t>
            </w:r>
            <w:r w:rsidR="00436BF9" w:rsidRPr="009329EF">
              <w:rPr>
                <w:rFonts w:ascii="Times New Roman" w:hAnsi="Times New Roman"/>
                <w:b/>
              </w:rPr>
              <w:t xml:space="preserve"> savivaldybės (asignavimų valdytojo) misija</w:t>
            </w:r>
          </w:p>
          <w:p w:rsidR="00436BF9" w:rsidRPr="00FD6450" w:rsidRDefault="00AA53EB" w:rsidP="00AA53EB">
            <w:pPr>
              <w:tabs>
                <w:tab w:val="left" w:pos="900"/>
                <w:tab w:val="left" w:pos="1260"/>
              </w:tabs>
              <w:ind w:left="205"/>
              <w:jc w:val="both"/>
              <w:rPr>
                <w:highlight w:val="yellow"/>
              </w:rPr>
            </w:pPr>
            <w:r w:rsidRPr="00AA53EB">
              <w:rPr>
                <w:rFonts w:ascii="Times New Roman" w:hAnsi="Times New Roman"/>
              </w:rPr>
              <w:t>Įgyvendindama vietos savivaldos teises ir principus Kazlų R</w:t>
            </w:r>
            <w:r>
              <w:rPr>
                <w:rFonts w:ascii="Times New Roman" w:hAnsi="Times New Roman"/>
              </w:rPr>
              <w:t xml:space="preserve">ūdos savivaldybė siekia sukurti </w:t>
            </w:r>
            <w:r w:rsidRPr="00AA53EB">
              <w:rPr>
                <w:rFonts w:ascii="Times New Roman" w:hAnsi="Times New Roman"/>
              </w:rPr>
              <w:t>bendruomenei patrauklias sąlygas ir aplinką gyvenimui, darbui, poilsiui ir saviraiškai</w:t>
            </w:r>
            <w:r>
              <w:rPr>
                <w:rFonts w:ascii="Times New Roman" w:hAnsi="Times New Roman"/>
              </w:rPr>
              <w:t>.</w:t>
            </w:r>
          </w:p>
        </w:tc>
      </w:tr>
      <w:tr w:rsidR="00E72742" w:rsidRPr="006C5EA9" w:rsidTr="009139FB">
        <w:trPr>
          <w:trHeight w:val="533"/>
        </w:trPr>
        <w:tc>
          <w:tcPr>
            <w:tcW w:w="9526" w:type="dxa"/>
            <w:gridSpan w:val="2"/>
            <w:shd w:val="clear" w:color="auto" w:fill="FFD966" w:themeFill="accent4" w:themeFillTint="99"/>
            <w:vAlign w:val="center"/>
          </w:tcPr>
          <w:p w:rsidR="00E72742" w:rsidRPr="00E72742" w:rsidRDefault="00AA53EB" w:rsidP="00AA53EB">
            <w:pPr>
              <w:tabs>
                <w:tab w:val="left" w:pos="900"/>
                <w:tab w:val="left" w:pos="1260"/>
              </w:tabs>
              <w:ind w:left="426"/>
              <w:jc w:val="center"/>
              <w:rPr>
                <w:rFonts w:ascii="Times New Roman" w:hAnsi="Times New Roman"/>
                <w:b/>
              </w:rPr>
            </w:pPr>
            <w:r>
              <w:rPr>
                <w:rFonts w:ascii="Times New Roman" w:hAnsi="Times New Roman"/>
                <w:b/>
              </w:rPr>
              <w:t>Kazlų Rūdos</w:t>
            </w:r>
            <w:r w:rsidR="00E72742" w:rsidRPr="00E72742">
              <w:rPr>
                <w:rFonts w:ascii="Times New Roman" w:hAnsi="Times New Roman"/>
                <w:b/>
              </w:rPr>
              <w:t xml:space="preserve"> savivaldybės (asignavimų valdytojo) strateginiai tikslai</w:t>
            </w:r>
            <w:r w:rsidR="005E45A9">
              <w:rPr>
                <w:rFonts w:ascii="Times New Roman" w:hAnsi="Times New Roman"/>
                <w:b/>
              </w:rPr>
              <w:t xml:space="preserve"> 201</w:t>
            </w:r>
            <w:r>
              <w:rPr>
                <w:rFonts w:ascii="Times New Roman" w:hAnsi="Times New Roman"/>
                <w:b/>
              </w:rPr>
              <w:t>8</w:t>
            </w:r>
            <w:r w:rsidR="00BD1AF9">
              <w:rPr>
                <w:rFonts w:ascii="Times New Roman" w:hAnsi="Times New Roman"/>
                <w:b/>
              </w:rPr>
              <w:t xml:space="preserve"> metams</w:t>
            </w:r>
          </w:p>
        </w:tc>
      </w:tr>
      <w:tr w:rsidR="00E72742" w:rsidRPr="006C5EA9" w:rsidTr="009139FB">
        <w:trPr>
          <w:trHeight w:val="384"/>
        </w:trPr>
        <w:tc>
          <w:tcPr>
            <w:tcW w:w="1980" w:type="dxa"/>
            <w:shd w:val="clear" w:color="auto" w:fill="FFD966" w:themeFill="accent4" w:themeFillTint="99"/>
            <w:vAlign w:val="center"/>
          </w:tcPr>
          <w:p w:rsidR="00E72742" w:rsidRPr="004500A8" w:rsidRDefault="00E72742" w:rsidP="00AD5134">
            <w:pPr>
              <w:tabs>
                <w:tab w:val="left" w:pos="900"/>
                <w:tab w:val="left" w:pos="1260"/>
              </w:tabs>
              <w:ind w:left="426"/>
              <w:rPr>
                <w:rFonts w:ascii="Times New Roman" w:hAnsi="Times New Roman"/>
                <w:b/>
              </w:rPr>
            </w:pPr>
          </w:p>
        </w:tc>
        <w:tc>
          <w:tcPr>
            <w:tcW w:w="7546" w:type="dxa"/>
            <w:shd w:val="clear" w:color="auto" w:fill="FFD966" w:themeFill="accent4" w:themeFillTint="99"/>
            <w:vAlign w:val="center"/>
          </w:tcPr>
          <w:p w:rsidR="00E72742" w:rsidRPr="00E72742" w:rsidRDefault="00AA53EB" w:rsidP="00AD5134">
            <w:pPr>
              <w:tabs>
                <w:tab w:val="left" w:pos="900"/>
                <w:tab w:val="left" w:pos="1260"/>
              </w:tabs>
              <w:ind w:left="426"/>
              <w:rPr>
                <w:rFonts w:ascii="Times New Roman" w:hAnsi="Times New Roman"/>
                <w:b/>
              </w:rPr>
            </w:pPr>
            <w:r>
              <w:rPr>
                <w:rFonts w:ascii="Times New Roman" w:hAnsi="Times New Roman"/>
                <w:b/>
              </w:rPr>
              <w:t>Kazlų Rūdos</w:t>
            </w:r>
            <w:r w:rsidR="00E72742" w:rsidRPr="00E72742">
              <w:rPr>
                <w:rFonts w:ascii="Times New Roman" w:hAnsi="Times New Roman"/>
                <w:b/>
              </w:rPr>
              <w:t xml:space="preserve"> savivaldybės (asignavimų valdytojo) tikslo pavadinimas</w:t>
            </w:r>
          </w:p>
        </w:tc>
      </w:tr>
      <w:tr w:rsidR="00437E77" w:rsidRPr="006C5EA9" w:rsidTr="009139FB">
        <w:trPr>
          <w:trHeight w:val="828"/>
        </w:trPr>
        <w:tc>
          <w:tcPr>
            <w:tcW w:w="1980" w:type="dxa"/>
            <w:shd w:val="clear" w:color="auto" w:fill="FFE599" w:themeFill="accent4" w:themeFillTint="66"/>
          </w:tcPr>
          <w:p w:rsidR="00437E77" w:rsidRPr="004500A8" w:rsidRDefault="00437E77" w:rsidP="00AD5134">
            <w:pPr>
              <w:tabs>
                <w:tab w:val="left" w:pos="900"/>
                <w:tab w:val="left" w:pos="1260"/>
              </w:tabs>
              <w:ind w:left="426"/>
              <w:jc w:val="both"/>
              <w:rPr>
                <w:rFonts w:ascii="Times New Roman" w:hAnsi="Times New Roman"/>
                <w:b/>
              </w:rPr>
            </w:pPr>
            <w:r w:rsidRPr="004500A8">
              <w:rPr>
                <w:rFonts w:ascii="Times New Roman" w:hAnsi="Times New Roman"/>
                <w:b/>
              </w:rPr>
              <w:t>01</w:t>
            </w:r>
          </w:p>
        </w:tc>
        <w:tc>
          <w:tcPr>
            <w:tcW w:w="7546" w:type="dxa"/>
            <w:shd w:val="clear" w:color="auto" w:fill="FFE599" w:themeFill="accent4" w:themeFillTint="66"/>
            <w:vAlign w:val="center"/>
          </w:tcPr>
          <w:p w:rsidR="00437E77" w:rsidRPr="00E72742" w:rsidRDefault="00437E77" w:rsidP="00437E77">
            <w:pPr>
              <w:tabs>
                <w:tab w:val="left" w:pos="900"/>
                <w:tab w:val="left" w:pos="1260"/>
              </w:tabs>
              <w:rPr>
                <w:rFonts w:ascii="Times New Roman" w:hAnsi="Times New Roman"/>
                <w:b/>
              </w:rPr>
            </w:pPr>
            <w:r w:rsidRPr="00AA53EB">
              <w:rPr>
                <w:rFonts w:ascii="Times New Roman" w:hAnsi="Times New Roman"/>
                <w:b/>
              </w:rPr>
              <w:t>Kurti savivaldybėje palankią aplinką gyvenimui, mokslui ir veiklai, skatinant žinių visuomenės plėtrą, kultūrinį, sportinį, ekonominį aktyvumą, tvarkant viešąją infrastruktūrą.</w:t>
            </w:r>
          </w:p>
        </w:tc>
      </w:tr>
      <w:tr w:rsidR="00E72742" w:rsidRPr="006C5EA9" w:rsidTr="009139FB">
        <w:tc>
          <w:tcPr>
            <w:tcW w:w="9526" w:type="dxa"/>
            <w:gridSpan w:val="2"/>
            <w:shd w:val="clear" w:color="auto" w:fill="FFF2CC" w:themeFill="accent4" w:themeFillTint="33"/>
          </w:tcPr>
          <w:p w:rsidR="00AA53EB" w:rsidRPr="00AA53EB" w:rsidRDefault="00AA53EB" w:rsidP="00AA53EB">
            <w:pPr>
              <w:tabs>
                <w:tab w:val="left" w:pos="900"/>
                <w:tab w:val="left" w:pos="1260"/>
              </w:tabs>
              <w:ind w:left="426"/>
              <w:jc w:val="both"/>
              <w:rPr>
                <w:rFonts w:ascii="Times New Roman" w:hAnsi="Times New Roman"/>
                <w:b/>
                <w:color w:val="000000"/>
              </w:rPr>
            </w:pPr>
            <w:r w:rsidRPr="00AA53EB">
              <w:rPr>
                <w:rFonts w:ascii="Times New Roman" w:hAnsi="Times New Roman"/>
                <w:b/>
                <w:color w:val="000000"/>
              </w:rPr>
              <w:t>Tikslo aprašymas</w:t>
            </w:r>
            <w:r>
              <w:rPr>
                <w:rFonts w:ascii="Times New Roman" w:hAnsi="Times New Roman"/>
                <w:b/>
                <w:color w:val="000000"/>
              </w:rPr>
              <w:t xml:space="preserve"> ir tikslo pasiekimo vertinimo (efekto) kriterijai</w:t>
            </w:r>
            <w:r w:rsidRPr="00AA53EB">
              <w:rPr>
                <w:rFonts w:ascii="Times New Roman" w:hAnsi="Times New Roman"/>
                <w:b/>
                <w:color w:val="000000"/>
              </w:rPr>
              <w:t>:</w:t>
            </w:r>
          </w:p>
          <w:p w:rsidR="00AA53EB" w:rsidRPr="00AA53EB" w:rsidRDefault="00AA53EB" w:rsidP="00AA53EB">
            <w:pPr>
              <w:tabs>
                <w:tab w:val="left" w:pos="900"/>
                <w:tab w:val="left" w:pos="1260"/>
              </w:tabs>
              <w:ind w:left="426"/>
              <w:jc w:val="both"/>
              <w:rPr>
                <w:rFonts w:ascii="Times New Roman" w:hAnsi="Times New Roman"/>
                <w:color w:val="000000"/>
              </w:rPr>
            </w:pPr>
            <w:r w:rsidRPr="00AA53EB">
              <w:rPr>
                <w:rFonts w:ascii="Times New Roman" w:hAnsi="Times New Roman"/>
                <w:color w:val="000000"/>
              </w:rPr>
              <w:t>Įgyvendinant šį tikslą vykdomos programos:</w:t>
            </w:r>
          </w:p>
          <w:p w:rsidR="00AA53EB" w:rsidRPr="00AA53EB" w:rsidRDefault="00AA53EB" w:rsidP="00AA53EB">
            <w:pPr>
              <w:tabs>
                <w:tab w:val="left" w:pos="900"/>
                <w:tab w:val="left" w:pos="1260"/>
              </w:tabs>
              <w:ind w:left="426"/>
              <w:jc w:val="both"/>
              <w:rPr>
                <w:rFonts w:ascii="Times New Roman" w:hAnsi="Times New Roman"/>
                <w:color w:val="000000"/>
              </w:rPr>
            </w:pPr>
            <w:r w:rsidRPr="00AA53EB">
              <w:rPr>
                <w:rFonts w:ascii="Times New Roman" w:hAnsi="Times New Roman"/>
                <w:color w:val="000000"/>
              </w:rPr>
              <w:t>01 Žinių visuomenės, kultūrinio ir sportinio aktyvumo skatinimo programa (1 priedas).</w:t>
            </w:r>
          </w:p>
          <w:p w:rsidR="00AA53EB" w:rsidRPr="00AA53EB" w:rsidRDefault="00AA53EB" w:rsidP="00AA53EB">
            <w:pPr>
              <w:tabs>
                <w:tab w:val="left" w:pos="900"/>
                <w:tab w:val="left" w:pos="1260"/>
              </w:tabs>
              <w:ind w:left="426"/>
              <w:jc w:val="both"/>
              <w:rPr>
                <w:rFonts w:ascii="Times New Roman" w:hAnsi="Times New Roman"/>
                <w:color w:val="000000"/>
              </w:rPr>
            </w:pPr>
            <w:r w:rsidRPr="00AA53EB">
              <w:rPr>
                <w:rFonts w:ascii="Times New Roman" w:hAnsi="Times New Roman"/>
                <w:color w:val="000000"/>
              </w:rPr>
              <w:t>02 Ekonominio konkurencingumo didinimo programa (2 priedas).</w:t>
            </w:r>
          </w:p>
          <w:p w:rsidR="00AA53EB" w:rsidRPr="00AA53EB" w:rsidRDefault="00AA53EB" w:rsidP="00AA53EB">
            <w:pPr>
              <w:tabs>
                <w:tab w:val="left" w:pos="900"/>
                <w:tab w:val="left" w:pos="1260"/>
              </w:tabs>
              <w:ind w:left="426"/>
              <w:jc w:val="both"/>
              <w:rPr>
                <w:rFonts w:ascii="Times New Roman" w:hAnsi="Times New Roman"/>
                <w:color w:val="000000"/>
              </w:rPr>
            </w:pPr>
            <w:r w:rsidRPr="00AA53EB">
              <w:rPr>
                <w:rFonts w:ascii="Times New Roman" w:hAnsi="Times New Roman"/>
                <w:color w:val="000000"/>
              </w:rPr>
              <w:t>03 Viešosios infrastruktūros plėtros programa</w:t>
            </w:r>
            <w:r w:rsidR="00492E78">
              <w:rPr>
                <w:rFonts w:ascii="Times New Roman" w:hAnsi="Times New Roman"/>
                <w:color w:val="000000"/>
              </w:rPr>
              <w:t xml:space="preserve"> </w:t>
            </w:r>
            <w:r w:rsidRPr="00AA53EB">
              <w:rPr>
                <w:rFonts w:ascii="Times New Roman" w:hAnsi="Times New Roman"/>
                <w:color w:val="000000"/>
              </w:rPr>
              <w:t>(3 priedas).</w:t>
            </w:r>
          </w:p>
          <w:p w:rsidR="00437E77" w:rsidRDefault="00AA53EB" w:rsidP="00AA53EB">
            <w:pPr>
              <w:tabs>
                <w:tab w:val="left" w:pos="900"/>
                <w:tab w:val="left" w:pos="1260"/>
              </w:tabs>
              <w:ind w:left="426"/>
              <w:jc w:val="both"/>
              <w:rPr>
                <w:rFonts w:ascii="Times New Roman" w:hAnsi="Times New Roman"/>
                <w:color w:val="000000"/>
              </w:rPr>
            </w:pPr>
            <w:r w:rsidRPr="00AA53EB">
              <w:rPr>
                <w:rFonts w:ascii="Times New Roman" w:hAnsi="Times New Roman"/>
                <w:color w:val="000000"/>
              </w:rPr>
              <w:t xml:space="preserve">E-01-01 </w:t>
            </w:r>
            <w:r w:rsidR="00437E77" w:rsidRPr="00437E77">
              <w:rPr>
                <w:rFonts w:ascii="Times New Roman" w:hAnsi="Times New Roman"/>
                <w:color w:val="000000"/>
              </w:rPr>
              <w:t xml:space="preserve">Įgijusių vidurinį išsilavinimą nuo išklausiusiųjų XII klasės kursą dalis (%) </w:t>
            </w:r>
          </w:p>
          <w:p w:rsidR="00AA53EB" w:rsidRDefault="00AA53EB" w:rsidP="00AA53EB">
            <w:pPr>
              <w:tabs>
                <w:tab w:val="left" w:pos="900"/>
                <w:tab w:val="left" w:pos="1260"/>
              </w:tabs>
              <w:ind w:left="426"/>
              <w:jc w:val="both"/>
              <w:rPr>
                <w:rFonts w:ascii="Times New Roman" w:hAnsi="Times New Roman"/>
                <w:color w:val="000000"/>
              </w:rPr>
            </w:pPr>
            <w:r w:rsidRPr="00AA53EB">
              <w:rPr>
                <w:rFonts w:ascii="Times New Roman" w:hAnsi="Times New Roman"/>
                <w:color w:val="000000"/>
              </w:rPr>
              <w:t xml:space="preserve">E-01-02 </w:t>
            </w:r>
            <w:r w:rsidR="00492E78" w:rsidRPr="00E72742">
              <w:rPr>
                <w:rFonts w:ascii="Times New Roman" w:hAnsi="Times New Roman"/>
                <w:color w:val="000000"/>
              </w:rPr>
              <w:t>Įgyvendinta projektų, finansuojamų iš ES f</w:t>
            </w:r>
            <w:r w:rsidR="00492E78">
              <w:rPr>
                <w:rFonts w:ascii="Times New Roman" w:hAnsi="Times New Roman"/>
                <w:color w:val="000000"/>
              </w:rPr>
              <w:t>ondų paramos (skaičius vnt.)</w:t>
            </w:r>
          </w:p>
          <w:p w:rsidR="0011080E" w:rsidRPr="00AA53EB" w:rsidRDefault="0011080E" w:rsidP="00AA53EB">
            <w:pPr>
              <w:tabs>
                <w:tab w:val="left" w:pos="900"/>
                <w:tab w:val="left" w:pos="1260"/>
              </w:tabs>
              <w:ind w:left="426"/>
              <w:jc w:val="both"/>
              <w:rPr>
                <w:rFonts w:ascii="Times New Roman" w:hAnsi="Times New Roman"/>
                <w:color w:val="000000"/>
              </w:rPr>
            </w:pPr>
            <w:r>
              <w:rPr>
                <w:rFonts w:ascii="Times New Roman" w:hAnsi="Times New Roman"/>
                <w:color w:val="000000"/>
              </w:rPr>
              <w:t xml:space="preserve">E-01-02 </w:t>
            </w:r>
            <w:r w:rsidRPr="0011080E">
              <w:rPr>
                <w:rFonts w:ascii="Times New Roman" w:hAnsi="Times New Roman"/>
                <w:color w:val="000000"/>
              </w:rPr>
              <w:t xml:space="preserve">Materialinės investicijos, tenkančios vienam savivaldybės gyventojui, tūkst. </w:t>
            </w:r>
            <w:proofErr w:type="spellStart"/>
            <w:r w:rsidRPr="0011080E">
              <w:rPr>
                <w:rFonts w:ascii="Times New Roman" w:hAnsi="Times New Roman"/>
                <w:color w:val="000000"/>
              </w:rPr>
              <w:t>Eur</w:t>
            </w:r>
            <w:proofErr w:type="spellEnd"/>
          </w:p>
          <w:p w:rsidR="00E72742" w:rsidRPr="00E72742" w:rsidRDefault="00AA53EB" w:rsidP="00AA53EB">
            <w:pPr>
              <w:ind w:left="426"/>
              <w:jc w:val="both"/>
              <w:rPr>
                <w:rFonts w:ascii="Times New Roman" w:hAnsi="Times New Roman"/>
                <w:b/>
                <w:color w:val="000000"/>
              </w:rPr>
            </w:pPr>
            <w:r w:rsidRPr="00AA53EB">
              <w:rPr>
                <w:rFonts w:ascii="Times New Roman" w:hAnsi="Times New Roman"/>
                <w:color w:val="000000"/>
              </w:rPr>
              <w:t>E-01-03 Avaringumo lygis (kelių eismo įvykių skaičius 100 000 gyventojų)</w:t>
            </w:r>
          </w:p>
        </w:tc>
      </w:tr>
      <w:tr w:rsidR="00437E77" w:rsidRPr="006C5EA9" w:rsidTr="009139FB">
        <w:trPr>
          <w:trHeight w:val="515"/>
        </w:trPr>
        <w:tc>
          <w:tcPr>
            <w:tcW w:w="1980" w:type="dxa"/>
            <w:shd w:val="clear" w:color="auto" w:fill="FFE599" w:themeFill="accent4" w:themeFillTint="66"/>
          </w:tcPr>
          <w:p w:rsidR="00437E77" w:rsidRPr="00E72742" w:rsidRDefault="00437E77" w:rsidP="00AD5134">
            <w:pPr>
              <w:tabs>
                <w:tab w:val="left" w:pos="900"/>
                <w:tab w:val="left" w:pos="1260"/>
              </w:tabs>
              <w:ind w:left="426"/>
              <w:jc w:val="both"/>
              <w:rPr>
                <w:rFonts w:ascii="Times New Roman" w:hAnsi="Times New Roman"/>
                <w:b/>
                <w:color w:val="000000"/>
              </w:rPr>
            </w:pPr>
            <w:r w:rsidRPr="00E72742">
              <w:rPr>
                <w:rFonts w:ascii="Times New Roman" w:hAnsi="Times New Roman"/>
                <w:b/>
                <w:color w:val="000000"/>
              </w:rPr>
              <w:t>02</w:t>
            </w:r>
          </w:p>
        </w:tc>
        <w:tc>
          <w:tcPr>
            <w:tcW w:w="7546" w:type="dxa"/>
            <w:shd w:val="clear" w:color="auto" w:fill="FFE599" w:themeFill="accent4" w:themeFillTint="66"/>
          </w:tcPr>
          <w:p w:rsidR="00437E77" w:rsidRPr="00E72742" w:rsidRDefault="00437E77" w:rsidP="00A71540">
            <w:pPr>
              <w:tabs>
                <w:tab w:val="left" w:pos="900"/>
                <w:tab w:val="left" w:pos="1260"/>
              </w:tabs>
              <w:jc w:val="both"/>
              <w:rPr>
                <w:rFonts w:ascii="Times New Roman" w:hAnsi="Times New Roman"/>
                <w:b/>
                <w:color w:val="000000"/>
              </w:rPr>
            </w:pPr>
            <w:r w:rsidRPr="00492E78">
              <w:rPr>
                <w:rFonts w:ascii="Times New Roman" w:hAnsi="Times New Roman"/>
                <w:b/>
                <w:color w:val="000000"/>
              </w:rPr>
              <w:t>Gerinti gyvenimo kokybę savivaldybėje skatinant savivaldybės aplinkos, socialinės paramos ir sveikatos paslaugų kokybės augimą.</w:t>
            </w:r>
          </w:p>
        </w:tc>
      </w:tr>
      <w:tr w:rsidR="00E72742" w:rsidRPr="006C5EA9" w:rsidTr="009139FB">
        <w:trPr>
          <w:trHeight w:val="349"/>
        </w:trPr>
        <w:tc>
          <w:tcPr>
            <w:tcW w:w="9526" w:type="dxa"/>
            <w:gridSpan w:val="2"/>
            <w:shd w:val="clear" w:color="auto" w:fill="FFF2CC" w:themeFill="accent4" w:themeFillTint="33"/>
          </w:tcPr>
          <w:p w:rsidR="00E72742" w:rsidRPr="00E72742" w:rsidRDefault="00E72742" w:rsidP="00AD5134">
            <w:pPr>
              <w:tabs>
                <w:tab w:val="left" w:pos="900"/>
                <w:tab w:val="left" w:pos="1260"/>
              </w:tabs>
              <w:ind w:left="426"/>
              <w:jc w:val="both"/>
              <w:rPr>
                <w:rFonts w:ascii="Times New Roman" w:hAnsi="Times New Roman"/>
                <w:b/>
                <w:color w:val="000000"/>
              </w:rPr>
            </w:pPr>
            <w:r w:rsidRPr="00E72742">
              <w:rPr>
                <w:rFonts w:ascii="Times New Roman" w:hAnsi="Times New Roman"/>
                <w:b/>
                <w:color w:val="000000"/>
              </w:rPr>
              <w:t>Tikslo aprašymas ir tikslo pasiekimo vertinimo (efekto) kriterijai:</w:t>
            </w:r>
          </w:p>
          <w:p w:rsidR="00E72742" w:rsidRPr="00E72742" w:rsidRDefault="00E72742" w:rsidP="00AD5134">
            <w:pPr>
              <w:tabs>
                <w:tab w:val="left" w:pos="900"/>
                <w:tab w:val="left" w:pos="1260"/>
              </w:tabs>
              <w:ind w:left="426"/>
              <w:jc w:val="both"/>
              <w:rPr>
                <w:rFonts w:ascii="Times New Roman" w:hAnsi="Times New Roman"/>
                <w:color w:val="000000"/>
              </w:rPr>
            </w:pPr>
            <w:r w:rsidRPr="00E72742">
              <w:rPr>
                <w:rFonts w:ascii="Times New Roman" w:hAnsi="Times New Roman"/>
                <w:color w:val="000000"/>
              </w:rPr>
              <w:t>Įgyvendinant šį tikslą vykdomos programos:</w:t>
            </w:r>
          </w:p>
          <w:p w:rsidR="00492E78" w:rsidRPr="00492E78" w:rsidRDefault="00492E78" w:rsidP="00492E78">
            <w:pPr>
              <w:ind w:left="426"/>
              <w:jc w:val="both"/>
              <w:rPr>
                <w:rFonts w:ascii="Times New Roman" w:hAnsi="Times New Roman"/>
                <w:color w:val="000000"/>
              </w:rPr>
            </w:pPr>
            <w:r w:rsidRPr="00492E78">
              <w:rPr>
                <w:rFonts w:ascii="Times New Roman" w:hAnsi="Times New Roman"/>
                <w:color w:val="000000"/>
              </w:rPr>
              <w:t>04 Aplinkos gerinimo programa(4 priedas).</w:t>
            </w:r>
          </w:p>
          <w:p w:rsidR="00492E78" w:rsidRPr="00492E78" w:rsidRDefault="00492E78" w:rsidP="00492E78">
            <w:pPr>
              <w:ind w:left="426"/>
              <w:jc w:val="both"/>
              <w:rPr>
                <w:rFonts w:ascii="Times New Roman" w:hAnsi="Times New Roman"/>
                <w:color w:val="000000"/>
              </w:rPr>
            </w:pPr>
            <w:r w:rsidRPr="00492E78">
              <w:rPr>
                <w:rFonts w:ascii="Times New Roman" w:hAnsi="Times New Roman"/>
                <w:color w:val="000000"/>
              </w:rPr>
              <w:t xml:space="preserve">06 Socialinės paramos plėtojimo ir visuomenės </w:t>
            </w:r>
            <w:proofErr w:type="spellStart"/>
            <w:r w:rsidRPr="00492E78">
              <w:rPr>
                <w:rFonts w:ascii="Times New Roman" w:hAnsi="Times New Roman"/>
                <w:color w:val="000000"/>
              </w:rPr>
              <w:t>sveikatinimo</w:t>
            </w:r>
            <w:proofErr w:type="spellEnd"/>
            <w:r w:rsidRPr="00492E78">
              <w:rPr>
                <w:rFonts w:ascii="Times New Roman" w:hAnsi="Times New Roman"/>
                <w:color w:val="000000"/>
              </w:rPr>
              <w:t xml:space="preserve"> programa</w:t>
            </w:r>
            <w:r>
              <w:rPr>
                <w:rFonts w:ascii="Times New Roman" w:hAnsi="Times New Roman"/>
                <w:color w:val="000000"/>
              </w:rPr>
              <w:t xml:space="preserve"> </w:t>
            </w:r>
            <w:r w:rsidRPr="00492E78">
              <w:rPr>
                <w:rFonts w:ascii="Times New Roman" w:hAnsi="Times New Roman"/>
                <w:color w:val="000000"/>
              </w:rPr>
              <w:t>(6 priedas).</w:t>
            </w:r>
          </w:p>
          <w:p w:rsidR="00492E78" w:rsidRPr="00492E78" w:rsidRDefault="00492E78" w:rsidP="00492E78">
            <w:pPr>
              <w:ind w:left="426"/>
              <w:jc w:val="both"/>
              <w:rPr>
                <w:rFonts w:ascii="Times New Roman" w:hAnsi="Times New Roman"/>
                <w:color w:val="000000"/>
              </w:rPr>
            </w:pPr>
            <w:r w:rsidRPr="00492E78">
              <w:rPr>
                <w:rFonts w:ascii="Times New Roman" w:hAnsi="Times New Roman"/>
                <w:color w:val="000000"/>
              </w:rPr>
              <w:t xml:space="preserve">Tikslo pasiekimo vertinimo (efekto) kriterijus: </w:t>
            </w:r>
          </w:p>
          <w:p w:rsidR="00492E78" w:rsidRPr="00492E78" w:rsidRDefault="00492E78" w:rsidP="00492E78">
            <w:pPr>
              <w:ind w:left="426"/>
              <w:jc w:val="both"/>
              <w:rPr>
                <w:rFonts w:ascii="Times New Roman" w:hAnsi="Times New Roman"/>
                <w:color w:val="000000"/>
              </w:rPr>
            </w:pPr>
            <w:r w:rsidRPr="00492E78">
              <w:rPr>
                <w:rFonts w:ascii="Times New Roman" w:hAnsi="Times New Roman"/>
                <w:color w:val="000000"/>
              </w:rPr>
              <w:t>E-02-01 Apsilankymų poliklinikose ir ambulatorijose skaičius, tūkst. (lyginant su praėjusiais metais).</w:t>
            </w:r>
          </w:p>
          <w:p w:rsidR="00E72742" w:rsidRPr="00E72742" w:rsidRDefault="00492E78" w:rsidP="00492E78">
            <w:pPr>
              <w:ind w:left="426"/>
              <w:jc w:val="both"/>
              <w:rPr>
                <w:rFonts w:ascii="Times New Roman" w:hAnsi="Times New Roman"/>
                <w:color w:val="000000"/>
              </w:rPr>
            </w:pPr>
            <w:r w:rsidRPr="00492E78">
              <w:rPr>
                <w:rFonts w:ascii="Times New Roman" w:hAnsi="Times New Roman"/>
                <w:color w:val="000000"/>
              </w:rPr>
              <w:t>E-02-02 Socialinėms paslaugoms tenkančių lėšų dalis nuo bendro programos biudžeto, proc.</w:t>
            </w:r>
          </w:p>
        </w:tc>
      </w:tr>
      <w:tr w:rsidR="00437E77" w:rsidRPr="006C5EA9" w:rsidTr="009139FB">
        <w:trPr>
          <w:trHeight w:val="335"/>
        </w:trPr>
        <w:tc>
          <w:tcPr>
            <w:tcW w:w="1980" w:type="dxa"/>
            <w:tcBorders>
              <w:top w:val="nil"/>
            </w:tcBorders>
            <w:shd w:val="clear" w:color="auto" w:fill="FFE599" w:themeFill="accent4" w:themeFillTint="66"/>
          </w:tcPr>
          <w:p w:rsidR="00437E77" w:rsidRPr="00E72742" w:rsidRDefault="00437E77" w:rsidP="00AD5134">
            <w:pPr>
              <w:tabs>
                <w:tab w:val="left" w:pos="900"/>
                <w:tab w:val="left" w:pos="1260"/>
              </w:tabs>
              <w:ind w:left="426"/>
              <w:jc w:val="both"/>
              <w:rPr>
                <w:rFonts w:ascii="Times New Roman" w:hAnsi="Times New Roman"/>
                <w:b/>
                <w:color w:val="000000"/>
              </w:rPr>
            </w:pPr>
            <w:r w:rsidRPr="00E72742">
              <w:rPr>
                <w:rFonts w:ascii="Times New Roman" w:hAnsi="Times New Roman"/>
                <w:b/>
                <w:color w:val="000000"/>
              </w:rPr>
              <w:t>03</w:t>
            </w:r>
          </w:p>
        </w:tc>
        <w:tc>
          <w:tcPr>
            <w:tcW w:w="7546" w:type="dxa"/>
            <w:tcBorders>
              <w:top w:val="nil"/>
            </w:tcBorders>
            <w:shd w:val="clear" w:color="auto" w:fill="FFE599" w:themeFill="accent4" w:themeFillTint="66"/>
          </w:tcPr>
          <w:p w:rsidR="00437E77" w:rsidRPr="00E72742" w:rsidRDefault="00437E77" w:rsidP="00A71540">
            <w:pPr>
              <w:tabs>
                <w:tab w:val="left" w:pos="900"/>
                <w:tab w:val="left" w:pos="1260"/>
              </w:tabs>
              <w:jc w:val="both"/>
              <w:rPr>
                <w:rFonts w:ascii="Times New Roman" w:hAnsi="Times New Roman"/>
                <w:b/>
                <w:color w:val="000000"/>
              </w:rPr>
            </w:pPr>
            <w:r w:rsidRPr="00492E78">
              <w:rPr>
                <w:rFonts w:ascii="Times New Roman" w:hAnsi="Times New Roman"/>
                <w:b/>
                <w:color w:val="000000"/>
              </w:rPr>
              <w:t>Didinti Kazlų Rūdos savivaldybės valdymo kokybę</w:t>
            </w:r>
          </w:p>
        </w:tc>
      </w:tr>
      <w:tr w:rsidR="00E72742" w:rsidRPr="006C5EA9" w:rsidTr="009139FB">
        <w:trPr>
          <w:trHeight w:val="1910"/>
        </w:trPr>
        <w:tc>
          <w:tcPr>
            <w:tcW w:w="9526" w:type="dxa"/>
            <w:gridSpan w:val="2"/>
            <w:tcBorders>
              <w:bottom w:val="single" w:sz="4" w:space="0" w:color="auto"/>
            </w:tcBorders>
            <w:shd w:val="clear" w:color="auto" w:fill="FFF2CC" w:themeFill="accent4" w:themeFillTint="33"/>
          </w:tcPr>
          <w:p w:rsidR="00E72742" w:rsidRPr="00E72742" w:rsidRDefault="00E72742" w:rsidP="00AD5134">
            <w:pPr>
              <w:tabs>
                <w:tab w:val="left" w:pos="900"/>
                <w:tab w:val="left" w:pos="1260"/>
              </w:tabs>
              <w:ind w:left="426"/>
              <w:jc w:val="both"/>
              <w:rPr>
                <w:rFonts w:ascii="Times New Roman" w:hAnsi="Times New Roman"/>
                <w:b/>
                <w:color w:val="000000"/>
              </w:rPr>
            </w:pPr>
            <w:r w:rsidRPr="00E72742">
              <w:rPr>
                <w:rFonts w:ascii="Times New Roman" w:hAnsi="Times New Roman"/>
                <w:b/>
                <w:color w:val="000000"/>
              </w:rPr>
              <w:t>Tikslo aprašymas ir tikslo pasiekimo vertinimo (efekto) kriterijai:</w:t>
            </w:r>
          </w:p>
          <w:p w:rsidR="00E72742" w:rsidRDefault="00E72742" w:rsidP="00AD5134">
            <w:pPr>
              <w:tabs>
                <w:tab w:val="left" w:pos="900"/>
                <w:tab w:val="left" w:pos="1260"/>
              </w:tabs>
              <w:ind w:left="426"/>
              <w:jc w:val="both"/>
              <w:rPr>
                <w:rFonts w:ascii="Times New Roman" w:hAnsi="Times New Roman"/>
                <w:color w:val="000000"/>
              </w:rPr>
            </w:pPr>
            <w:r w:rsidRPr="00E72742">
              <w:rPr>
                <w:rFonts w:ascii="Times New Roman" w:hAnsi="Times New Roman"/>
                <w:color w:val="000000"/>
              </w:rPr>
              <w:t>Įgyvendinant šį tikslą vykdomos programos:</w:t>
            </w:r>
          </w:p>
          <w:p w:rsidR="00437E77" w:rsidRPr="00437E77" w:rsidRDefault="00437E77" w:rsidP="00437E77">
            <w:pPr>
              <w:ind w:left="426"/>
              <w:jc w:val="both"/>
              <w:rPr>
                <w:rFonts w:ascii="Times New Roman" w:hAnsi="Times New Roman"/>
                <w:color w:val="000000"/>
              </w:rPr>
            </w:pPr>
            <w:r w:rsidRPr="00437E77">
              <w:rPr>
                <w:rFonts w:ascii="Times New Roman" w:hAnsi="Times New Roman"/>
                <w:color w:val="000000"/>
              </w:rPr>
              <w:t>05 Savivaldybės veiklos programa</w:t>
            </w:r>
            <w:r>
              <w:rPr>
                <w:rFonts w:ascii="Times New Roman" w:hAnsi="Times New Roman"/>
                <w:color w:val="000000"/>
              </w:rPr>
              <w:t xml:space="preserve"> </w:t>
            </w:r>
            <w:r w:rsidRPr="00437E77">
              <w:rPr>
                <w:rFonts w:ascii="Times New Roman" w:hAnsi="Times New Roman"/>
                <w:color w:val="000000"/>
              </w:rPr>
              <w:t>(5 priedas).</w:t>
            </w:r>
          </w:p>
          <w:p w:rsidR="00437E77" w:rsidRPr="00437E77" w:rsidRDefault="00437E77" w:rsidP="00437E77">
            <w:pPr>
              <w:ind w:left="426"/>
              <w:jc w:val="both"/>
              <w:rPr>
                <w:rFonts w:ascii="Times New Roman" w:hAnsi="Times New Roman"/>
                <w:color w:val="000000"/>
              </w:rPr>
            </w:pPr>
            <w:r w:rsidRPr="00437E77">
              <w:rPr>
                <w:rFonts w:ascii="Times New Roman" w:hAnsi="Times New Roman"/>
                <w:color w:val="000000"/>
              </w:rPr>
              <w:t xml:space="preserve">Tikslo pasiekimo vertinimo (efekto) kriterijai: </w:t>
            </w:r>
          </w:p>
          <w:p w:rsidR="00E72742" w:rsidRPr="00E72742" w:rsidRDefault="00437E77" w:rsidP="00437E77">
            <w:pPr>
              <w:tabs>
                <w:tab w:val="left" w:pos="900"/>
                <w:tab w:val="left" w:pos="1260"/>
              </w:tabs>
              <w:ind w:left="426"/>
              <w:jc w:val="both"/>
              <w:rPr>
                <w:rFonts w:ascii="Times New Roman" w:hAnsi="Times New Roman"/>
                <w:color w:val="000000"/>
              </w:rPr>
            </w:pPr>
            <w:r w:rsidRPr="00437E77">
              <w:rPr>
                <w:rFonts w:ascii="Times New Roman" w:hAnsi="Times New Roman"/>
                <w:color w:val="000000"/>
              </w:rPr>
              <w:t>E-03-01 Gyventojų, patenkintų savivaldybės administracijos darbu, procentas (internetinė apklausa)</w:t>
            </w:r>
          </w:p>
        </w:tc>
      </w:tr>
    </w:tbl>
    <w:p w:rsidR="004500A8" w:rsidRDefault="004500A8" w:rsidP="00AD5134">
      <w:pPr>
        <w:ind w:left="426"/>
        <w:rPr>
          <w:b/>
        </w:rPr>
      </w:pPr>
    </w:p>
    <w:p w:rsidR="00A71540" w:rsidRDefault="00A71540" w:rsidP="00AD5134">
      <w:pPr>
        <w:ind w:left="426"/>
        <w:jc w:val="right"/>
        <w:rPr>
          <w:rFonts w:ascii="Times New Roman" w:hAnsi="Times New Roman"/>
        </w:rPr>
      </w:pPr>
    </w:p>
    <w:p w:rsidR="00A71540" w:rsidRDefault="00A71540" w:rsidP="00AD5134">
      <w:pPr>
        <w:ind w:left="426"/>
        <w:jc w:val="right"/>
        <w:rPr>
          <w:rFonts w:ascii="Times New Roman" w:hAnsi="Times New Roman"/>
        </w:rPr>
      </w:pPr>
    </w:p>
    <w:p w:rsidR="00A71540" w:rsidRDefault="00A71540" w:rsidP="00AD5134">
      <w:pPr>
        <w:ind w:left="426"/>
        <w:jc w:val="right"/>
        <w:rPr>
          <w:rFonts w:ascii="Times New Roman" w:hAnsi="Times New Roman"/>
        </w:rPr>
      </w:pPr>
    </w:p>
    <w:sectPr w:rsidR="00A71540" w:rsidSect="00E46760">
      <w:footerReference w:type="default" r:id="rId21"/>
      <w:pgSz w:w="11906" w:h="16838"/>
      <w:pgMar w:top="993" w:right="707" w:bottom="142" w:left="1276" w:header="567" w:footer="567" w:gutter="0"/>
      <w:pgNumType w:start="1"/>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F04" w:rsidRDefault="00613F04" w:rsidP="00E20186">
      <w:r>
        <w:separator/>
      </w:r>
    </w:p>
  </w:endnote>
  <w:endnote w:type="continuationSeparator" w:id="0">
    <w:p w:rsidR="00613F04" w:rsidRDefault="00613F04" w:rsidP="00E2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BA"/>
    <w:family w:val="swiss"/>
    <w:pitch w:val="variable"/>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LT">
    <w:altName w:val="Courier New"/>
    <w:charset w:val="00"/>
    <w:family w:val="roman"/>
    <w:pitch w:val="variable"/>
    <w:sig w:usb0="00000003" w:usb1="00000000" w:usb2="00000000" w:usb3="00000000" w:csb0="00000001"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3E4" w:rsidRDefault="00C513E4">
    <w:pPr>
      <w:pStyle w:val="Footer"/>
    </w:pPr>
  </w:p>
  <w:p w:rsidR="00C513E4" w:rsidRDefault="00C51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F04" w:rsidRDefault="00613F04" w:rsidP="00E20186">
      <w:r>
        <w:separator/>
      </w:r>
    </w:p>
  </w:footnote>
  <w:footnote w:type="continuationSeparator" w:id="0">
    <w:p w:rsidR="00613F04" w:rsidRDefault="00613F04" w:rsidP="00E20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C6555"/>
    <w:multiLevelType w:val="hybridMultilevel"/>
    <w:tmpl w:val="85AA5F1A"/>
    <w:lvl w:ilvl="0" w:tplc="2118ED2E">
      <w:start w:val="1"/>
      <w:numFmt w:val="bullet"/>
      <w:lvlText w:val="•"/>
      <w:lvlJc w:val="left"/>
      <w:pPr>
        <w:tabs>
          <w:tab w:val="num" w:pos="720"/>
        </w:tabs>
        <w:ind w:left="720" w:hanging="360"/>
      </w:pPr>
      <w:rPr>
        <w:rFonts w:ascii="Arial" w:hAnsi="Arial" w:hint="default"/>
      </w:rPr>
    </w:lvl>
    <w:lvl w:ilvl="1" w:tplc="919CA3E0" w:tentative="1">
      <w:start w:val="1"/>
      <w:numFmt w:val="bullet"/>
      <w:lvlText w:val="•"/>
      <w:lvlJc w:val="left"/>
      <w:pPr>
        <w:tabs>
          <w:tab w:val="num" w:pos="1440"/>
        </w:tabs>
        <w:ind w:left="1440" w:hanging="360"/>
      </w:pPr>
      <w:rPr>
        <w:rFonts w:ascii="Arial" w:hAnsi="Arial" w:hint="default"/>
      </w:rPr>
    </w:lvl>
    <w:lvl w:ilvl="2" w:tplc="738E9238" w:tentative="1">
      <w:start w:val="1"/>
      <w:numFmt w:val="bullet"/>
      <w:lvlText w:val="•"/>
      <w:lvlJc w:val="left"/>
      <w:pPr>
        <w:tabs>
          <w:tab w:val="num" w:pos="2160"/>
        </w:tabs>
        <w:ind w:left="2160" w:hanging="360"/>
      </w:pPr>
      <w:rPr>
        <w:rFonts w:ascii="Arial" w:hAnsi="Arial" w:hint="default"/>
      </w:rPr>
    </w:lvl>
    <w:lvl w:ilvl="3" w:tplc="02A4CDCE" w:tentative="1">
      <w:start w:val="1"/>
      <w:numFmt w:val="bullet"/>
      <w:lvlText w:val="•"/>
      <w:lvlJc w:val="left"/>
      <w:pPr>
        <w:tabs>
          <w:tab w:val="num" w:pos="2880"/>
        </w:tabs>
        <w:ind w:left="2880" w:hanging="360"/>
      </w:pPr>
      <w:rPr>
        <w:rFonts w:ascii="Arial" w:hAnsi="Arial" w:hint="default"/>
      </w:rPr>
    </w:lvl>
    <w:lvl w:ilvl="4" w:tplc="009CD358" w:tentative="1">
      <w:start w:val="1"/>
      <w:numFmt w:val="bullet"/>
      <w:lvlText w:val="•"/>
      <w:lvlJc w:val="left"/>
      <w:pPr>
        <w:tabs>
          <w:tab w:val="num" w:pos="3600"/>
        </w:tabs>
        <w:ind w:left="3600" w:hanging="360"/>
      </w:pPr>
      <w:rPr>
        <w:rFonts w:ascii="Arial" w:hAnsi="Arial" w:hint="default"/>
      </w:rPr>
    </w:lvl>
    <w:lvl w:ilvl="5" w:tplc="9424D6AC" w:tentative="1">
      <w:start w:val="1"/>
      <w:numFmt w:val="bullet"/>
      <w:lvlText w:val="•"/>
      <w:lvlJc w:val="left"/>
      <w:pPr>
        <w:tabs>
          <w:tab w:val="num" w:pos="4320"/>
        </w:tabs>
        <w:ind w:left="4320" w:hanging="360"/>
      </w:pPr>
      <w:rPr>
        <w:rFonts w:ascii="Arial" w:hAnsi="Arial" w:hint="default"/>
      </w:rPr>
    </w:lvl>
    <w:lvl w:ilvl="6" w:tplc="07267FBA" w:tentative="1">
      <w:start w:val="1"/>
      <w:numFmt w:val="bullet"/>
      <w:lvlText w:val="•"/>
      <w:lvlJc w:val="left"/>
      <w:pPr>
        <w:tabs>
          <w:tab w:val="num" w:pos="5040"/>
        </w:tabs>
        <w:ind w:left="5040" w:hanging="360"/>
      </w:pPr>
      <w:rPr>
        <w:rFonts w:ascii="Arial" w:hAnsi="Arial" w:hint="default"/>
      </w:rPr>
    </w:lvl>
    <w:lvl w:ilvl="7" w:tplc="8ACC5626" w:tentative="1">
      <w:start w:val="1"/>
      <w:numFmt w:val="bullet"/>
      <w:lvlText w:val="•"/>
      <w:lvlJc w:val="left"/>
      <w:pPr>
        <w:tabs>
          <w:tab w:val="num" w:pos="5760"/>
        </w:tabs>
        <w:ind w:left="5760" w:hanging="360"/>
      </w:pPr>
      <w:rPr>
        <w:rFonts w:ascii="Arial" w:hAnsi="Arial" w:hint="default"/>
      </w:rPr>
    </w:lvl>
    <w:lvl w:ilvl="8" w:tplc="7DE419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A56C8D"/>
    <w:multiLevelType w:val="hybridMultilevel"/>
    <w:tmpl w:val="33C6978C"/>
    <w:lvl w:ilvl="0" w:tplc="58DA1736">
      <w:start w:val="1"/>
      <w:numFmt w:val="bullet"/>
      <w:lvlText w:val="•"/>
      <w:lvlJc w:val="left"/>
      <w:pPr>
        <w:tabs>
          <w:tab w:val="num" w:pos="720"/>
        </w:tabs>
        <w:ind w:left="720" w:hanging="360"/>
      </w:pPr>
      <w:rPr>
        <w:rFonts w:ascii="Arial" w:hAnsi="Arial" w:hint="default"/>
      </w:rPr>
    </w:lvl>
    <w:lvl w:ilvl="1" w:tplc="B052CA54" w:tentative="1">
      <w:start w:val="1"/>
      <w:numFmt w:val="bullet"/>
      <w:lvlText w:val="•"/>
      <w:lvlJc w:val="left"/>
      <w:pPr>
        <w:tabs>
          <w:tab w:val="num" w:pos="1440"/>
        </w:tabs>
        <w:ind w:left="1440" w:hanging="360"/>
      </w:pPr>
      <w:rPr>
        <w:rFonts w:ascii="Arial" w:hAnsi="Arial" w:hint="default"/>
      </w:rPr>
    </w:lvl>
    <w:lvl w:ilvl="2" w:tplc="7FEE3656" w:tentative="1">
      <w:start w:val="1"/>
      <w:numFmt w:val="bullet"/>
      <w:lvlText w:val="•"/>
      <w:lvlJc w:val="left"/>
      <w:pPr>
        <w:tabs>
          <w:tab w:val="num" w:pos="2160"/>
        </w:tabs>
        <w:ind w:left="2160" w:hanging="360"/>
      </w:pPr>
      <w:rPr>
        <w:rFonts w:ascii="Arial" w:hAnsi="Arial" w:hint="default"/>
      </w:rPr>
    </w:lvl>
    <w:lvl w:ilvl="3" w:tplc="FF2CE46A" w:tentative="1">
      <w:start w:val="1"/>
      <w:numFmt w:val="bullet"/>
      <w:lvlText w:val="•"/>
      <w:lvlJc w:val="left"/>
      <w:pPr>
        <w:tabs>
          <w:tab w:val="num" w:pos="2880"/>
        </w:tabs>
        <w:ind w:left="2880" w:hanging="360"/>
      </w:pPr>
      <w:rPr>
        <w:rFonts w:ascii="Arial" w:hAnsi="Arial" w:hint="default"/>
      </w:rPr>
    </w:lvl>
    <w:lvl w:ilvl="4" w:tplc="66C64DC8" w:tentative="1">
      <w:start w:val="1"/>
      <w:numFmt w:val="bullet"/>
      <w:lvlText w:val="•"/>
      <w:lvlJc w:val="left"/>
      <w:pPr>
        <w:tabs>
          <w:tab w:val="num" w:pos="3600"/>
        </w:tabs>
        <w:ind w:left="3600" w:hanging="360"/>
      </w:pPr>
      <w:rPr>
        <w:rFonts w:ascii="Arial" w:hAnsi="Arial" w:hint="default"/>
      </w:rPr>
    </w:lvl>
    <w:lvl w:ilvl="5" w:tplc="7D524858" w:tentative="1">
      <w:start w:val="1"/>
      <w:numFmt w:val="bullet"/>
      <w:lvlText w:val="•"/>
      <w:lvlJc w:val="left"/>
      <w:pPr>
        <w:tabs>
          <w:tab w:val="num" w:pos="4320"/>
        </w:tabs>
        <w:ind w:left="4320" w:hanging="360"/>
      </w:pPr>
      <w:rPr>
        <w:rFonts w:ascii="Arial" w:hAnsi="Arial" w:hint="default"/>
      </w:rPr>
    </w:lvl>
    <w:lvl w:ilvl="6" w:tplc="B3A65B4A" w:tentative="1">
      <w:start w:val="1"/>
      <w:numFmt w:val="bullet"/>
      <w:lvlText w:val="•"/>
      <w:lvlJc w:val="left"/>
      <w:pPr>
        <w:tabs>
          <w:tab w:val="num" w:pos="5040"/>
        </w:tabs>
        <w:ind w:left="5040" w:hanging="360"/>
      </w:pPr>
      <w:rPr>
        <w:rFonts w:ascii="Arial" w:hAnsi="Arial" w:hint="default"/>
      </w:rPr>
    </w:lvl>
    <w:lvl w:ilvl="7" w:tplc="AD2AB4B4" w:tentative="1">
      <w:start w:val="1"/>
      <w:numFmt w:val="bullet"/>
      <w:lvlText w:val="•"/>
      <w:lvlJc w:val="left"/>
      <w:pPr>
        <w:tabs>
          <w:tab w:val="num" w:pos="5760"/>
        </w:tabs>
        <w:ind w:left="5760" w:hanging="360"/>
      </w:pPr>
      <w:rPr>
        <w:rFonts w:ascii="Arial" w:hAnsi="Arial" w:hint="default"/>
      </w:rPr>
    </w:lvl>
    <w:lvl w:ilvl="8" w:tplc="FDFA0D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FA04B8"/>
    <w:multiLevelType w:val="hybridMultilevel"/>
    <w:tmpl w:val="62A02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2A5398"/>
    <w:multiLevelType w:val="hybridMultilevel"/>
    <w:tmpl w:val="AE9651EA"/>
    <w:lvl w:ilvl="0" w:tplc="0427000F">
      <w:start w:val="1"/>
      <w:numFmt w:val="decimal"/>
      <w:lvlText w:val="%1."/>
      <w:lvlJc w:val="left"/>
      <w:pPr>
        <w:ind w:left="720" w:hanging="360"/>
      </w:pPr>
      <w:rPr>
        <w:rFonts w:hint="default"/>
        <w:color w:val="auto"/>
        <w:u w:val="none"/>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0" w:nlCheck="1" w:checkStyle="0"/>
  <w:activeWritingStyle w:appName="MSWord" w:lang="en-US" w:vendorID="64" w:dllVersion="0" w:nlCheck="1" w:checkStyle="1"/>
  <w:activeWritingStyle w:appName="MSWord" w:lang="en-US" w:vendorID="64" w:dllVersion="131078" w:nlCheck="1" w:checkStyle="1"/>
  <w:proofState w:spelling="clean" w:grammar="clean"/>
  <w:defaultTabStop w:val="1298"/>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13"/>
    <w:rsid w:val="00004DD7"/>
    <w:rsid w:val="0001124F"/>
    <w:rsid w:val="00013EA4"/>
    <w:rsid w:val="00014866"/>
    <w:rsid w:val="0002056B"/>
    <w:rsid w:val="00021C39"/>
    <w:rsid w:val="0004565D"/>
    <w:rsid w:val="00053F62"/>
    <w:rsid w:val="00056D81"/>
    <w:rsid w:val="00056FAE"/>
    <w:rsid w:val="000602E1"/>
    <w:rsid w:val="0007148D"/>
    <w:rsid w:val="00072266"/>
    <w:rsid w:val="0008076C"/>
    <w:rsid w:val="000956DF"/>
    <w:rsid w:val="0009667B"/>
    <w:rsid w:val="000B0F0F"/>
    <w:rsid w:val="000B14ED"/>
    <w:rsid w:val="000C2EC3"/>
    <w:rsid w:val="000F6A82"/>
    <w:rsid w:val="0010117B"/>
    <w:rsid w:val="0011080E"/>
    <w:rsid w:val="00111156"/>
    <w:rsid w:val="0012448A"/>
    <w:rsid w:val="00132A95"/>
    <w:rsid w:val="00133744"/>
    <w:rsid w:val="00140C28"/>
    <w:rsid w:val="001417AC"/>
    <w:rsid w:val="0014356F"/>
    <w:rsid w:val="001458D5"/>
    <w:rsid w:val="0015429E"/>
    <w:rsid w:val="0015778B"/>
    <w:rsid w:val="00163FAD"/>
    <w:rsid w:val="00166551"/>
    <w:rsid w:val="00173EA4"/>
    <w:rsid w:val="001749BA"/>
    <w:rsid w:val="00176590"/>
    <w:rsid w:val="00181D25"/>
    <w:rsid w:val="00184FFF"/>
    <w:rsid w:val="001863A3"/>
    <w:rsid w:val="001911E6"/>
    <w:rsid w:val="00192018"/>
    <w:rsid w:val="00195BB0"/>
    <w:rsid w:val="001A2C35"/>
    <w:rsid w:val="001A65B8"/>
    <w:rsid w:val="001B15E2"/>
    <w:rsid w:val="001B452A"/>
    <w:rsid w:val="001C4BAF"/>
    <w:rsid w:val="001D0B67"/>
    <w:rsid w:val="001D28C9"/>
    <w:rsid w:val="001D4C60"/>
    <w:rsid w:val="001E4489"/>
    <w:rsid w:val="001F07AA"/>
    <w:rsid w:val="001F2C55"/>
    <w:rsid w:val="001F380C"/>
    <w:rsid w:val="001F66EF"/>
    <w:rsid w:val="001F6A78"/>
    <w:rsid w:val="002053BD"/>
    <w:rsid w:val="00212903"/>
    <w:rsid w:val="00222B84"/>
    <w:rsid w:val="00232FBB"/>
    <w:rsid w:val="002541AE"/>
    <w:rsid w:val="0025625F"/>
    <w:rsid w:val="0025771E"/>
    <w:rsid w:val="00277095"/>
    <w:rsid w:val="002772FF"/>
    <w:rsid w:val="00280290"/>
    <w:rsid w:val="002809E2"/>
    <w:rsid w:val="00283776"/>
    <w:rsid w:val="00283E13"/>
    <w:rsid w:val="002922E6"/>
    <w:rsid w:val="002932B3"/>
    <w:rsid w:val="002A2F18"/>
    <w:rsid w:val="002A6BC4"/>
    <w:rsid w:val="002A7094"/>
    <w:rsid w:val="002B2D89"/>
    <w:rsid w:val="002C01B7"/>
    <w:rsid w:val="002C28E2"/>
    <w:rsid w:val="002C51DF"/>
    <w:rsid w:val="002C6F3D"/>
    <w:rsid w:val="002D1167"/>
    <w:rsid w:val="002E2371"/>
    <w:rsid w:val="002E456D"/>
    <w:rsid w:val="002F641B"/>
    <w:rsid w:val="003000A6"/>
    <w:rsid w:val="00301E09"/>
    <w:rsid w:val="0030201E"/>
    <w:rsid w:val="00320D53"/>
    <w:rsid w:val="00327FF4"/>
    <w:rsid w:val="003325CA"/>
    <w:rsid w:val="00350DBD"/>
    <w:rsid w:val="00355633"/>
    <w:rsid w:val="003607F2"/>
    <w:rsid w:val="00363E9E"/>
    <w:rsid w:val="003831F7"/>
    <w:rsid w:val="003877F3"/>
    <w:rsid w:val="003963D1"/>
    <w:rsid w:val="003A5E95"/>
    <w:rsid w:val="003B0FAB"/>
    <w:rsid w:val="003B1F31"/>
    <w:rsid w:val="003B41C8"/>
    <w:rsid w:val="003C6A19"/>
    <w:rsid w:val="003D583D"/>
    <w:rsid w:val="003F0767"/>
    <w:rsid w:val="004053FF"/>
    <w:rsid w:val="00436BF9"/>
    <w:rsid w:val="00437E77"/>
    <w:rsid w:val="004500A8"/>
    <w:rsid w:val="0045312D"/>
    <w:rsid w:val="00461C18"/>
    <w:rsid w:val="00466796"/>
    <w:rsid w:val="004744C3"/>
    <w:rsid w:val="00475492"/>
    <w:rsid w:val="004759B2"/>
    <w:rsid w:val="00477241"/>
    <w:rsid w:val="00487572"/>
    <w:rsid w:val="00492E78"/>
    <w:rsid w:val="00496244"/>
    <w:rsid w:val="00497F1E"/>
    <w:rsid w:val="004A6199"/>
    <w:rsid w:val="004B69EB"/>
    <w:rsid w:val="004C57EB"/>
    <w:rsid w:val="004C6056"/>
    <w:rsid w:val="004D5AF6"/>
    <w:rsid w:val="004D7487"/>
    <w:rsid w:val="004F364B"/>
    <w:rsid w:val="004F429B"/>
    <w:rsid w:val="004F5D93"/>
    <w:rsid w:val="0050523A"/>
    <w:rsid w:val="00510BAE"/>
    <w:rsid w:val="0052353E"/>
    <w:rsid w:val="005270BA"/>
    <w:rsid w:val="00544EAE"/>
    <w:rsid w:val="00547BD5"/>
    <w:rsid w:val="00557A85"/>
    <w:rsid w:val="00560FA6"/>
    <w:rsid w:val="00572C06"/>
    <w:rsid w:val="00580CF7"/>
    <w:rsid w:val="00582D69"/>
    <w:rsid w:val="00586C1B"/>
    <w:rsid w:val="005917F9"/>
    <w:rsid w:val="00592406"/>
    <w:rsid w:val="00592A3E"/>
    <w:rsid w:val="005B499A"/>
    <w:rsid w:val="005C2954"/>
    <w:rsid w:val="005C645E"/>
    <w:rsid w:val="005D4D1F"/>
    <w:rsid w:val="005E2138"/>
    <w:rsid w:val="005E45A9"/>
    <w:rsid w:val="005F5B42"/>
    <w:rsid w:val="00610295"/>
    <w:rsid w:val="006135E3"/>
    <w:rsid w:val="00613F04"/>
    <w:rsid w:val="00620BF6"/>
    <w:rsid w:val="00620CF0"/>
    <w:rsid w:val="006217C7"/>
    <w:rsid w:val="00630898"/>
    <w:rsid w:val="00632594"/>
    <w:rsid w:val="006358A1"/>
    <w:rsid w:val="00654643"/>
    <w:rsid w:val="00663109"/>
    <w:rsid w:val="00676D0D"/>
    <w:rsid w:val="00686556"/>
    <w:rsid w:val="00693213"/>
    <w:rsid w:val="006A0DE7"/>
    <w:rsid w:val="006A2018"/>
    <w:rsid w:val="006B03D9"/>
    <w:rsid w:val="006B1600"/>
    <w:rsid w:val="006D005B"/>
    <w:rsid w:val="006D2102"/>
    <w:rsid w:val="006E35F3"/>
    <w:rsid w:val="006F0DB1"/>
    <w:rsid w:val="006F206B"/>
    <w:rsid w:val="00701398"/>
    <w:rsid w:val="00701FAD"/>
    <w:rsid w:val="007040BF"/>
    <w:rsid w:val="00710437"/>
    <w:rsid w:val="00717290"/>
    <w:rsid w:val="007237A3"/>
    <w:rsid w:val="007343F3"/>
    <w:rsid w:val="00737A6E"/>
    <w:rsid w:val="00752794"/>
    <w:rsid w:val="007654D8"/>
    <w:rsid w:val="007710F5"/>
    <w:rsid w:val="00776273"/>
    <w:rsid w:val="00793FB8"/>
    <w:rsid w:val="00796084"/>
    <w:rsid w:val="00797FD4"/>
    <w:rsid w:val="007B05FE"/>
    <w:rsid w:val="007C5483"/>
    <w:rsid w:val="007D3230"/>
    <w:rsid w:val="007D6939"/>
    <w:rsid w:val="007E0835"/>
    <w:rsid w:val="007E564C"/>
    <w:rsid w:val="007E5AB0"/>
    <w:rsid w:val="007F0375"/>
    <w:rsid w:val="007F0436"/>
    <w:rsid w:val="007F5727"/>
    <w:rsid w:val="00801005"/>
    <w:rsid w:val="0080197E"/>
    <w:rsid w:val="00810661"/>
    <w:rsid w:val="00816D35"/>
    <w:rsid w:val="00831B70"/>
    <w:rsid w:val="00832C09"/>
    <w:rsid w:val="00833BE4"/>
    <w:rsid w:val="00837BB8"/>
    <w:rsid w:val="00844B2C"/>
    <w:rsid w:val="00851FEC"/>
    <w:rsid w:val="008520C2"/>
    <w:rsid w:val="008711A7"/>
    <w:rsid w:val="00873CCC"/>
    <w:rsid w:val="00880C45"/>
    <w:rsid w:val="00882CB5"/>
    <w:rsid w:val="008837E3"/>
    <w:rsid w:val="00891940"/>
    <w:rsid w:val="008B1C76"/>
    <w:rsid w:val="008B402A"/>
    <w:rsid w:val="008B437D"/>
    <w:rsid w:val="008D2D16"/>
    <w:rsid w:val="008D7EE0"/>
    <w:rsid w:val="008E0A48"/>
    <w:rsid w:val="008E63B0"/>
    <w:rsid w:val="008F0245"/>
    <w:rsid w:val="008F393D"/>
    <w:rsid w:val="008F4C19"/>
    <w:rsid w:val="008F6783"/>
    <w:rsid w:val="00913193"/>
    <w:rsid w:val="009139FB"/>
    <w:rsid w:val="00916305"/>
    <w:rsid w:val="00923CE0"/>
    <w:rsid w:val="0092439A"/>
    <w:rsid w:val="0092740E"/>
    <w:rsid w:val="009329EF"/>
    <w:rsid w:val="009434D7"/>
    <w:rsid w:val="00945CB9"/>
    <w:rsid w:val="009609D9"/>
    <w:rsid w:val="00960D1B"/>
    <w:rsid w:val="00964B50"/>
    <w:rsid w:val="00996C58"/>
    <w:rsid w:val="009A541D"/>
    <w:rsid w:val="009B15D8"/>
    <w:rsid w:val="009B54BA"/>
    <w:rsid w:val="009E171F"/>
    <w:rsid w:val="009F1369"/>
    <w:rsid w:val="00A016FF"/>
    <w:rsid w:val="00A342E2"/>
    <w:rsid w:val="00A37E41"/>
    <w:rsid w:val="00A403DC"/>
    <w:rsid w:val="00A408C3"/>
    <w:rsid w:val="00A46CD3"/>
    <w:rsid w:val="00A71540"/>
    <w:rsid w:val="00A8153F"/>
    <w:rsid w:val="00A82541"/>
    <w:rsid w:val="00A82543"/>
    <w:rsid w:val="00A8573E"/>
    <w:rsid w:val="00A94801"/>
    <w:rsid w:val="00A965C3"/>
    <w:rsid w:val="00AA21C0"/>
    <w:rsid w:val="00AA53EB"/>
    <w:rsid w:val="00AA5946"/>
    <w:rsid w:val="00AA7928"/>
    <w:rsid w:val="00AB7C64"/>
    <w:rsid w:val="00AC035F"/>
    <w:rsid w:val="00AC1FA6"/>
    <w:rsid w:val="00AC4DFE"/>
    <w:rsid w:val="00AD0DA0"/>
    <w:rsid w:val="00AD5134"/>
    <w:rsid w:val="00AD68D5"/>
    <w:rsid w:val="00AF20C8"/>
    <w:rsid w:val="00AF255D"/>
    <w:rsid w:val="00AF62D0"/>
    <w:rsid w:val="00AF63CB"/>
    <w:rsid w:val="00B03FEC"/>
    <w:rsid w:val="00B04DD5"/>
    <w:rsid w:val="00B05AEC"/>
    <w:rsid w:val="00B106B8"/>
    <w:rsid w:val="00B16CD5"/>
    <w:rsid w:val="00B24BCE"/>
    <w:rsid w:val="00B25728"/>
    <w:rsid w:val="00B279BF"/>
    <w:rsid w:val="00B31D29"/>
    <w:rsid w:val="00B3303C"/>
    <w:rsid w:val="00B36FA2"/>
    <w:rsid w:val="00B37943"/>
    <w:rsid w:val="00B40ABC"/>
    <w:rsid w:val="00B460B5"/>
    <w:rsid w:val="00B64B4E"/>
    <w:rsid w:val="00B65BA5"/>
    <w:rsid w:val="00B85736"/>
    <w:rsid w:val="00B91251"/>
    <w:rsid w:val="00B954F1"/>
    <w:rsid w:val="00B97A0C"/>
    <w:rsid w:val="00BA0EC3"/>
    <w:rsid w:val="00BA5BFE"/>
    <w:rsid w:val="00BB331F"/>
    <w:rsid w:val="00BB50FB"/>
    <w:rsid w:val="00BC6B49"/>
    <w:rsid w:val="00BD03DB"/>
    <w:rsid w:val="00BD1AF9"/>
    <w:rsid w:val="00BD607C"/>
    <w:rsid w:val="00C039F2"/>
    <w:rsid w:val="00C04A35"/>
    <w:rsid w:val="00C04BB8"/>
    <w:rsid w:val="00C11D68"/>
    <w:rsid w:val="00C175B2"/>
    <w:rsid w:val="00C2451C"/>
    <w:rsid w:val="00C30139"/>
    <w:rsid w:val="00C44889"/>
    <w:rsid w:val="00C513E4"/>
    <w:rsid w:val="00C51C13"/>
    <w:rsid w:val="00C5362C"/>
    <w:rsid w:val="00C5487A"/>
    <w:rsid w:val="00C573F6"/>
    <w:rsid w:val="00C64A50"/>
    <w:rsid w:val="00C65216"/>
    <w:rsid w:val="00C8078E"/>
    <w:rsid w:val="00C865D3"/>
    <w:rsid w:val="00C87AFC"/>
    <w:rsid w:val="00C90A64"/>
    <w:rsid w:val="00C91131"/>
    <w:rsid w:val="00CA3EEB"/>
    <w:rsid w:val="00CA6C58"/>
    <w:rsid w:val="00CA7217"/>
    <w:rsid w:val="00CB62A1"/>
    <w:rsid w:val="00CC46BB"/>
    <w:rsid w:val="00CD0DE1"/>
    <w:rsid w:val="00CD34AF"/>
    <w:rsid w:val="00CD5CFE"/>
    <w:rsid w:val="00CE0D11"/>
    <w:rsid w:val="00CE0D7B"/>
    <w:rsid w:val="00CE316F"/>
    <w:rsid w:val="00CE6BEA"/>
    <w:rsid w:val="00CF1581"/>
    <w:rsid w:val="00CF6AD6"/>
    <w:rsid w:val="00D03644"/>
    <w:rsid w:val="00D14070"/>
    <w:rsid w:val="00D27949"/>
    <w:rsid w:val="00D3748A"/>
    <w:rsid w:val="00D37C54"/>
    <w:rsid w:val="00D634CC"/>
    <w:rsid w:val="00D7654F"/>
    <w:rsid w:val="00D8096E"/>
    <w:rsid w:val="00D90EC6"/>
    <w:rsid w:val="00D91183"/>
    <w:rsid w:val="00DB6378"/>
    <w:rsid w:val="00DC37EE"/>
    <w:rsid w:val="00DC3A68"/>
    <w:rsid w:val="00DD084F"/>
    <w:rsid w:val="00DD3035"/>
    <w:rsid w:val="00DE064E"/>
    <w:rsid w:val="00DE2792"/>
    <w:rsid w:val="00DE371A"/>
    <w:rsid w:val="00DF0D6A"/>
    <w:rsid w:val="00E17ED4"/>
    <w:rsid w:val="00E20186"/>
    <w:rsid w:val="00E31C94"/>
    <w:rsid w:val="00E31DEB"/>
    <w:rsid w:val="00E37D0A"/>
    <w:rsid w:val="00E43A80"/>
    <w:rsid w:val="00E45C27"/>
    <w:rsid w:val="00E46760"/>
    <w:rsid w:val="00E46820"/>
    <w:rsid w:val="00E46BA0"/>
    <w:rsid w:val="00E47E8F"/>
    <w:rsid w:val="00E569ED"/>
    <w:rsid w:val="00E57815"/>
    <w:rsid w:val="00E707CD"/>
    <w:rsid w:val="00E712FF"/>
    <w:rsid w:val="00E71E6E"/>
    <w:rsid w:val="00E72742"/>
    <w:rsid w:val="00E73613"/>
    <w:rsid w:val="00E741A9"/>
    <w:rsid w:val="00E829F4"/>
    <w:rsid w:val="00EA3657"/>
    <w:rsid w:val="00EB52E2"/>
    <w:rsid w:val="00EB70AE"/>
    <w:rsid w:val="00EC2607"/>
    <w:rsid w:val="00EC6BA3"/>
    <w:rsid w:val="00ED1A9E"/>
    <w:rsid w:val="00ED7EE6"/>
    <w:rsid w:val="00EE3F34"/>
    <w:rsid w:val="00EE67F9"/>
    <w:rsid w:val="00EF0759"/>
    <w:rsid w:val="00EF1AC7"/>
    <w:rsid w:val="00EF2CC3"/>
    <w:rsid w:val="00EF31EC"/>
    <w:rsid w:val="00F07F55"/>
    <w:rsid w:val="00F11CB7"/>
    <w:rsid w:val="00F2202C"/>
    <w:rsid w:val="00F25346"/>
    <w:rsid w:val="00F30BA5"/>
    <w:rsid w:val="00F333B3"/>
    <w:rsid w:val="00F35980"/>
    <w:rsid w:val="00F40603"/>
    <w:rsid w:val="00F41317"/>
    <w:rsid w:val="00F51826"/>
    <w:rsid w:val="00F54058"/>
    <w:rsid w:val="00F70662"/>
    <w:rsid w:val="00F7088C"/>
    <w:rsid w:val="00F7229B"/>
    <w:rsid w:val="00F72E52"/>
    <w:rsid w:val="00F861A4"/>
    <w:rsid w:val="00F9071C"/>
    <w:rsid w:val="00F93215"/>
    <w:rsid w:val="00FB0B91"/>
    <w:rsid w:val="00FB10A1"/>
    <w:rsid w:val="00FB332C"/>
    <w:rsid w:val="00FB60C6"/>
    <w:rsid w:val="00FC0598"/>
    <w:rsid w:val="00FC442C"/>
    <w:rsid w:val="00FD2D3C"/>
    <w:rsid w:val="00FD46D6"/>
    <w:rsid w:val="00FE2B97"/>
    <w:rsid w:val="00FE4080"/>
    <w:rsid w:val="00FF672D"/>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FEEEB-0669-4A2A-BF74-1F74A368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t-L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2E2"/>
    <w:pPr>
      <w:spacing w:after="0" w:line="240" w:lineRule="auto"/>
    </w:pPr>
    <w:rPr>
      <w:rFonts w:ascii="Calibri" w:eastAsia="Calibri" w:hAnsi="Calibri" w:cs="Times New Roman"/>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613"/>
    <w:pPr>
      <w:spacing w:after="0" w:line="240" w:lineRule="auto"/>
    </w:pPr>
  </w:style>
  <w:style w:type="table" w:styleId="TableGrid">
    <w:name w:val="Table Grid"/>
    <w:basedOn w:val="TableNormal"/>
    <w:uiPriority w:val="59"/>
    <w:rsid w:val="00E7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342E2"/>
    <w:rPr>
      <w:color w:val="0563C1"/>
      <w:u w:val="single"/>
    </w:rPr>
  </w:style>
  <w:style w:type="paragraph" w:customStyle="1" w:styleId="Default">
    <w:name w:val="Default"/>
    <w:basedOn w:val="Normal"/>
    <w:uiPriority w:val="99"/>
    <w:rsid w:val="00A342E2"/>
    <w:pPr>
      <w:autoSpaceDE w:val="0"/>
      <w:autoSpaceDN w:val="0"/>
    </w:pPr>
    <w:rPr>
      <w:rFonts w:ascii="Times New Roman" w:hAnsi="Times New Roman"/>
      <w:color w:val="000000"/>
      <w:sz w:val="24"/>
      <w:szCs w:val="24"/>
    </w:rPr>
  </w:style>
  <w:style w:type="character" w:styleId="FootnoteReference">
    <w:name w:val="footnote reference"/>
    <w:uiPriority w:val="99"/>
    <w:semiHidden/>
    <w:unhideWhenUsed/>
    <w:rsid w:val="00A342E2"/>
    <w:rPr>
      <w:rFonts w:ascii="Times New Roman" w:hAnsi="Times New Roman" w:cs="Times New Roman" w:hint="default"/>
      <w:vertAlign w:val="superscript"/>
    </w:rPr>
  </w:style>
  <w:style w:type="paragraph" w:styleId="FootnoteText">
    <w:name w:val="footnote text"/>
    <w:basedOn w:val="Normal"/>
    <w:link w:val="FootnoteTextChar"/>
    <w:uiPriority w:val="99"/>
    <w:semiHidden/>
    <w:rsid w:val="00E20186"/>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E20186"/>
    <w:rPr>
      <w:rFonts w:ascii="Times New Roman" w:eastAsia="Times New Roman" w:hAnsi="Times New Roman" w:cs="Times New Roman"/>
      <w:sz w:val="20"/>
      <w:szCs w:val="20"/>
      <w:lang w:eastAsia="lt-LT"/>
    </w:rPr>
  </w:style>
  <w:style w:type="character" w:customStyle="1" w:styleId="apple-converted-space">
    <w:name w:val="apple-converted-space"/>
    <w:basedOn w:val="DefaultParagraphFont"/>
    <w:rsid w:val="006B1600"/>
    <w:rPr>
      <w:rFonts w:cs="Times New Roman"/>
    </w:rPr>
  </w:style>
  <w:style w:type="paragraph" w:styleId="BodyText">
    <w:name w:val="Body Text"/>
    <w:basedOn w:val="Normal"/>
    <w:link w:val="BodyTextChar"/>
    <w:uiPriority w:val="99"/>
    <w:rsid w:val="00FD46D6"/>
    <w:pPr>
      <w:widowControl w:val="0"/>
      <w:jc w:val="both"/>
    </w:pPr>
    <w:rPr>
      <w:rFonts w:ascii="TimesLT" w:eastAsia="Times New Roman" w:hAnsi="TimesLT"/>
      <w:sz w:val="24"/>
      <w:szCs w:val="20"/>
      <w:lang w:val="en-GB" w:eastAsia="en-US"/>
    </w:rPr>
  </w:style>
  <w:style w:type="character" w:customStyle="1" w:styleId="BodyTextChar">
    <w:name w:val="Body Text Char"/>
    <w:basedOn w:val="DefaultParagraphFont"/>
    <w:link w:val="BodyText"/>
    <w:uiPriority w:val="99"/>
    <w:rsid w:val="00FD46D6"/>
    <w:rPr>
      <w:rFonts w:ascii="TimesLT" w:eastAsia="Times New Roman" w:hAnsi="TimesLT" w:cs="Times New Roman"/>
      <w:sz w:val="24"/>
      <w:szCs w:val="20"/>
      <w:lang w:val="en-GB" w:eastAsia="en-US"/>
    </w:rPr>
  </w:style>
  <w:style w:type="character" w:styleId="Strong">
    <w:name w:val="Strong"/>
    <w:basedOn w:val="DefaultParagraphFont"/>
    <w:uiPriority w:val="99"/>
    <w:qFormat/>
    <w:rsid w:val="00FD46D6"/>
    <w:rPr>
      <w:rFonts w:cs="Times New Roman"/>
      <w:b/>
      <w:bCs/>
    </w:rPr>
  </w:style>
  <w:style w:type="paragraph" w:customStyle="1" w:styleId="ww-bodytext3">
    <w:name w:val="ww-bodytext3"/>
    <w:basedOn w:val="Normal"/>
    <w:uiPriority w:val="99"/>
    <w:rsid w:val="00FD46D6"/>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A5B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BFE"/>
    <w:rPr>
      <w:rFonts w:ascii="Segoe UI" w:eastAsia="Calibri" w:hAnsi="Segoe UI" w:cs="Segoe UI"/>
      <w:sz w:val="18"/>
      <w:szCs w:val="18"/>
      <w:lang w:eastAsia="lt-LT"/>
    </w:rPr>
  </w:style>
  <w:style w:type="character" w:styleId="HTMLCite">
    <w:name w:val="HTML Cite"/>
    <w:basedOn w:val="DefaultParagraphFont"/>
    <w:uiPriority w:val="99"/>
    <w:semiHidden/>
    <w:unhideWhenUsed/>
    <w:rsid w:val="00AB7C64"/>
    <w:rPr>
      <w:i/>
      <w:iCs/>
    </w:rPr>
  </w:style>
  <w:style w:type="paragraph" w:styleId="Header">
    <w:name w:val="header"/>
    <w:basedOn w:val="Normal"/>
    <w:link w:val="HeaderChar"/>
    <w:uiPriority w:val="99"/>
    <w:unhideWhenUsed/>
    <w:rsid w:val="000B0F0F"/>
    <w:pPr>
      <w:tabs>
        <w:tab w:val="center" w:pos="4819"/>
        <w:tab w:val="right" w:pos="9638"/>
      </w:tabs>
    </w:pPr>
  </w:style>
  <w:style w:type="character" w:customStyle="1" w:styleId="HeaderChar">
    <w:name w:val="Header Char"/>
    <w:basedOn w:val="DefaultParagraphFont"/>
    <w:link w:val="Header"/>
    <w:uiPriority w:val="99"/>
    <w:rsid w:val="000B0F0F"/>
    <w:rPr>
      <w:rFonts w:ascii="Calibri" w:eastAsia="Calibri" w:hAnsi="Calibri" w:cs="Times New Roman"/>
      <w:lang w:eastAsia="lt-LT"/>
    </w:rPr>
  </w:style>
  <w:style w:type="paragraph" w:styleId="Footer">
    <w:name w:val="footer"/>
    <w:basedOn w:val="Normal"/>
    <w:link w:val="FooterChar"/>
    <w:uiPriority w:val="99"/>
    <w:unhideWhenUsed/>
    <w:rsid w:val="000B0F0F"/>
    <w:pPr>
      <w:tabs>
        <w:tab w:val="center" w:pos="4819"/>
        <w:tab w:val="right" w:pos="9638"/>
      </w:tabs>
    </w:pPr>
  </w:style>
  <w:style w:type="character" w:customStyle="1" w:styleId="FooterChar">
    <w:name w:val="Footer Char"/>
    <w:basedOn w:val="DefaultParagraphFont"/>
    <w:link w:val="Footer"/>
    <w:uiPriority w:val="99"/>
    <w:rsid w:val="000B0F0F"/>
    <w:rPr>
      <w:rFonts w:ascii="Calibri" w:eastAsia="Calibri" w:hAnsi="Calibri" w:cs="Times New Roman"/>
      <w:lang w:eastAsia="lt-LT"/>
    </w:rPr>
  </w:style>
  <w:style w:type="character" w:styleId="FollowedHyperlink">
    <w:name w:val="FollowedHyperlink"/>
    <w:basedOn w:val="DefaultParagraphFont"/>
    <w:uiPriority w:val="99"/>
    <w:semiHidden/>
    <w:unhideWhenUsed/>
    <w:rsid w:val="005C2954"/>
    <w:rPr>
      <w:color w:val="954F72" w:themeColor="followedHyperlink"/>
      <w:u w:val="single"/>
    </w:rPr>
  </w:style>
  <w:style w:type="character" w:customStyle="1" w:styleId="table-value">
    <w:name w:val="table-value"/>
    <w:basedOn w:val="DefaultParagraphFont"/>
    <w:rsid w:val="008B402A"/>
  </w:style>
  <w:style w:type="paragraph" w:styleId="ListParagraph">
    <w:name w:val="List Paragraph"/>
    <w:basedOn w:val="Normal"/>
    <w:uiPriority w:val="34"/>
    <w:qFormat/>
    <w:rsid w:val="004F364B"/>
    <w:pPr>
      <w:ind w:left="720"/>
      <w:contextualSpacing/>
    </w:pPr>
  </w:style>
  <w:style w:type="paragraph" w:styleId="Caption">
    <w:name w:val="caption"/>
    <w:basedOn w:val="Normal"/>
    <w:next w:val="Normal"/>
    <w:uiPriority w:val="35"/>
    <w:unhideWhenUsed/>
    <w:qFormat/>
    <w:rsid w:val="002F641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2F641B"/>
    <w:rPr>
      <w:sz w:val="20"/>
      <w:szCs w:val="20"/>
    </w:rPr>
  </w:style>
  <w:style w:type="character" w:customStyle="1" w:styleId="EndnoteTextChar">
    <w:name w:val="Endnote Text Char"/>
    <w:basedOn w:val="DefaultParagraphFont"/>
    <w:link w:val="EndnoteText"/>
    <w:uiPriority w:val="99"/>
    <w:semiHidden/>
    <w:rsid w:val="002F641B"/>
    <w:rPr>
      <w:rFonts w:ascii="Calibri" w:eastAsia="Calibri" w:hAnsi="Calibri" w:cs="Times New Roman"/>
      <w:sz w:val="20"/>
      <w:szCs w:val="20"/>
      <w:lang w:eastAsia="lt-LT"/>
    </w:rPr>
  </w:style>
  <w:style w:type="character" w:styleId="EndnoteReference">
    <w:name w:val="endnote reference"/>
    <w:basedOn w:val="DefaultParagraphFont"/>
    <w:uiPriority w:val="99"/>
    <w:semiHidden/>
    <w:unhideWhenUsed/>
    <w:rsid w:val="002F641B"/>
    <w:rPr>
      <w:vertAlign w:val="superscript"/>
    </w:rPr>
  </w:style>
  <w:style w:type="paragraph" w:styleId="NormalWeb">
    <w:name w:val="Normal (Web)"/>
    <w:basedOn w:val="Normal"/>
    <w:rsid w:val="0009667B"/>
    <w:pPr>
      <w:spacing w:before="100" w:beforeAutospacing="1" w:after="100" w:afterAutospacing="1"/>
    </w:pPr>
    <w:rPr>
      <w:rFonts w:ascii="Times New Roman" w:eastAsia="Times New Roman" w:hAnsi="Times New Roman"/>
      <w:sz w:val="24"/>
      <w:szCs w:val="24"/>
      <w:lang w:val="en-GB" w:eastAsia="en-US"/>
    </w:rPr>
  </w:style>
  <w:style w:type="paragraph" w:customStyle="1" w:styleId="Teksto">
    <w:name w:val="Teksto"/>
    <w:basedOn w:val="Normal"/>
    <w:link w:val="TekstoChar"/>
    <w:rsid w:val="0009667B"/>
    <w:pPr>
      <w:ind w:firstLine="720"/>
      <w:jc w:val="both"/>
    </w:pPr>
    <w:rPr>
      <w:rFonts w:ascii="Times New Roman" w:eastAsia="Times New Roman" w:hAnsi="Times New Roman"/>
      <w:sz w:val="24"/>
      <w:szCs w:val="24"/>
      <w:lang w:eastAsia="en-US"/>
    </w:rPr>
  </w:style>
  <w:style w:type="character" w:customStyle="1" w:styleId="TekstoChar">
    <w:name w:val="Teksto Char"/>
    <w:link w:val="Teksto"/>
    <w:rsid w:val="0009667B"/>
    <w:rPr>
      <w:rFonts w:ascii="Times New Roman" w:eastAsia="Times New Roman" w:hAnsi="Times New Roman" w:cs="Times New Roman"/>
      <w:sz w:val="24"/>
      <w:szCs w:val="24"/>
      <w:lang w:eastAsia="en-US"/>
    </w:rPr>
  </w:style>
  <w:style w:type="paragraph" w:styleId="Subtitle">
    <w:name w:val="Subtitle"/>
    <w:basedOn w:val="Normal"/>
    <w:link w:val="SubtitleChar"/>
    <w:uiPriority w:val="11"/>
    <w:qFormat/>
    <w:rsid w:val="00E71E6E"/>
    <w:pPr>
      <w:spacing w:after="60"/>
      <w:jc w:val="center"/>
      <w:outlineLvl w:val="1"/>
    </w:pPr>
    <w:rPr>
      <w:rFonts w:ascii="Arial" w:eastAsia="Times New Roman" w:hAnsi="Arial"/>
      <w:sz w:val="24"/>
      <w:szCs w:val="24"/>
    </w:rPr>
  </w:style>
  <w:style w:type="character" w:customStyle="1" w:styleId="SubtitleChar">
    <w:name w:val="Subtitle Char"/>
    <w:basedOn w:val="DefaultParagraphFont"/>
    <w:link w:val="Subtitle"/>
    <w:uiPriority w:val="11"/>
    <w:rsid w:val="00E71E6E"/>
    <w:rPr>
      <w:rFonts w:ascii="Arial" w:eastAsia="Times New Roman" w:hAnsi="Arial" w:cs="Times New Roman"/>
      <w:sz w:val="24"/>
      <w:szCs w:val="24"/>
      <w:lang w:eastAsia="lt-LT"/>
    </w:rPr>
  </w:style>
  <w:style w:type="paragraph" w:styleId="BodyTextFirstIndent">
    <w:name w:val="Body Text First Indent"/>
    <w:basedOn w:val="BodyText"/>
    <w:link w:val="BodyTextFirstIndentChar"/>
    <w:uiPriority w:val="99"/>
    <w:semiHidden/>
    <w:unhideWhenUsed/>
    <w:rsid w:val="0011080E"/>
    <w:pPr>
      <w:widowControl/>
      <w:ind w:firstLine="360"/>
      <w:jc w:val="left"/>
    </w:pPr>
    <w:rPr>
      <w:rFonts w:ascii="Calibri" w:eastAsia="Calibri" w:hAnsi="Calibri"/>
      <w:sz w:val="22"/>
      <w:szCs w:val="22"/>
      <w:lang w:val="lt-LT" w:eastAsia="lt-LT"/>
    </w:rPr>
  </w:style>
  <w:style w:type="character" w:customStyle="1" w:styleId="BodyTextFirstIndentChar">
    <w:name w:val="Body Text First Indent Char"/>
    <w:basedOn w:val="BodyTextChar"/>
    <w:link w:val="BodyTextFirstIndent"/>
    <w:uiPriority w:val="99"/>
    <w:semiHidden/>
    <w:rsid w:val="0011080E"/>
    <w:rPr>
      <w:rFonts w:ascii="Calibri" w:eastAsia="Calibri" w:hAnsi="Calibri" w:cs="Times New Roman"/>
      <w:sz w:val="24"/>
      <w:szCs w:val="20"/>
      <w:lang w:val="en-GB" w:eastAsia="lt-LT"/>
    </w:rPr>
  </w:style>
  <w:style w:type="paragraph" w:styleId="Title">
    <w:name w:val="Title"/>
    <w:basedOn w:val="Normal"/>
    <w:link w:val="TitleChar"/>
    <w:uiPriority w:val="10"/>
    <w:qFormat/>
    <w:rsid w:val="0011080E"/>
    <w:rPr>
      <w:rFonts w:eastAsiaTheme="minorHAnsi" w:cs="Calibri"/>
    </w:rPr>
  </w:style>
  <w:style w:type="character" w:customStyle="1" w:styleId="TitleChar">
    <w:name w:val="Title Char"/>
    <w:basedOn w:val="DefaultParagraphFont"/>
    <w:link w:val="Title"/>
    <w:uiPriority w:val="10"/>
    <w:rsid w:val="0011080E"/>
    <w:rPr>
      <w:rFonts w:ascii="Calibri" w:eastAsiaTheme="minorHAnsi" w:hAnsi="Calibri" w:cs="Calibri"/>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966">
      <w:bodyDiv w:val="1"/>
      <w:marLeft w:val="0"/>
      <w:marRight w:val="0"/>
      <w:marTop w:val="0"/>
      <w:marBottom w:val="0"/>
      <w:divBdr>
        <w:top w:val="none" w:sz="0" w:space="0" w:color="auto"/>
        <w:left w:val="none" w:sz="0" w:space="0" w:color="auto"/>
        <w:bottom w:val="none" w:sz="0" w:space="0" w:color="auto"/>
        <w:right w:val="none" w:sz="0" w:space="0" w:color="auto"/>
      </w:divBdr>
    </w:div>
    <w:div w:id="85736153">
      <w:bodyDiv w:val="1"/>
      <w:marLeft w:val="0"/>
      <w:marRight w:val="0"/>
      <w:marTop w:val="0"/>
      <w:marBottom w:val="0"/>
      <w:divBdr>
        <w:top w:val="none" w:sz="0" w:space="0" w:color="auto"/>
        <w:left w:val="none" w:sz="0" w:space="0" w:color="auto"/>
        <w:bottom w:val="none" w:sz="0" w:space="0" w:color="auto"/>
        <w:right w:val="none" w:sz="0" w:space="0" w:color="auto"/>
      </w:divBdr>
      <w:divsChild>
        <w:div w:id="19867580">
          <w:marLeft w:val="0"/>
          <w:marRight w:val="0"/>
          <w:marTop w:val="0"/>
          <w:marBottom w:val="0"/>
          <w:divBdr>
            <w:top w:val="none" w:sz="0" w:space="0" w:color="auto"/>
            <w:left w:val="none" w:sz="0" w:space="0" w:color="auto"/>
            <w:bottom w:val="none" w:sz="0" w:space="0" w:color="auto"/>
            <w:right w:val="none" w:sz="0" w:space="0" w:color="auto"/>
          </w:divBdr>
        </w:div>
      </w:divsChild>
    </w:div>
    <w:div w:id="161705825">
      <w:bodyDiv w:val="1"/>
      <w:marLeft w:val="0"/>
      <w:marRight w:val="0"/>
      <w:marTop w:val="0"/>
      <w:marBottom w:val="0"/>
      <w:divBdr>
        <w:top w:val="none" w:sz="0" w:space="0" w:color="auto"/>
        <w:left w:val="none" w:sz="0" w:space="0" w:color="auto"/>
        <w:bottom w:val="none" w:sz="0" w:space="0" w:color="auto"/>
        <w:right w:val="none" w:sz="0" w:space="0" w:color="auto"/>
      </w:divBdr>
    </w:div>
    <w:div w:id="166480676">
      <w:bodyDiv w:val="1"/>
      <w:marLeft w:val="0"/>
      <w:marRight w:val="0"/>
      <w:marTop w:val="0"/>
      <w:marBottom w:val="0"/>
      <w:divBdr>
        <w:top w:val="none" w:sz="0" w:space="0" w:color="auto"/>
        <w:left w:val="none" w:sz="0" w:space="0" w:color="auto"/>
        <w:bottom w:val="none" w:sz="0" w:space="0" w:color="auto"/>
        <w:right w:val="none" w:sz="0" w:space="0" w:color="auto"/>
      </w:divBdr>
    </w:div>
    <w:div w:id="261767526">
      <w:bodyDiv w:val="1"/>
      <w:marLeft w:val="0"/>
      <w:marRight w:val="0"/>
      <w:marTop w:val="0"/>
      <w:marBottom w:val="0"/>
      <w:divBdr>
        <w:top w:val="none" w:sz="0" w:space="0" w:color="auto"/>
        <w:left w:val="none" w:sz="0" w:space="0" w:color="auto"/>
        <w:bottom w:val="none" w:sz="0" w:space="0" w:color="auto"/>
        <w:right w:val="none" w:sz="0" w:space="0" w:color="auto"/>
      </w:divBdr>
    </w:div>
    <w:div w:id="310447385">
      <w:bodyDiv w:val="1"/>
      <w:marLeft w:val="0"/>
      <w:marRight w:val="0"/>
      <w:marTop w:val="0"/>
      <w:marBottom w:val="0"/>
      <w:divBdr>
        <w:top w:val="none" w:sz="0" w:space="0" w:color="auto"/>
        <w:left w:val="none" w:sz="0" w:space="0" w:color="auto"/>
        <w:bottom w:val="none" w:sz="0" w:space="0" w:color="auto"/>
        <w:right w:val="none" w:sz="0" w:space="0" w:color="auto"/>
      </w:divBdr>
    </w:div>
    <w:div w:id="367029374">
      <w:bodyDiv w:val="1"/>
      <w:marLeft w:val="0"/>
      <w:marRight w:val="0"/>
      <w:marTop w:val="0"/>
      <w:marBottom w:val="0"/>
      <w:divBdr>
        <w:top w:val="none" w:sz="0" w:space="0" w:color="auto"/>
        <w:left w:val="none" w:sz="0" w:space="0" w:color="auto"/>
        <w:bottom w:val="none" w:sz="0" w:space="0" w:color="auto"/>
        <w:right w:val="none" w:sz="0" w:space="0" w:color="auto"/>
      </w:divBdr>
    </w:div>
    <w:div w:id="378629232">
      <w:bodyDiv w:val="1"/>
      <w:marLeft w:val="0"/>
      <w:marRight w:val="0"/>
      <w:marTop w:val="0"/>
      <w:marBottom w:val="0"/>
      <w:divBdr>
        <w:top w:val="none" w:sz="0" w:space="0" w:color="auto"/>
        <w:left w:val="none" w:sz="0" w:space="0" w:color="auto"/>
        <w:bottom w:val="none" w:sz="0" w:space="0" w:color="auto"/>
        <w:right w:val="none" w:sz="0" w:space="0" w:color="auto"/>
      </w:divBdr>
      <w:divsChild>
        <w:div w:id="780413545">
          <w:marLeft w:val="547"/>
          <w:marRight w:val="0"/>
          <w:marTop w:val="67"/>
          <w:marBottom w:val="0"/>
          <w:divBdr>
            <w:top w:val="none" w:sz="0" w:space="0" w:color="auto"/>
            <w:left w:val="none" w:sz="0" w:space="0" w:color="auto"/>
            <w:bottom w:val="none" w:sz="0" w:space="0" w:color="auto"/>
            <w:right w:val="none" w:sz="0" w:space="0" w:color="auto"/>
          </w:divBdr>
        </w:div>
        <w:div w:id="1260025055">
          <w:marLeft w:val="547"/>
          <w:marRight w:val="0"/>
          <w:marTop w:val="67"/>
          <w:marBottom w:val="0"/>
          <w:divBdr>
            <w:top w:val="none" w:sz="0" w:space="0" w:color="auto"/>
            <w:left w:val="none" w:sz="0" w:space="0" w:color="auto"/>
            <w:bottom w:val="none" w:sz="0" w:space="0" w:color="auto"/>
            <w:right w:val="none" w:sz="0" w:space="0" w:color="auto"/>
          </w:divBdr>
        </w:div>
        <w:div w:id="447048987">
          <w:marLeft w:val="547"/>
          <w:marRight w:val="0"/>
          <w:marTop w:val="67"/>
          <w:marBottom w:val="0"/>
          <w:divBdr>
            <w:top w:val="none" w:sz="0" w:space="0" w:color="auto"/>
            <w:left w:val="none" w:sz="0" w:space="0" w:color="auto"/>
            <w:bottom w:val="none" w:sz="0" w:space="0" w:color="auto"/>
            <w:right w:val="none" w:sz="0" w:space="0" w:color="auto"/>
          </w:divBdr>
        </w:div>
        <w:div w:id="861213076">
          <w:marLeft w:val="547"/>
          <w:marRight w:val="0"/>
          <w:marTop w:val="67"/>
          <w:marBottom w:val="0"/>
          <w:divBdr>
            <w:top w:val="none" w:sz="0" w:space="0" w:color="auto"/>
            <w:left w:val="none" w:sz="0" w:space="0" w:color="auto"/>
            <w:bottom w:val="none" w:sz="0" w:space="0" w:color="auto"/>
            <w:right w:val="none" w:sz="0" w:space="0" w:color="auto"/>
          </w:divBdr>
        </w:div>
        <w:div w:id="380983489">
          <w:marLeft w:val="547"/>
          <w:marRight w:val="0"/>
          <w:marTop w:val="67"/>
          <w:marBottom w:val="0"/>
          <w:divBdr>
            <w:top w:val="none" w:sz="0" w:space="0" w:color="auto"/>
            <w:left w:val="none" w:sz="0" w:space="0" w:color="auto"/>
            <w:bottom w:val="none" w:sz="0" w:space="0" w:color="auto"/>
            <w:right w:val="none" w:sz="0" w:space="0" w:color="auto"/>
          </w:divBdr>
        </w:div>
      </w:divsChild>
    </w:div>
    <w:div w:id="487786653">
      <w:bodyDiv w:val="1"/>
      <w:marLeft w:val="0"/>
      <w:marRight w:val="0"/>
      <w:marTop w:val="0"/>
      <w:marBottom w:val="0"/>
      <w:divBdr>
        <w:top w:val="none" w:sz="0" w:space="0" w:color="auto"/>
        <w:left w:val="none" w:sz="0" w:space="0" w:color="auto"/>
        <w:bottom w:val="none" w:sz="0" w:space="0" w:color="auto"/>
        <w:right w:val="none" w:sz="0" w:space="0" w:color="auto"/>
      </w:divBdr>
    </w:div>
    <w:div w:id="517350917">
      <w:bodyDiv w:val="1"/>
      <w:marLeft w:val="0"/>
      <w:marRight w:val="0"/>
      <w:marTop w:val="0"/>
      <w:marBottom w:val="0"/>
      <w:divBdr>
        <w:top w:val="none" w:sz="0" w:space="0" w:color="auto"/>
        <w:left w:val="none" w:sz="0" w:space="0" w:color="auto"/>
        <w:bottom w:val="none" w:sz="0" w:space="0" w:color="auto"/>
        <w:right w:val="none" w:sz="0" w:space="0" w:color="auto"/>
      </w:divBdr>
    </w:div>
    <w:div w:id="533232670">
      <w:bodyDiv w:val="1"/>
      <w:marLeft w:val="0"/>
      <w:marRight w:val="0"/>
      <w:marTop w:val="0"/>
      <w:marBottom w:val="0"/>
      <w:divBdr>
        <w:top w:val="none" w:sz="0" w:space="0" w:color="auto"/>
        <w:left w:val="none" w:sz="0" w:space="0" w:color="auto"/>
        <w:bottom w:val="none" w:sz="0" w:space="0" w:color="auto"/>
        <w:right w:val="none" w:sz="0" w:space="0" w:color="auto"/>
      </w:divBdr>
      <w:divsChild>
        <w:div w:id="398476627">
          <w:marLeft w:val="0"/>
          <w:marRight w:val="0"/>
          <w:marTop w:val="0"/>
          <w:marBottom w:val="0"/>
          <w:divBdr>
            <w:top w:val="none" w:sz="0" w:space="0" w:color="auto"/>
            <w:left w:val="none" w:sz="0" w:space="0" w:color="auto"/>
            <w:bottom w:val="none" w:sz="0" w:space="0" w:color="auto"/>
            <w:right w:val="none" w:sz="0" w:space="0" w:color="auto"/>
          </w:divBdr>
          <w:divsChild>
            <w:div w:id="1238007200">
              <w:marLeft w:val="0"/>
              <w:marRight w:val="0"/>
              <w:marTop w:val="0"/>
              <w:marBottom w:val="0"/>
              <w:divBdr>
                <w:top w:val="none" w:sz="0" w:space="0" w:color="auto"/>
                <w:left w:val="none" w:sz="0" w:space="0" w:color="auto"/>
                <w:bottom w:val="none" w:sz="0" w:space="0" w:color="auto"/>
                <w:right w:val="none" w:sz="0" w:space="0" w:color="auto"/>
              </w:divBdr>
              <w:divsChild>
                <w:div w:id="1599022465">
                  <w:marLeft w:val="0"/>
                  <w:marRight w:val="0"/>
                  <w:marTop w:val="0"/>
                  <w:marBottom w:val="0"/>
                  <w:divBdr>
                    <w:top w:val="none" w:sz="0" w:space="0" w:color="auto"/>
                    <w:left w:val="none" w:sz="0" w:space="0" w:color="auto"/>
                    <w:bottom w:val="none" w:sz="0" w:space="0" w:color="auto"/>
                    <w:right w:val="none" w:sz="0" w:space="0" w:color="auto"/>
                  </w:divBdr>
                  <w:divsChild>
                    <w:div w:id="17937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93569">
      <w:bodyDiv w:val="1"/>
      <w:marLeft w:val="0"/>
      <w:marRight w:val="0"/>
      <w:marTop w:val="0"/>
      <w:marBottom w:val="0"/>
      <w:divBdr>
        <w:top w:val="none" w:sz="0" w:space="0" w:color="auto"/>
        <w:left w:val="none" w:sz="0" w:space="0" w:color="auto"/>
        <w:bottom w:val="none" w:sz="0" w:space="0" w:color="auto"/>
        <w:right w:val="none" w:sz="0" w:space="0" w:color="auto"/>
      </w:divBdr>
    </w:div>
    <w:div w:id="727729558">
      <w:bodyDiv w:val="1"/>
      <w:marLeft w:val="0"/>
      <w:marRight w:val="0"/>
      <w:marTop w:val="0"/>
      <w:marBottom w:val="0"/>
      <w:divBdr>
        <w:top w:val="none" w:sz="0" w:space="0" w:color="auto"/>
        <w:left w:val="none" w:sz="0" w:space="0" w:color="auto"/>
        <w:bottom w:val="none" w:sz="0" w:space="0" w:color="auto"/>
        <w:right w:val="none" w:sz="0" w:space="0" w:color="auto"/>
      </w:divBdr>
    </w:div>
    <w:div w:id="782964462">
      <w:bodyDiv w:val="1"/>
      <w:marLeft w:val="0"/>
      <w:marRight w:val="0"/>
      <w:marTop w:val="0"/>
      <w:marBottom w:val="0"/>
      <w:divBdr>
        <w:top w:val="none" w:sz="0" w:space="0" w:color="auto"/>
        <w:left w:val="none" w:sz="0" w:space="0" w:color="auto"/>
        <w:bottom w:val="none" w:sz="0" w:space="0" w:color="auto"/>
        <w:right w:val="none" w:sz="0" w:space="0" w:color="auto"/>
      </w:divBdr>
    </w:div>
    <w:div w:id="843588667">
      <w:bodyDiv w:val="1"/>
      <w:marLeft w:val="0"/>
      <w:marRight w:val="0"/>
      <w:marTop w:val="0"/>
      <w:marBottom w:val="0"/>
      <w:divBdr>
        <w:top w:val="none" w:sz="0" w:space="0" w:color="auto"/>
        <w:left w:val="none" w:sz="0" w:space="0" w:color="auto"/>
        <w:bottom w:val="none" w:sz="0" w:space="0" w:color="auto"/>
        <w:right w:val="none" w:sz="0" w:space="0" w:color="auto"/>
      </w:divBdr>
    </w:div>
    <w:div w:id="849025225">
      <w:bodyDiv w:val="1"/>
      <w:marLeft w:val="0"/>
      <w:marRight w:val="0"/>
      <w:marTop w:val="0"/>
      <w:marBottom w:val="0"/>
      <w:divBdr>
        <w:top w:val="none" w:sz="0" w:space="0" w:color="auto"/>
        <w:left w:val="none" w:sz="0" w:space="0" w:color="auto"/>
        <w:bottom w:val="none" w:sz="0" w:space="0" w:color="auto"/>
        <w:right w:val="none" w:sz="0" w:space="0" w:color="auto"/>
      </w:divBdr>
    </w:div>
    <w:div w:id="869876565">
      <w:bodyDiv w:val="1"/>
      <w:marLeft w:val="0"/>
      <w:marRight w:val="0"/>
      <w:marTop w:val="0"/>
      <w:marBottom w:val="0"/>
      <w:divBdr>
        <w:top w:val="none" w:sz="0" w:space="0" w:color="auto"/>
        <w:left w:val="none" w:sz="0" w:space="0" w:color="auto"/>
        <w:bottom w:val="none" w:sz="0" w:space="0" w:color="auto"/>
        <w:right w:val="none" w:sz="0" w:space="0" w:color="auto"/>
      </w:divBdr>
    </w:div>
    <w:div w:id="898175622">
      <w:bodyDiv w:val="1"/>
      <w:marLeft w:val="0"/>
      <w:marRight w:val="0"/>
      <w:marTop w:val="0"/>
      <w:marBottom w:val="0"/>
      <w:divBdr>
        <w:top w:val="none" w:sz="0" w:space="0" w:color="auto"/>
        <w:left w:val="none" w:sz="0" w:space="0" w:color="auto"/>
        <w:bottom w:val="none" w:sz="0" w:space="0" w:color="auto"/>
        <w:right w:val="none" w:sz="0" w:space="0" w:color="auto"/>
      </w:divBdr>
    </w:div>
    <w:div w:id="969213328">
      <w:bodyDiv w:val="1"/>
      <w:marLeft w:val="0"/>
      <w:marRight w:val="0"/>
      <w:marTop w:val="0"/>
      <w:marBottom w:val="0"/>
      <w:divBdr>
        <w:top w:val="none" w:sz="0" w:space="0" w:color="auto"/>
        <w:left w:val="none" w:sz="0" w:space="0" w:color="auto"/>
        <w:bottom w:val="none" w:sz="0" w:space="0" w:color="auto"/>
        <w:right w:val="none" w:sz="0" w:space="0" w:color="auto"/>
      </w:divBdr>
      <w:divsChild>
        <w:div w:id="1346634534">
          <w:marLeft w:val="0"/>
          <w:marRight w:val="0"/>
          <w:marTop w:val="0"/>
          <w:marBottom w:val="0"/>
          <w:divBdr>
            <w:top w:val="none" w:sz="0" w:space="0" w:color="auto"/>
            <w:left w:val="none" w:sz="0" w:space="0" w:color="auto"/>
            <w:bottom w:val="none" w:sz="0" w:space="0" w:color="auto"/>
            <w:right w:val="none" w:sz="0" w:space="0" w:color="auto"/>
          </w:divBdr>
        </w:div>
      </w:divsChild>
    </w:div>
    <w:div w:id="1048064651">
      <w:bodyDiv w:val="1"/>
      <w:marLeft w:val="0"/>
      <w:marRight w:val="0"/>
      <w:marTop w:val="0"/>
      <w:marBottom w:val="0"/>
      <w:divBdr>
        <w:top w:val="none" w:sz="0" w:space="0" w:color="auto"/>
        <w:left w:val="none" w:sz="0" w:space="0" w:color="auto"/>
        <w:bottom w:val="none" w:sz="0" w:space="0" w:color="auto"/>
        <w:right w:val="none" w:sz="0" w:space="0" w:color="auto"/>
      </w:divBdr>
    </w:div>
    <w:div w:id="1085683320">
      <w:bodyDiv w:val="1"/>
      <w:marLeft w:val="0"/>
      <w:marRight w:val="0"/>
      <w:marTop w:val="0"/>
      <w:marBottom w:val="0"/>
      <w:divBdr>
        <w:top w:val="none" w:sz="0" w:space="0" w:color="auto"/>
        <w:left w:val="none" w:sz="0" w:space="0" w:color="auto"/>
        <w:bottom w:val="none" w:sz="0" w:space="0" w:color="auto"/>
        <w:right w:val="none" w:sz="0" w:space="0" w:color="auto"/>
      </w:divBdr>
      <w:divsChild>
        <w:div w:id="213128900">
          <w:marLeft w:val="0"/>
          <w:marRight w:val="0"/>
          <w:marTop w:val="0"/>
          <w:marBottom w:val="0"/>
          <w:divBdr>
            <w:top w:val="none" w:sz="0" w:space="0" w:color="auto"/>
            <w:left w:val="none" w:sz="0" w:space="0" w:color="auto"/>
            <w:bottom w:val="none" w:sz="0" w:space="0" w:color="auto"/>
            <w:right w:val="none" w:sz="0" w:space="0" w:color="auto"/>
          </w:divBdr>
        </w:div>
      </w:divsChild>
    </w:div>
    <w:div w:id="1230119481">
      <w:bodyDiv w:val="1"/>
      <w:marLeft w:val="0"/>
      <w:marRight w:val="0"/>
      <w:marTop w:val="0"/>
      <w:marBottom w:val="0"/>
      <w:divBdr>
        <w:top w:val="none" w:sz="0" w:space="0" w:color="auto"/>
        <w:left w:val="none" w:sz="0" w:space="0" w:color="auto"/>
        <w:bottom w:val="none" w:sz="0" w:space="0" w:color="auto"/>
        <w:right w:val="none" w:sz="0" w:space="0" w:color="auto"/>
      </w:divBdr>
    </w:div>
    <w:div w:id="1296256809">
      <w:bodyDiv w:val="1"/>
      <w:marLeft w:val="0"/>
      <w:marRight w:val="0"/>
      <w:marTop w:val="0"/>
      <w:marBottom w:val="0"/>
      <w:divBdr>
        <w:top w:val="none" w:sz="0" w:space="0" w:color="auto"/>
        <w:left w:val="none" w:sz="0" w:space="0" w:color="auto"/>
        <w:bottom w:val="none" w:sz="0" w:space="0" w:color="auto"/>
        <w:right w:val="none" w:sz="0" w:space="0" w:color="auto"/>
      </w:divBdr>
    </w:div>
    <w:div w:id="1303003951">
      <w:bodyDiv w:val="1"/>
      <w:marLeft w:val="0"/>
      <w:marRight w:val="0"/>
      <w:marTop w:val="0"/>
      <w:marBottom w:val="0"/>
      <w:divBdr>
        <w:top w:val="none" w:sz="0" w:space="0" w:color="auto"/>
        <w:left w:val="none" w:sz="0" w:space="0" w:color="auto"/>
        <w:bottom w:val="none" w:sz="0" w:space="0" w:color="auto"/>
        <w:right w:val="none" w:sz="0" w:space="0" w:color="auto"/>
      </w:divBdr>
    </w:div>
    <w:div w:id="1316178176">
      <w:bodyDiv w:val="1"/>
      <w:marLeft w:val="0"/>
      <w:marRight w:val="0"/>
      <w:marTop w:val="0"/>
      <w:marBottom w:val="0"/>
      <w:divBdr>
        <w:top w:val="none" w:sz="0" w:space="0" w:color="auto"/>
        <w:left w:val="none" w:sz="0" w:space="0" w:color="auto"/>
        <w:bottom w:val="none" w:sz="0" w:space="0" w:color="auto"/>
        <w:right w:val="none" w:sz="0" w:space="0" w:color="auto"/>
      </w:divBdr>
    </w:div>
    <w:div w:id="1352495068">
      <w:bodyDiv w:val="1"/>
      <w:marLeft w:val="0"/>
      <w:marRight w:val="0"/>
      <w:marTop w:val="0"/>
      <w:marBottom w:val="0"/>
      <w:divBdr>
        <w:top w:val="none" w:sz="0" w:space="0" w:color="auto"/>
        <w:left w:val="none" w:sz="0" w:space="0" w:color="auto"/>
        <w:bottom w:val="none" w:sz="0" w:space="0" w:color="auto"/>
        <w:right w:val="none" w:sz="0" w:space="0" w:color="auto"/>
      </w:divBdr>
    </w:div>
    <w:div w:id="1528447477">
      <w:bodyDiv w:val="1"/>
      <w:marLeft w:val="0"/>
      <w:marRight w:val="0"/>
      <w:marTop w:val="0"/>
      <w:marBottom w:val="0"/>
      <w:divBdr>
        <w:top w:val="none" w:sz="0" w:space="0" w:color="auto"/>
        <w:left w:val="none" w:sz="0" w:space="0" w:color="auto"/>
        <w:bottom w:val="none" w:sz="0" w:space="0" w:color="auto"/>
        <w:right w:val="none" w:sz="0" w:space="0" w:color="auto"/>
      </w:divBdr>
    </w:div>
    <w:div w:id="1625380869">
      <w:bodyDiv w:val="1"/>
      <w:marLeft w:val="0"/>
      <w:marRight w:val="0"/>
      <w:marTop w:val="0"/>
      <w:marBottom w:val="0"/>
      <w:divBdr>
        <w:top w:val="none" w:sz="0" w:space="0" w:color="auto"/>
        <w:left w:val="none" w:sz="0" w:space="0" w:color="auto"/>
        <w:bottom w:val="none" w:sz="0" w:space="0" w:color="auto"/>
        <w:right w:val="none" w:sz="0" w:space="0" w:color="auto"/>
      </w:divBdr>
    </w:div>
    <w:div w:id="1645620696">
      <w:bodyDiv w:val="1"/>
      <w:marLeft w:val="0"/>
      <w:marRight w:val="0"/>
      <w:marTop w:val="0"/>
      <w:marBottom w:val="0"/>
      <w:divBdr>
        <w:top w:val="none" w:sz="0" w:space="0" w:color="auto"/>
        <w:left w:val="none" w:sz="0" w:space="0" w:color="auto"/>
        <w:bottom w:val="none" w:sz="0" w:space="0" w:color="auto"/>
        <w:right w:val="none" w:sz="0" w:space="0" w:color="auto"/>
      </w:divBdr>
    </w:div>
    <w:div w:id="1688630473">
      <w:bodyDiv w:val="1"/>
      <w:marLeft w:val="0"/>
      <w:marRight w:val="0"/>
      <w:marTop w:val="0"/>
      <w:marBottom w:val="0"/>
      <w:divBdr>
        <w:top w:val="none" w:sz="0" w:space="0" w:color="auto"/>
        <w:left w:val="none" w:sz="0" w:space="0" w:color="auto"/>
        <w:bottom w:val="none" w:sz="0" w:space="0" w:color="auto"/>
        <w:right w:val="none" w:sz="0" w:space="0" w:color="auto"/>
      </w:divBdr>
    </w:div>
    <w:div w:id="1825580593">
      <w:bodyDiv w:val="1"/>
      <w:marLeft w:val="0"/>
      <w:marRight w:val="0"/>
      <w:marTop w:val="0"/>
      <w:marBottom w:val="0"/>
      <w:divBdr>
        <w:top w:val="none" w:sz="0" w:space="0" w:color="auto"/>
        <w:left w:val="none" w:sz="0" w:space="0" w:color="auto"/>
        <w:bottom w:val="none" w:sz="0" w:space="0" w:color="auto"/>
        <w:right w:val="none" w:sz="0" w:space="0" w:color="auto"/>
      </w:divBdr>
    </w:div>
    <w:div w:id="1907184228">
      <w:bodyDiv w:val="1"/>
      <w:marLeft w:val="0"/>
      <w:marRight w:val="0"/>
      <w:marTop w:val="0"/>
      <w:marBottom w:val="0"/>
      <w:divBdr>
        <w:top w:val="none" w:sz="0" w:space="0" w:color="auto"/>
        <w:left w:val="none" w:sz="0" w:space="0" w:color="auto"/>
        <w:bottom w:val="none" w:sz="0" w:space="0" w:color="auto"/>
        <w:right w:val="none" w:sz="0" w:space="0" w:color="auto"/>
      </w:divBdr>
    </w:div>
    <w:div w:id="1925994120">
      <w:bodyDiv w:val="1"/>
      <w:marLeft w:val="0"/>
      <w:marRight w:val="0"/>
      <w:marTop w:val="0"/>
      <w:marBottom w:val="0"/>
      <w:divBdr>
        <w:top w:val="none" w:sz="0" w:space="0" w:color="auto"/>
        <w:left w:val="none" w:sz="0" w:space="0" w:color="auto"/>
        <w:bottom w:val="none" w:sz="0" w:space="0" w:color="auto"/>
        <w:right w:val="none" w:sz="0" w:space="0" w:color="auto"/>
      </w:divBdr>
    </w:div>
    <w:div w:id="1928994636">
      <w:bodyDiv w:val="1"/>
      <w:marLeft w:val="0"/>
      <w:marRight w:val="0"/>
      <w:marTop w:val="0"/>
      <w:marBottom w:val="0"/>
      <w:divBdr>
        <w:top w:val="none" w:sz="0" w:space="0" w:color="auto"/>
        <w:left w:val="none" w:sz="0" w:space="0" w:color="auto"/>
        <w:bottom w:val="none" w:sz="0" w:space="0" w:color="auto"/>
        <w:right w:val="none" w:sz="0" w:space="0" w:color="auto"/>
      </w:divBdr>
    </w:div>
    <w:div w:id="1942832381">
      <w:bodyDiv w:val="1"/>
      <w:marLeft w:val="0"/>
      <w:marRight w:val="0"/>
      <w:marTop w:val="0"/>
      <w:marBottom w:val="0"/>
      <w:divBdr>
        <w:top w:val="none" w:sz="0" w:space="0" w:color="auto"/>
        <w:left w:val="none" w:sz="0" w:space="0" w:color="auto"/>
        <w:bottom w:val="none" w:sz="0" w:space="0" w:color="auto"/>
        <w:right w:val="none" w:sz="0" w:space="0" w:color="auto"/>
      </w:divBdr>
    </w:div>
    <w:div w:id="2085763769">
      <w:bodyDiv w:val="1"/>
      <w:marLeft w:val="0"/>
      <w:marRight w:val="0"/>
      <w:marTop w:val="0"/>
      <w:marBottom w:val="0"/>
      <w:divBdr>
        <w:top w:val="none" w:sz="0" w:space="0" w:color="auto"/>
        <w:left w:val="none" w:sz="0" w:space="0" w:color="auto"/>
        <w:bottom w:val="none" w:sz="0" w:space="0" w:color="auto"/>
        <w:right w:val="none" w:sz="0" w:space="0" w:color="auto"/>
      </w:divBdr>
    </w:div>
    <w:div w:id="2093887028">
      <w:bodyDiv w:val="1"/>
      <w:marLeft w:val="0"/>
      <w:marRight w:val="0"/>
      <w:marTop w:val="0"/>
      <w:marBottom w:val="0"/>
      <w:divBdr>
        <w:top w:val="none" w:sz="0" w:space="0" w:color="auto"/>
        <w:left w:val="none" w:sz="0" w:space="0" w:color="auto"/>
        <w:bottom w:val="none" w:sz="0" w:space="0" w:color="auto"/>
        <w:right w:val="none" w:sz="0" w:space="0" w:color="auto"/>
      </w:divBdr>
    </w:div>
    <w:div w:id="211500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c.europa.eu/eurostat/statistics-explained/index.php/File:Total_general_government_expenditure_on_education,_2015_(%25_of_GDP_%25_of_total_expenditure)-T1.png" TargetMode="Externa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10.1.4.23/Litlex/LL.DLL?Tekstas=1?Id=43079&amp;Zd=vietos%2Bsavivaldos&amp;BF=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www.compareyourcountry.org/pisa/country/LTU"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10.1.4.23/Litlex/LL.DLL?Tekstas=1?Id=43079&amp;Zd=vietos%2Bsavivaldos&amp;BF=4"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llri.lt/wp-content/uploads/2017/01/PB-Svietimas_01_11.pdf"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2013</c:v>
                </c:pt>
              </c:strCache>
            </c:strRef>
          </c:tx>
          <c:spPr>
            <a:solidFill>
              <a:schemeClr val="accent1"/>
            </a:solidFill>
            <a:ln>
              <a:noFill/>
            </a:ln>
            <a:effectLst/>
          </c:spPr>
          <c:invertIfNegative val="0"/>
          <c:cat>
            <c:strRef>
              <c:f>Sheet1!$A$2:$A$11</c:f>
              <c:strCache>
                <c:ptCount val="10"/>
                <c:pt idx="0">
                  <c:v>Iš viso</c:v>
                </c:pt>
                <c:pt idx="1">
                  <c:v>0-4 </c:v>
                </c:pt>
                <c:pt idx="2">
                  <c:v>5-9 darbuotojai</c:v>
                </c:pt>
                <c:pt idx="3">
                  <c:v>10-19 darbuotojų</c:v>
                </c:pt>
                <c:pt idx="4">
                  <c:v>20-49 darbuotojai</c:v>
                </c:pt>
                <c:pt idx="5">
                  <c:v>50-99 darbuotojai</c:v>
                </c:pt>
                <c:pt idx="6">
                  <c:v>100-149 darbuotojai</c:v>
                </c:pt>
                <c:pt idx="7">
                  <c:v>150-249 darbuotojai</c:v>
                </c:pt>
                <c:pt idx="8">
                  <c:v>250-499 darbuotojai</c:v>
                </c:pt>
                <c:pt idx="9">
                  <c:v>500-999 darbuotojai</c:v>
                </c:pt>
              </c:strCache>
            </c:strRef>
          </c:cat>
          <c:val>
            <c:numRef>
              <c:f>Sheet1!$B$2:$B$11</c:f>
              <c:numCache>
                <c:formatCode>General</c:formatCode>
                <c:ptCount val="10"/>
                <c:pt idx="0">
                  <c:v>149</c:v>
                </c:pt>
                <c:pt idx="1">
                  <c:v>77</c:v>
                </c:pt>
                <c:pt idx="2">
                  <c:v>35</c:v>
                </c:pt>
                <c:pt idx="3">
                  <c:v>16</c:v>
                </c:pt>
                <c:pt idx="4">
                  <c:v>13</c:v>
                </c:pt>
                <c:pt idx="5">
                  <c:v>3</c:v>
                </c:pt>
                <c:pt idx="6">
                  <c:v>2</c:v>
                </c:pt>
                <c:pt idx="7">
                  <c:v>2</c:v>
                </c:pt>
                <c:pt idx="8">
                  <c:v>1</c:v>
                </c:pt>
              </c:numCache>
            </c:numRef>
          </c:val>
        </c:ser>
        <c:ser>
          <c:idx val="1"/>
          <c:order val="1"/>
          <c:tx>
            <c:strRef>
              <c:f>Sheet1!$C$1</c:f>
              <c:strCache>
                <c:ptCount val="1"/>
                <c:pt idx="0">
                  <c:v>2014</c:v>
                </c:pt>
              </c:strCache>
            </c:strRef>
          </c:tx>
          <c:spPr>
            <a:solidFill>
              <a:schemeClr val="accent2"/>
            </a:solidFill>
            <a:ln>
              <a:noFill/>
            </a:ln>
            <a:effectLst/>
          </c:spPr>
          <c:invertIfNegative val="0"/>
          <c:cat>
            <c:strRef>
              <c:f>Sheet1!$A$2:$A$11</c:f>
              <c:strCache>
                <c:ptCount val="10"/>
                <c:pt idx="0">
                  <c:v>Iš viso</c:v>
                </c:pt>
                <c:pt idx="1">
                  <c:v>0-4 </c:v>
                </c:pt>
                <c:pt idx="2">
                  <c:v>5-9 darbuotojai</c:v>
                </c:pt>
                <c:pt idx="3">
                  <c:v>10-19 darbuotojų</c:v>
                </c:pt>
                <c:pt idx="4">
                  <c:v>20-49 darbuotojai</c:v>
                </c:pt>
                <c:pt idx="5">
                  <c:v>50-99 darbuotojai</c:v>
                </c:pt>
                <c:pt idx="6">
                  <c:v>100-149 darbuotojai</c:v>
                </c:pt>
                <c:pt idx="7">
                  <c:v>150-249 darbuotojai</c:v>
                </c:pt>
                <c:pt idx="8">
                  <c:v>250-499 darbuotojai</c:v>
                </c:pt>
                <c:pt idx="9">
                  <c:v>500-999 darbuotojai</c:v>
                </c:pt>
              </c:strCache>
            </c:strRef>
          </c:cat>
          <c:val>
            <c:numRef>
              <c:f>Sheet1!$C$2:$C$11</c:f>
              <c:numCache>
                <c:formatCode>General</c:formatCode>
                <c:ptCount val="10"/>
                <c:pt idx="0">
                  <c:v>152</c:v>
                </c:pt>
                <c:pt idx="1">
                  <c:v>86</c:v>
                </c:pt>
                <c:pt idx="2">
                  <c:v>28</c:v>
                </c:pt>
                <c:pt idx="3">
                  <c:v>21</c:v>
                </c:pt>
                <c:pt idx="4">
                  <c:v>9</c:v>
                </c:pt>
                <c:pt idx="5">
                  <c:v>3</c:v>
                </c:pt>
                <c:pt idx="6">
                  <c:v>2</c:v>
                </c:pt>
                <c:pt idx="7">
                  <c:v>2</c:v>
                </c:pt>
                <c:pt idx="8">
                  <c:v>1</c:v>
                </c:pt>
              </c:numCache>
            </c:numRef>
          </c:val>
        </c:ser>
        <c:ser>
          <c:idx val="2"/>
          <c:order val="2"/>
          <c:tx>
            <c:strRef>
              <c:f>Sheet1!$D$1</c:f>
              <c:strCache>
                <c:ptCount val="1"/>
                <c:pt idx="0">
                  <c:v>2015</c:v>
                </c:pt>
              </c:strCache>
            </c:strRef>
          </c:tx>
          <c:spPr>
            <a:solidFill>
              <a:schemeClr val="accent3"/>
            </a:solidFill>
            <a:ln>
              <a:noFill/>
            </a:ln>
            <a:effectLst/>
          </c:spPr>
          <c:invertIfNegative val="0"/>
          <c:cat>
            <c:strRef>
              <c:f>Sheet1!$A$2:$A$11</c:f>
              <c:strCache>
                <c:ptCount val="10"/>
                <c:pt idx="0">
                  <c:v>Iš viso</c:v>
                </c:pt>
                <c:pt idx="1">
                  <c:v>0-4 </c:v>
                </c:pt>
                <c:pt idx="2">
                  <c:v>5-9 darbuotojai</c:v>
                </c:pt>
                <c:pt idx="3">
                  <c:v>10-19 darbuotojų</c:v>
                </c:pt>
                <c:pt idx="4">
                  <c:v>20-49 darbuotojai</c:v>
                </c:pt>
                <c:pt idx="5">
                  <c:v>50-99 darbuotojai</c:v>
                </c:pt>
                <c:pt idx="6">
                  <c:v>100-149 darbuotojai</c:v>
                </c:pt>
                <c:pt idx="7">
                  <c:v>150-249 darbuotojai</c:v>
                </c:pt>
                <c:pt idx="8">
                  <c:v>250-499 darbuotojai</c:v>
                </c:pt>
                <c:pt idx="9">
                  <c:v>500-999 darbuotojai</c:v>
                </c:pt>
              </c:strCache>
            </c:strRef>
          </c:cat>
          <c:val>
            <c:numRef>
              <c:f>Sheet1!$D$2:$D$11</c:f>
              <c:numCache>
                <c:formatCode>General</c:formatCode>
                <c:ptCount val="10"/>
                <c:pt idx="0">
                  <c:v>167</c:v>
                </c:pt>
                <c:pt idx="1">
                  <c:v>100</c:v>
                </c:pt>
                <c:pt idx="2">
                  <c:v>30</c:v>
                </c:pt>
                <c:pt idx="3">
                  <c:v>21</c:v>
                </c:pt>
                <c:pt idx="4">
                  <c:v>6</c:v>
                </c:pt>
                <c:pt idx="5">
                  <c:v>6</c:v>
                </c:pt>
                <c:pt idx="6">
                  <c:v>2</c:v>
                </c:pt>
                <c:pt idx="7">
                  <c:v>2</c:v>
                </c:pt>
              </c:numCache>
            </c:numRef>
          </c:val>
        </c:ser>
        <c:ser>
          <c:idx val="3"/>
          <c:order val="3"/>
          <c:tx>
            <c:strRef>
              <c:f>Sheet1!$E$1</c:f>
              <c:strCache>
                <c:ptCount val="1"/>
                <c:pt idx="0">
                  <c:v>2016</c:v>
                </c:pt>
              </c:strCache>
            </c:strRef>
          </c:tx>
          <c:spPr>
            <a:solidFill>
              <a:schemeClr val="accent4"/>
            </a:solidFill>
            <a:ln>
              <a:noFill/>
            </a:ln>
            <a:effectLst/>
          </c:spPr>
          <c:invertIfNegative val="0"/>
          <c:cat>
            <c:strRef>
              <c:f>Sheet1!$A$2:$A$11</c:f>
              <c:strCache>
                <c:ptCount val="10"/>
                <c:pt idx="0">
                  <c:v>Iš viso</c:v>
                </c:pt>
                <c:pt idx="1">
                  <c:v>0-4 </c:v>
                </c:pt>
                <c:pt idx="2">
                  <c:v>5-9 darbuotojai</c:v>
                </c:pt>
                <c:pt idx="3">
                  <c:v>10-19 darbuotojų</c:v>
                </c:pt>
                <c:pt idx="4">
                  <c:v>20-49 darbuotojai</c:v>
                </c:pt>
                <c:pt idx="5">
                  <c:v>50-99 darbuotojai</c:v>
                </c:pt>
                <c:pt idx="6">
                  <c:v>100-149 darbuotojai</c:v>
                </c:pt>
                <c:pt idx="7">
                  <c:v>150-249 darbuotojai</c:v>
                </c:pt>
                <c:pt idx="8">
                  <c:v>250-499 darbuotojai</c:v>
                </c:pt>
                <c:pt idx="9">
                  <c:v>500-999 darbuotojai</c:v>
                </c:pt>
              </c:strCache>
            </c:strRef>
          </c:cat>
          <c:val>
            <c:numRef>
              <c:f>Sheet1!$E$2:$E$11</c:f>
              <c:numCache>
                <c:formatCode>General</c:formatCode>
                <c:ptCount val="10"/>
                <c:pt idx="0">
                  <c:v>171</c:v>
                </c:pt>
                <c:pt idx="1">
                  <c:v>104</c:v>
                </c:pt>
                <c:pt idx="2">
                  <c:v>27</c:v>
                </c:pt>
                <c:pt idx="3">
                  <c:v>24</c:v>
                </c:pt>
                <c:pt idx="4">
                  <c:v>6</c:v>
                </c:pt>
                <c:pt idx="5">
                  <c:v>6</c:v>
                </c:pt>
                <c:pt idx="6">
                  <c:v>2</c:v>
                </c:pt>
                <c:pt idx="7">
                  <c:v>1</c:v>
                </c:pt>
                <c:pt idx="9">
                  <c:v>1</c:v>
                </c:pt>
              </c:numCache>
            </c:numRef>
          </c:val>
        </c:ser>
        <c:ser>
          <c:idx val="4"/>
          <c:order val="4"/>
          <c:tx>
            <c:strRef>
              <c:f>Sheet1!$F$1</c:f>
              <c:strCache>
                <c:ptCount val="1"/>
                <c:pt idx="0">
                  <c:v>2017</c:v>
                </c:pt>
              </c:strCache>
            </c:strRef>
          </c:tx>
          <c:spPr>
            <a:solidFill>
              <a:schemeClr val="accent5"/>
            </a:solidFill>
            <a:ln>
              <a:noFill/>
            </a:ln>
            <a:effectLst/>
          </c:spPr>
          <c:invertIfNegative val="0"/>
          <c:cat>
            <c:strRef>
              <c:f>Sheet1!$A$2:$A$11</c:f>
              <c:strCache>
                <c:ptCount val="10"/>
                <c:pt idx="0">
                  <c:v>Iš viso</c:v>
                </c:pt>
                <c:pt idx="1">
                  <c:v>0-4 </c:v>
                </c:pt>
                <c:pt idx="2">
                  <c:v>5-9 darbuotojai</c:v>
                </c:pt>
                <c:pt idx="3">
                  <c:v>10-19 darbuotojų</c:v>
                </c:pt>
                <c:pt idx="4">
                  <c:v>20-49 darbuotojai</c:v>
                </c:pt>
                <c:pt idx="5">
                  <c:v>50-99 darbuotojai</c:v>
                </c:pt>
                <c:pt idx="6">
                  <c:v>100-149 darbuotojai</c:v>
                </c:pt>
                <c:pt idx="7">
                  <c:v>150-249 darbuotojai</c:v>
                </c:pt>
                <c:pt idx="8">
                  <c:v>250-499 darbuotojai</c:v>
                </c:pt>
                <c:pt idx="9">
                  <c:v>500-999 darbuotojai</c:v>
                </c:pt>
              </c:strCache>
            </c:strRef>
          </c:cat>
          <c:val>
            <c:numRef>
              <c:f>Sheet1!$F$2:$F$11</c:f>
              <c:numCache>
                <c:formatCode>General</c:formatCode>
                <c:ptCount val="10"/>
                <c:pt idx="0">
                  <c:v>179</c:v>
                </c:pt>
                <c:pt idx="1">
                  <c:v>111</c:v>
                </c:pt>
                <c:pt idx="2">
                  <c:v>30</c:v>
                </c:pt>
                <c:pt idx="3">
                  <c:v>21</c:v>
                </c:pt>
                <c:pt idx="4">
                  <c:v>7</c:v>
                </c:pt>
                <c:pt idx="5">
                  <c:v>6</c:v>
                </c:pt>
                <c:pt idx="6">
                  <c:v>2</c:v>
                </c:pt>
                <c:pt idx="7">
                  <c:v>1</c:v>
                </c:pt>
                <c:pt idx="9">
                  <c:v>1</c:v>
                </c:pt>
              </c:numCache>
            </c:numRef>
          </c:val>
        </c:ser>
        <c:dLbls>
          <c:showLegendKey val="0"/>
          <c:showVal val="0"/>
          <c:showCatName val="0"/>
          <c:showSerName val="0"/>
          <c:showPercent val="0"/>
          <c:showBubbleSize val="0"/>
        </c:dLbls>
        <c:gapWidth val="267"/>
        <c:overlap val="-43"/>
        <c:axId val="-1296970320"/>
        <c:axId val="-1296983920"/>
      </c:barChart>
      <c:catAx>
        <c:axId val="-12969703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lt-LT"/>
          </a:p>
        </c:txPr>
        <c:crossAx val="-1296983920"/>
        <c:crosses val="autoZero"/>
        <c:auto val="1"/>
        <c:lblAlgn val="ctr"/>
        <c:lblOffset val="100"/>
        <c:noMultiLvlLbl val="0"/>
      </c:catAx>
      <c:valAx>
        <c:axId val="-12969839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crossAx val="-1296970320"/>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a:defRPr sz="800" b="0" i="0" u="none" strike="noStrike" kern="1200" baseline="0">
                <a:solidFill>
                  <a:schemeClr val="dk1">
                    <a:lumMod val="65000"/>
                    <a:lumOff val="35000"/>
                  </a:schemeClr>
                </a:solidFill>
                <a:latin typeface="+mn-lt"/>
                <a:ea typeface="+mn-ea"/>
                <a:cs typeface="+mn-cs"/>
              </a:defRPr>
            </a:pPr>
            <a:endParaRPr lang="lt-LT"/>
          </a:p>
        </c:txPr>
      </c:dTable>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Lietuvos Respublika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2016 K2</c:v>
                </c:pt>
                <c:pt idx="1">
                  <c:v>2016 K3</c:v>
                </c:pt>
                <c:pt idx="2">
                  <c:v>2016 K4</c:v>
                </c:pt>
                <c:pt idx="3">
                  <c:v>2017 K1</c:v>
                </c:pt>
                <c:pt idx="4">
                  <c:v>2017 K2</c:v>
                </c:pt>
              </c:strCache>
            </c:strRef>
          </c:cat>
          <c:val>
            <c:numRef>
              <c:f>Sheet1!$B$2:$B$6</c:f>
              <c:numCache>
                <c:formatCode>General</c:formatCode>
                <c:ptCount val="5"/>
                <c:pt idx="0">
                  <c:v>771.9</c:v>
                </c:pt>
                <c:pt idx="1">
                  <c:v>793.3</c:v>
                </c:pt>
                <c:pt idx="2">
                  <c:v>822.8</c:v>
                </c:pt>
                <c:pt idx="3">
                  <c:v>817.6</c:v>
                </c:pt>
                <c:pt idx="4">
                  <c:v>838.7</c:v>
                </c:pt>
              </c:numCache>
            </c:numRef>
          </c:val>
        </c:ser>
        <c:ser>
          <c:idx val="1"/>
          <c:order val="1"/>
          <c:tx>
            <c:strRef>
              <c:f>Sheet1!$C$1</c:f>
              <c:strCache>
                <c:ptCount val="1"/>
                <c:pt idx="0">
                  <c:v>Kazlų Rūda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2016 K2</c:v>
                </c:pt>
                <c:pt idx="1">
                  <c:v>2016 K3</c:v>
                </c:pt>
                <c:pt idx="2">
                  <c:v>2016 K4</c:v>
                </c:pt>
                <c:pt idx="3">
                  <c:v>2017 K1</c:v>
                </c:pt>
                <c:pt idx="4">
                  <c:v>2017 K2</c:v>
                </c:pt>
              </c:strCache>
            </c:strRef>
          </c:cat>
          <c:val>
            <c:numRef>
              <c:f>Sheet1!$C$2:$C$6</c:f>
              <c:numCache>
                <c:formatCode>General</c:formatCode>
                <c:ptCount val="5"/>
                <c:pt idx="0">
                  <c:v>732.5</c:v>
                </c:pt>
                <c:pt idx="1">
                  <c:v>755.6</c:v>
                </c:pt>
                <c:pt idx="2">
                  <c:v>765.5</c:v>
                </c:pt>
                <c:pt idx="3">
                  <c:v>800.7</c:v>
                </c:pt>
                <c:pt idx="4">
                  <c:v>801</c:v>
                </c:pt>
              </c:numCache>
            </c:numRef>
          </c:val>
        </c:ser>
        <c:dLbls>
          <c:dLblPos val="outEnd"/>
          <c:showLegendKey val="0"/>
          <c:showVal val="1"/>
          <c:showCatName val="0"/>
          <c:showSerName val="0"/>
          <c:showPercent val="0"/>
          <c:showBubbleSize val="0"/>
        </c:dLbls>
        <c:gapWidth val="267"/>
        <c:overlap val="-43"/>
        <c:axId val="-1296967056"/>
        <c:axId val="-1296965424"/>
      </c:barChart>
      <c:catAx>
        <c:axId val="-129696705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lt-LT"/>
          </a:p>
        </c:txPr>
        <c:crossAx val="-1296965424"/>
        <c:crosses val="autoZero"/>
        <c:auto val="1"/>
        <c:lblAlgn val="ctr"/>
        <c:lblOffset val="100"/>
        <c:noMultiLvlLbl val="0"/>
      </c:catAx>
      <c:valAx>
        <c:axId val="-129696542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crossAx val="-129696705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lt-LT"/>
              <a:t>Gyventojų skaičius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lt-LT"/>
        </a:p>
      </c:txPr>
    </c:title>
    <c:autoTitleDeleted val="0"/>
    <c:plotArea>
      <c:layout/>
      <c:barChart>
        <c:barDir val="col"/>
        <c:grouping val="clustered"/>
        <c:varyColors val="0"/>
        <c:ser>
          <c:idx val="0"/>
          <c:order val="0"/>
          <c:tx>
            <c:strRef>
              <c:f>Sheet1!$B$1</c:f>
              <c:strCache>
                <c:ptCount val="1"/>
                <c:pt idx="0">
                  <c:v>Miestas ir kaimas</c:v>
                </c:pt>
              </c:strCache>
            </c:strRef>
          </c:tx>
          <c:spPr>
            <a:solidFill>
              <a:schemeClr val="accent1"/>
            </a:solidFill>
            <a:ln>
              <a:noFill/>
            </a:ln>
            <a:effectLst/>
          </c:spPr>
          <c:invertIfNegative val="0"/>
          <c:cat>
            <c:strRef>
              <c:f>Sheet1!$A$2:$A$6</c:f>
              <c:strCache>
                <c:ptCount val="5"/>
                <c:pt idx="0">
                  <c:v>2013 m.</c:v>
                </c:pt>
                <c:pt idx="1">
                  <c:v>2014 m.</c:v>
                </c:pt>
                <c:pt idx="2">
                  <c:v>2015 m.</c:v>
                </c:pt>
                <c:pt idx="3">
                  <c:v> 2016 m.</c:v>
                </c:pt>
                <c:pt idx="4">
                  <c:v>2017 m.</c:v>
                </c:pt>
              </c:strCache>
            </c:strRef>
          </c:cat>
          <c:val>
            <c:numRef>
              <c:f>Sheet1!$B$2:$B$6</c:f>
              <c:numCache>
                <c:formatCode>General</c:formatCode>
                <c:ptCount val="5"/>
                <c:pt idx="0">
                  <c:v>12684</c:v>
                </c:pt>
                <c:pt idx="1">
                  <c:v>12567</c:v>
                </c:pt>
                <c:pt idx="2">
                  <c:v>12428</c:v>
                </c:pt>
                <c:pt idx="3">
                  <c:v>12261</c:v>
                </c:pt>
                <c:pt idx="4">
                  <c:v>11860</c:v>
                </c:pt>
              </c:numCache>
            </c:numRef>
          </c:val>
        </c:ser>
        <c:ser>
          <c:idx val="1"/>
          <c:order val="1"/>
          <c:tx>
            <c:strRef>
              <c:f>Sheet1!$C$1</c:f>
              <c:strCache>
                <c:ptCount val="1"/>
                <c:pt idx="0">
                  <c:v>Miestas</c:v>
                </c:pt>
              </c:strCache>
            </c:strRef>
          </c:tx>
          <c:spPr>
            <a:solidFill>
              <a:schemeClr val="accent2"/>
            </a:solidFill>
            <a:ln>
              <a:noFill/>
            </a:ln>
            <a:effectLst/>
          </c:spPr>
          <c:invertIfNegative val="0"/>
          <c:cat>
            <c:strRef>
              <c:f>Sheet1!$A$2:$A$6</c:f>
              <c:strCache>
                <c:ptCount val="5"/>
                <c:pt idx="0">
                  <c:v>2013 m.</c:v>
                </c:pt>
                <c:pt idx="1">
                  <c:v>2014 m.</c:v>
                </c:pt>
                <c:pt idx="2">
                  <c:v>2015 m.</c:v>
                </c:pt>
                <c:pt idx="3">
                  <c:v> 2016 m.</c:v>
                </c:pt>
                <c:pt idx="4">
                  <c:v>2017 m.</c:v>
                </c:pt>
              </c:strCache>
            </c:strRef>
          </c:cat>
          <c:val>
            <c:numRef>
              <c:f>Sheet1!$C$2:$C$6</c:f>
              <c:numCache>
                <c:formatCode>General</c:formatCode>
                <c:ptCount val="5"/>
                <c:pt idx="0">
                  <c:v>6346</c:v>
                </c:pt>
                <c:pt idx="1">
                  <c:v>6296</c:v>
                </c:pt>
                <c:pt idx="2">
                  <c:v>6186</c:v>
                </c:pt>
                <c:pt idx="3">
                  <c:v>6104</c:v>
                </c:pt>
                <c:pt idx="4">
                  <c:v>5894</c:v>
                </c:pt>
              </c:numCache>
            </c:numRef>
          </c:val>
        </c:ser>
        <c:ser>
          <c:idx val="2"/>
          <c:order val="2"/>
          <c:tx>
            <c:strRef>
              <c:f>Sheet1!$D$1</c:f>
              <c:strCache>
                <c:ptCount val="1"/>
                <c:pt idx="0">
                  <c:v>Kaimas</c:v>
                </c:pt>
              </c:strCache>
            </c:strRef>
          </c:tx>
          <c:spPr>
            <a:solidFill>
              <a:schemeClr val="accent3"/>
            </a:solidFill>
            <a:ln>
              <a:noFill/>
            </a:ln>
            <a:effectLst/>
          </c:spPr>
          <c:invertIfNegative val="0"/>
          <c:cat>
            <c:strRef>
              <c:f>Sheet1!$A$2:$A$6</c:f>
              <c:strCache>
                <c:ptCount val="5"/>
                <c:pt idx="0">
                  <c:v>2013 m.</c:v>
                </c:pt>
                <c:pt idx="1">
                  <c:v>2014 m.</c:v>
                </c:pt>
                <c:pt idx="2">
                  <c:v>2015 m.</c:v>
                </c:pt>
                <c:pt idx="3">
                  <c:v> 2016 m.</c:v>
                </c:pt>
                <c:pt idx="4">
                  <c:v>2017 m.</c:v>
                </c:pt>
              </c:strCache>
            </c:strRef>
          </c:cat>
          <c:val>
            <c:numRef>
              <c:f>Sheet1!$D$2:$D$6</c:f>
              <c:numCache>
                <c:formatCode>General</c:formatCode>
                <c:ptCount val="5"/>
                <c:pt idx="0">
                  <c:v>6338</c:v>
                </c:pt>
                <c:pt idx="1">
                  <c:v>6271</c:v>
                </c:pt>
                <c:pt idx="2">
                  <c:v>6242</c:v>
                </c:pt>
                <c:pt idx="3">
                  <c:v>6157</c:v>
                </c:pt>
                <c:pt idx="4">
                  <c:v>5966</c:v>
                </c:pt>
              </c:numCache>
            </c:numRef>
          </c:val>
        </c:ser>
        <c:dLbls>
          <c:showLegendKey val="0"/>
          <c:showVal val="0"/>
          <c:showCatName val="0"/>
          <c:showSerName val="0"/>
          <c:showPercent val="0"/>
          <c:showBubbleSize val="0"/>
        </c:dLbls>
        <c:gapWidth val="267"/>
        <c:overlap val="-43"/>
        <c:axId val="-1472470736"/>
        <c:axId val="-1472476720"/>
      </c:barChart>
      <c:catAx>
        <c:axId val="-147247073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lt-LT"/>
          </a:p>
        </c:txPr>
        <c:crossAx val="-1472476720"/>
        <c:crosses val="autoZero"/>
        <c:auto val="1"/>
        <c:lblAlgn val="ctr"/>
        <c:lblOffset val="100"/>
        <c:noMultiLvlLbl val="0"/>
      </c:catAx>
      <c:valAx>
        <c:axId val="-14724767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crossAx val="-1472470736"/>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a:defRPr sz="800" b="0" i="0" u="none" strike="noStrike" kern="1200" baseline="0">
                <a:solidFill>
                  <a:schemeClr val="dk1">
                    <a:lumMod val="65000"/>
                    <a:lumOff val="35000"/>
                  </a:schemeClr>
                </a:solidFill>
                <a:latin typeface="+mn-lt"/>
                <a:ea typeface="+mn-ea"/>
                <a:cs typeface="+mn-cs"/>
              </a:defRPr>
            </a:pPr>
            <a:endParaRPr lang="lt-LT"/>
          </a:p>
        </c:txPr>
      </c:dTable>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Lietuvių k.</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Sheet1!$A$2:$A$5</c:f>
              <c:numCache>
                <c:formatCode>General</c:formatCode>
                <c:ptCount val="4"/>
                <c:pt idx="0">
                  <c:v>2014</c:v>
                </c:pt>
                <c:pt idx="1">
                  <c:v>2015</c:v>
                </c:pt>
                <c:pt idx="2">
                  <c:v>2016</c:v>
                </c:pt>
                <c:pt idx="3">
                  <c:v>2017</c:v>
                </c:pt>
              </c:numCache>
            </c:numRef>
          </c:xVal>
          <c:yVal>
            <c:numRef>
              <c:f>Sheet1!$B$2:$B$5</c:f>
              <c:numCache>
                <c:formatCode>General</c:formatCode>
                <c:ptCount val="4"/>
                <c:pt idx="0">
                  <c:v>88.2</c:v>
                </c:pt>
                <c:pt idx="1">
                  <c:v>78.3</c:v>
                </c:pt>
                <c:pt idx="2">
                  <c:v>86.89</c:v>
                </c:pt>
                <c:pt idx="3">
                  <c:v>82.35</c:v>
                </c:pt>
              </c:numCache>
            </c:numRef>
          </c:yVal>
          <c:smooth val="0"/>
        </c:ser>
        <c:ser>
          <c:idx val="1"/>
          <c:order val="1"/>
          <c:tx>
            <c:strRef>
              <c:f>Sheet1!$C$1</c:f>
              <c:strCache>
                <c:ptCount val="1"/>
                <c:pt idx="0">
                  <c:v>Matematika</c:v>
                </c:pt>
              </c:strCache>
            </c:strRef>
          </c:tx>
          <c:spPr>
            <a:ln w="2222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Sheet1!$A$2:$A$5</c:f>
              <c:numCache>
                <c:formatCode>General</c:formatCode>
                <c:ptCount val="4"/>
                <c:pt idx="0">
                  <c:v>2014</c:v>
                </c:pt>
                <c:pt idx="1">
                  <c:v>2015</c:v>
                </c:pt>
                <c:pt idx="2">
                  <c:v>2016</c:v>
                </c:pt>
                <c:pt idx="3">
                  <c:v>2017</c:v>
                </c:pt>
              </c:numCache>
            </c:numRef>
          </c:xVal>
          <c:yVal>
            <c:numRef>
              <c:f>Sheet1!$C$2:$C$5</c:f>
              <c:numCache>
                <c:formatCode>General</c:formatCode>
                <c:ptCount val="4"/>
                <c:pt idx="0">
                  <c:v>73.2</c:v>
                </c:pt>
                <c:pt idx="1">
                  <c:v>87.9</c:v>
                </c:pt>
                <c:pt idx="2">
                  <c:v>81.900000000000006</c:v>
                </c:pt>
                <c:pt idx="3">
                  <c:v>94.44</c:v>
                </c:pt>
              </c:numCache>
            </c:numRef>
          </c:yVal>
          <c:smooth val="0"/>
        </c:ser>
        <c:ser>
          <c:idx val="2"/>
          <c:order val="2"/>
          <c:tx>
            <c:strRef>
              <c:f>Sheet1!$D$1</c:f>
              <c:strCache>
                <c:ptCount val="1"/>
                <c:pt idx="0">
                  <c:v>Istorija</c:v>
                </c:pt>
              </c:strCache>
            </c:strRef>
          </c:tx>
          <c:spPr>
            <a:ln w="2222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Sheet1!$A$2:$A$5</c:f>
              <c:numCache>
                <c:formatCode>General</c:formatCode>
                <c:ptCount val="4"/>
                <c:pt idx="0">
                  <c:v>2014</c:v>
                </c:pt>
                <c:pt idx="1">
                  <c:v>2015</c:v>
                </c:pt>
                <c:pt idx="2">
                  <c:v>2016</c:v>
                </c:pt>
                <c:pt idx="3">
                  <c:v>2017</c:v>
                </c:pt>
              </c:numCache>
            </c:numRef>
          </c:xVal>
          <c:yVal>
            <c:numRef>
              <c:f>Sheet1!$D$2:$D$5</c:f>
              <c:numCache>
                <c:formatCode>General</c:formatCode>
                <c:ptCount val="4"/>
                <c:pt idx="0">
                  <c:v>100</c:v>
                </c:pt>
                <c:pt idx="1">
                  <c:v>100</c:v>
                </c:pt>
                <c:pt idx="2">
                  <c:v>96.97</c:v>
                </c:pt>
                <c:pt idx="3">
                  <c:v>94.87</c:v>
                </c:pt>
              </c:numCache>
            </c:numRef>
          </c:yVal>
          <c:smooth val="0"/>
        </c:ser>
        <c:ser>
          <c:idx val="3"/>
          <c:order val="3"/>
          <c:tx>
            <c:strRef>
              <c:f>Sheet1!$E$1</c:f>
              <c:strCache>
                <c:ptCount val="1"/>
                <c:pt idx="0">
                  <c:v>Užsienio k. (anglų k.)</c:v>
                </c:pt>
              </c:strCache>
            </c:strRef>
          </c:tx>
          <c:spPr>
            <a:ln w="2222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Sheet1!$A$2:$A$5</c:f>
              <c:numCache>
                <c:formatCode>General</c:formatCode>
                <c:ptCount val="4"/>
                <c:pt idx="0">
                  <c:v>2014</c:v>
                </c:pt>
                <c:pt idx="1">
                  <c:v>2015</c:v>
                </c:pt>
                <c:pt idx="2">
                  <c:v>2016</c:v>
                </c:pt>
                <c:pt idx="3">
                  <c:v>2017</c:v>
                </c:pt>
              </c:numCache>
            </c:numRef>
          </c:xVal>
          <c:yVal>
            <c:numRef>
              <c:f>Sheet1!$E$2:$E$5</c:f>
              <c:numCache>
                <c:formatCode>General</c:formatCode>
                <c:ptCount val="4"/>
                <c:pt idx="0">
                  <c:v>98.4</c:v>
                </c:pt>
                <c:pt idx="1">
                  <c:v>100</c:v>
                </c:pt>
                <c:pt idx="2">
                  <c:v>100</c:v>
                </c:pt>
                <c:pt idx="3">
                  <c:v>98.75</c:v>
                </c:pt>
              </c:numCache>
            </c:numRef>
          </c:yVal>
          <c:smooth val="0"/>
        </c:ser>
        <c:dLbls>
          <c:showLegendKey val="0"/>
          <c:showVal val="0"/>
          <c:showCatName val="0"/>
          <c:showSerName val="0"/>
          <c:showPercent val="0"/>
          <c:showBubbleSize val="0"/>
        </c:dLbls>
        <c:axId val="-1472468016"/>
        <c:axId val="-1472476176"/>
      </c:scatterChart>
      <c:valAx>
        <c:axId val="-147246801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crossAx val="-1472476176"/>
        <c:crossesAt val="50"/>
        <c:crossBetween val="midCat"/>
      </c:valAx>
      <c:valAx>
        <c:axId val="-1472476176"/>
        <c:scaling>
          <c:orientation val="minMax"/>
          <c:min val="50"/>
        </c:scaling>
        <c:delete val="0"/>
        <c:axPos val="l"/>
        <c:majorGridlines>
          <c:spPr>
            <a:ln w="9525" cap="flat" cmpd="sng" algn="ctr">
              <a:solidFill>
                <a:schemeClr val="dk1">
                  <a:lumMod val="15000"/>
                  <a:lumOff val="85000"/>
                </a:schemeClr>
              </a:solidFill>
              <a:round/>
            </a:ln>
            <a:effectLst/>
          </c:spPr>
        </c:majorGridlines>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crossAx val="-1472468016"/>
        <c:crosses val="autoZero"/>
        <c:crossBetween val="midCat"/>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legend>
    <c:plotVisOnly val="1"/>
    <c:dispBlanksAs val="gap"/>
    <c:showDLblsOverMax val="0"/>
  </c:chart>
  <c:spPr>
    <a:solidFill>
      <a:schemeClr val="lt1"/>
    </a:solidFill>
    <a:ln w="9525" cap="flat" cmpd="sng" algn="ctr">
      <a:solidFill>
        <a:schemeClr val="accent1"/>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Asmenų skaičius, kuriems skirta socialinė parama</c:v>
                </c:pt>
              </c:strCache>
            </c:strRef>
          </c:tx>
          <c:spPr>
            <a:solidFill>
              <a:schemeClr val="accent1"/>
            </a:solidFill>
            <a:ln>
              <a:noFill/>
            </a:ln>
            <a:effectLst/>
          </c:spPr>
          <c:invertIfNegative val="0"/>
          <c:cat>
            <c:numRef>
              <c:f>Sheet1!$A$2:$A$4</c:f>
              <c:numCache>
                <c:formatCode>General</c:formatCode>
                <c:ptCount val="3"/>
                <c:pt idx="0">
                  <c:v>2015</c:v>
                </c:pt>
                <c:pt idx="1">
                  <c:v>2016</c:v>
                </c:pt>
                <c:pt idx="2">
                  <c:v>2017</c:v>
                </c:pt>
              </c:numCache>
            </c:numRef>
          </c:cat>
          <c:val>
            <c:numRef>
              <c:f>Sheet1!$B$2:$B$4</c:f>
              <c:numCache>
                <c:formatCode>General</c:formatCode>
                <c:ptCount val="3"/>
                <c:pt idx="0">
                  <c:v>634</c:v>
                </c:pt>
                <c:pt idx="1">
                  <c:v>557</c:v>
                </c:pt>
                <c:pt idx="2">
                  <c:v>660</c:v>
                </c:pt>
              </c:numCache>
            </c:numRef>
          </c:val>
        </c:ser>
        <c:ser>
          <c:idx val="1"/>
          <c:order val="1"/>
          <c:tx>
            <c:strRef>
              <c:f>Sheet1!$C$1</c:f>
              <c:strCache>
                <c:ptCount val="1"/>
                <c:pt idx="0">
                  <c:v>Asmenų skaičius, kuriems skirta kompensacija už būsto šildymą</c:v>
                </c:pt>
              </c:strCache>
            </c:strRef>
          </c:tx>
          <c:spPr>
            <a:solidFill>
              <a:schemeClr val="accent2"/>
            </a:solidFill>
            <a:ln>
              <a:noFill/>
            </a:ln>
            <a:effectLst/>
          </c:spPr>
          <c:invertIfNegative val="0"/>
          <c:cat>
            <c:numRef>
              <c:f>Sheet1!$A$2:$A$4</c:f>
              <c:numCache>
                <c:formatCode>General</c:formatCode>
                <c:ptCount val="3"/>
                <c:pt idx="0">
                  <c:v>2015</c:v>
                </c:pt>
                <c:pt idx="1">
                  <c:v>2016</c:v>
                </c:pt>
                <c:pt idx="2">
                  <c:v>2017</c:v>
                </c:pt>
              </c:numCache>
            </c:numRef>
          </c:cat>
          <c:val>
            <c:numRef>
              <c:f>Sheet1!$C$2:$C$4</c:f>
              <c:numCache>
                <c:formatCode>General</c:formatCode>
                <c:ptCount val="3"/>
                <c:pt idx="0">
                  <c:v>637</c:v>
                </c:pt>
                <c:pt idx="1">
                  <c:v>682</c:v>
                </c:pt>
                <c:pt idx="2">
                  <c:v>550</c:v>
                </c:pt>
              </c:numCache>
            </c:numRef>
          </c:val>
        </c:ser>
        <c:dLbls>
          <c:showLegendKey val="0"/>
          <c:showVal val="0"/>
          <c:showCatName val="0"/>
          <c:showSerName val="0"/>
          <c:showPercent val="0"/>
          <c:showBubbleSize val="0"/>
        </c:dLbls>
        <c:gapWidth val="267"/>
        <c:overlap val="-43"/>
        <c:axId val="-1472464208"/>
        <c:axId val="-1506942496"/>
      </c:barChart>
      <c:catAx>
        <c:axId val="-147246420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lt-LT"/>
          </a:p>
        </c:txPr>
        <c:crossAx val="-1506942496"/>
        <c:crosses val="autoZero"/>
        <c:auto val="1"/>
        <c:lblAlgn val="ctr"/>
        <c:lblOffset val="100"/>
        <c:noMultiLvlLbl val="0"/>
      </c:catAx>
      <c:valAx>
        <c:axId val="-150694249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crossAx val="-147246420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lt-LT"/>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806BD-71C1-47A7-87CC-6917FD2D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19263</Words>
  <Characters>10980</Characters>
  <Application>Microsoft Office Word</Application>
  <DocSecurity>0</DocSecurity>
  <Lines>91</Lines>
  <Paragraphs>60</Paragraphs>
  <ScaleCrop>false</ScaleCrop>
  <HeadingPairs>
    <vt:vector size="6" baseType="variant">
      <vt:variant>
        <vt:lpstr>Title</vt:lpstr>
      </vt:variant>
      <vt:variant>
        <vt:i4>1</vt:i4>
      </vt:variant>
      <vt:variant>
        <vt:lpstr>Pavadinimas</vt:lpstr>
      </vt:variant>
      <vt:variant>
        <vt:i4>1</vt:i4>
      </vt:variant>
      <vt:variant>
        <vt:lpstr>Название</vt:lpstr>
      </vt:variant>
      <vt:variant>
        <vt:i4>1</vt:i4>
      </vt:variant>
    </vt:vector>
  </HeadingPairs>
  <TitlesOfParts>
    <vt:vector size="3" baseType="lpstr">
      <vt:lpstr/>
      <vt:lpstr/>
      <vt:lpstr/>
    </vt:vector>
  </TitlesOfParts>
  <Company>HP</Company>
  <LinksUpToDate>false</LinksUpToDate>
  <CharactersWithSpaces>30183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Olga Stravinskienė</dc:creator>
  <cp:lastModifiedBy>„Windows“ vartotojas</cp:lastModifiedBy>
  <cp:revision>3</cp:revision>
  <cp:lastPrinted>2016-04-07T08:45:00Z</cp:lastPrinted>
  <dcterms:created xsi:type="dcterms:W3CDTF">2018-01-23T14:49:00Z</dcterms:created>
  <dcterms:modified xsi:type="dcterms:W3CDTF">2018-02-02T10:04:00Z</dcterms:modified>
</cp:coreProperties>
</file>