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bookmarkStart w:id="0" w:name="_GoBack"/>
      <w:bookmarkEnd w:id="0"/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1.- Tipo de Actividad: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Seminario 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i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2.- Nombre de la actividad: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</w:t>
      </w:r>
      <w:r w:rsidRPr="00E6733E">
        <w:rPr>
          <w:rFonts w:ascii="Arial" w:eastAsia="SimSun" w:hAnsi="Arial" w:cs="Arial"/>
          <w:b/>
          <w:i/>
          <w:color w:val="auto"/>
          <w:kern w:val="1"/>
          <w:lang w:eastAsia="zh-CN" w:bidi="hi-IN"/>
        </w:rPr>
        <w:t>Introducción al Derecho Ambiental y de los Recursos Naturales.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3.- Docentes: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Marcelo José TURNES y Federico DI PIETRO.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4.- Fundamentación.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Desde la reforma constitucional de 1994, se ha asistido a una permanente evolución normativa en lo relativo al ambiente, tanto a nivel nacional como provincial, y al agravamiento de problemas ambientales ya existentes a ese entonces, y el surgimiento de nuevos, con lo cual es necesario una actualización y aprehensión de esta cuestión por profesionales y alumnos avanzados vinculados con el ambiente y los recursos naturales, 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5.- Objetivos: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Lograr que profesionales y alumnos avanzados de carreras vinculadas al ambiente logren una comprensión profunda de la problemática ambiental a nivel global, regional, nacional y local y su correlato normativo -Acuerdos y Convenios Internacionales de contenido ambiental, las cláusulas ambientales en la Constitución Nacional, Leyes de Presupuestos Mínimos Ambientales, Constitución y normas ambientales de la Provicia de La Pampa-, otorgando conceptos jurídicos y metodológicos que le permitan adquirir dichos conocimientos y su aplicación para la resolución de conflictos ambientales.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6.- Arancel: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No se cobrará Arancel.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7. Modalidad: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Presencial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8.- Programa: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UNIDAD I.- Ecología y Ambiente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1) La Ecología. Su evolución.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2) El Ambiente. Definición. La cuestión ambiental en el Derecho Internacional. Declaración de la Conferencia de las Naciones Unidas sobre el Medio Ambiente Humano (Declaración de Estocolmo). Declaración de Río sobre Medio Ambiente y el Desarrollo. Declaración de Jonhannesburgo sobre el Desarrollo Sostenible.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3) Uso y conservación del ambiente. Posiciones. ¿Es realmente viable el desarrollo sostenible?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4) Ética ambiental. Antropocentrismo y Ecocentrismo.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5) Identificación de problemas ambientales a escala global, regional, nacional, provincial y municipal.</w:t>
      </w:r>
    </w:p>
    <w:p w:rsidR="000239C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UNIDAD II.- Concepto de Derecho y Derecho Ambiental Constitucional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1) Concepto de Derecho. Fuentes del Derecho. Pirámide Jurídica. Sistema Federal Argentino. Normas federales, locales y de derecho común.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2) Derecho Ambiental. Concepto. Su relación con el derecho de los recursos naturales.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3) Constitución Nacional: Los artículos 41, 42, 43 y 124. 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lastRenderedPageBreak/>
        <w:t>4) El Poder de Policía. Concepto. Competencia Federal y Provincial.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5) La Ley 25.675 General del Ambiente.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UNIDAD III.- </w:t>
      </w:r>
      <w:r w:rsidRPr="00E6733E">
        <w:rPr>
          <w:rFonts w:ascii="Arial" w:eastAsia="SimSun" w:hAnsi="Arial" w:cs="Arial"/>
          <w:b/>
          <w:color w:val="auto"/>
          <w:kern w:val="1"/>
          <w:lang w:eastAsia="zh-CN" w:bidi="hi-IN"/>
        </w:rPr>
        <w:t>Ley de Presupuestos Mínimos de Régimen de Acceso a la Información Pública Ambiental. Normas Ambientales Provinciales. El daño al ambiente.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1)</w:t>
      </w: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Ley Nº 25.831. Régimen de libre acceso a la información pública ambiental.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2) La Ley Nº 1352 sobre el Régimen de Procedimiento para el Amparo de los Intereses Difusos o Derechos Colectivos.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3) La Ley Ambiental Provincial Nº 1914 y su normativa complementaria. Decreto Nº 2139/03 y Decreto Nº 458/05. Otras.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4) El daño ambiental. Concepto. Daño al ambiente y a través del ambiente.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UNIDAD IV. Aguas y Suelo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1) Su normativa en el Código Civil.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2) Ley Nº 25.688. Régimen de Gestión Ambiental de las Aguas.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3) El COHIFE y los Principios Rectores de Política Hídrica. Ley Nº 2210 de La Pampa.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3) Ley Nº 2581. Código de Aguas Provincial.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4) El conflicto del Río Atuel.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4) Concepto de suelo.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5) Ley Nacional Nº 22.428 de Fomento de la Conservación del Suelo: objetivos, ámbito de aplicación, régimen de adhesión.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6) Ley Provincial Nº 2139 declaración de interés público, del uso sustentable al recurso suelo.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UNIDAD V.- Flora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1) Ley 26.331 - Establécense los presupuestos mínimos de protección ambiental para el enriquecimiento, la restauración, conservación, aprovechamiento y manejo sostenible de los bosques nativos.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2) Decreto 91/2009 - Protección Ambiental de los Bosques Nativos. Apruébase la Reglamentación de la Ley N° 26.331.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3) Ley nº 2624 - Declarando de Interés provincial la Restauración y Conservación y Aprobando el Ordenamiento Territorial de los Bosques Nativos de la Provincia de La Pampa.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4) Decreto 1026/12 Reglamentario de la Ley Nº 2624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239C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9.- Bibliografía: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ACADEMIA NACIONAL DE DERECHO Y CIENCIAS SOCIALES, 2001, HUMANISMO AMBIENTAL: TERCERAS JORNADAS DE REFLEXION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CATALANO, E.F., 1997. Teoría general de los recursos naturales. Política y Legislación. Ed. Zavalía.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CATALANO E.F. 1998. Lecciones de derecho agrario y de los recursos naturales. Ed. Zavalía,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 xml:space="preserve">JIMENEZ, E.P., 2004. Derecho Ambiental: su actualidad de cara al tercer </w:t>
      </w: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lastRenderedPageBreak/>
        <w:t>milenio. Ediciones Ediar.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F., 1995. Ecología, ambiente y derecho. Un enfoque interdisciplinario. Editorial de la Universidad Nacional de La Plata. La Plata.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F., 2005. El daño al ambiente. Editorial Lexis Nexis.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F., 2007. La agricultura en el ámbito internacional. Ediciones Cooperativas.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F., 2008. Principios en materia de ambiente y de recursos naturales renovables. Ediciones Cooperativas.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., 2009. Derecho agrario argentino. Ed. Abeledo Perrot.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PASTORINO, L. F., 2005. La política europea de desarrollo rural sostenible: ¿Obstáculo para el MERCOSUR? Editoriales Al Margen. La Plata.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PIGRETTI, E. A., 2004. Derecho ambiental profundizado. Ed. La Ley. Buenos Aires.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TURNES, M. J., 2001. El convenio sobre la diversidad biológica, el acceso a recursos genéticos y la distribución de beneficios: su aplicación y problemática en nuestro país. Universidad Nacional de La Pampa. Facultad de Cs. Económicas y Jurídicas. Tesina. Santa Rosa.</w:t>
      </w:r>
    </w:p>
    <w:p w:rsidR="000239CE" w:rsidRPr="000239CE" w:rsidRDefault="000239CE" w:rsidP="000239CE">
      <w:pPr>
        <w:pStyle w:val="Prrafodelista"/>
        <w:widowControl w:val="0"/>
        <w:numPr>
          <w:ilvl w:val="0"/>
          <w:numId w:val="1"/>
        </w:numPr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0239CE">
        <w:rPr>
          <w:rFonts w:ascii="Arial" w:eastAsia="SimSun" w:hAnsi="Arial" w:cs="Arial"/>
          <w:color w:val="auto"/>
          <w:kern w:val="1"/>
          <w:lang w:eastAsia="zh-CN" w:bidi="hi-IN"/>
        </w:rPr>
        <w:t>ZARATE, E. A., Manual de Derecho Ambiental, 2008. Editorial Nova Tesis Editorial Jurídica. Rosario.</w:t>
      </w:r>
    </w:p>
    <w:p w:rsidR="000239C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10.-  Fecha de in</w:t>
      </w:r>
      <w:r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i</w:t>
      </w: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cio y finalización: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Del </w:t>
      </w:r>
      <w:r>
        <w:rPr>
          <w:rFonts w:ascii="Arial" w:eastAsia="SimSun" w:hAnsi="Arial" w:cs="Arial"/>
          <w:color w:val="auto"/>
          <w:kern w:val="1"/>
          <w:lang w:eastAsia="zh-CN" w:bidi="hi-IN"/>
        </w:rPr>
        <w:t>20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de octubre al </w:t>
      </w:r>
      <w:r>
        <w:rPr>
          <w:rFonts w:ascii="Arial" w:eastAsia="SimSun" w:hAnsi="Arial" w:cs="Arial"/>
          <w:color w:val="auto"/>
          <w:kern w:val="1"/>
          <w:lang w:eastAsia="zh-CN" w:bidi="hi-IN"/>
        </w:rPr>
        <w:t>17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de</w:t>
      </w:r>
      <w:r>
        <w:rPr>
          <w:rFonts w:ascii="Arial" w:eastAsia="SimSun" w:hAnsi="Arial" w:cs="Arial"/>
          <w:color w:val="auto"/>
          <w:kern w:val="1"/>
          <w:lang w:eastAsia="zh-CN" w:bidi="hi-IN"/>
        </w:rPr>
        <w:t xml:space="preserve"> noviembre. De 8 a 12 horas en la FCEyN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(</w:t>
      </w:r>
      <w:r>
        <w:rPr>
          <w:rFonts w:ascii="Arial" w:eastAsia="SimSun" w:hAnsi="Arial" w:cs="Arial"/>
          <w:color w:val="auto"/>
          <w:kern w:val="1"/>
          <w:lang w:eastAsia="zh-CN" w:bidi="hi-IN"/>
        </w:rPr>
        <w:t>C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inco jornadas de cuatro horas cada una, una clase por semana)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11.- Carga horaria: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veinte horas reloj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12.- Destinatarios: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Personas con título de grado universitario y estudiantes avanzados de la Universidad Nacional de La Pampa.-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 xml:space="preserve">13.- Cupo: 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>Cuarenta personas</w:t>
      </w: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</w:p>
    <w:p w:rsidR="000239CE" w:rsidRPr="00E6733E" w:rsidRDefault="000239CE" w:rsidP="000239CE">
      <w:pPr>
        <w:widowControl w:val="0"/>
        <w:jc w:val="both"/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</w:pPr>
      <w:r w:rsidRPr="00E6733E">
        <w:rPr>
          <w:rFonts w:ascii="Arial" w:eastAsia="SimSun" w:hAnsi="Arial" w:cs="Arial"/>
          <w:b/>
          <w:bCs/>
          <w:color w:val="auto"/>
          <w:kern w:val="1"/>
          <w:lang w:eastAsia="zh-CN" w:bidi="hi-IN"/>
        </w:rPr>
        <w:t>14.- Requisitos de aprobación:</w:t>
      </w:r>
      <w:r w:rsidRPr="00E6733E">
        <w:rPr>
          <w:rFonts w:ascii="Arial" w:eastAsia="SimSun" w:hAnsi="Arial" w:cs="Arial"/>
          <w:color w:val="auto"/>
          <w:kern w:val="1"/>
          <w:lang w:eastAsia="zh-CN" w:bidi="hi-IN"/>
        </w:rPr>
        <w:t xml:space="preserve"> 80 % de asistencia, aprobación del estudio de casos de cada unidad realizado en grupo (máximo de cuatro personas);  aprobación de examen final escrito con 6 puntos sobre diez para su aprobación.-</w:t>
      </w:r>
    </w:p>
    <w:p w:rsidR="000239CE" w:rsidRPr="00E6733E" w:rsidRDefault="000239CE" w:rsidP="000239CE">
      <w:pPr>
        <w:jc w:val="center"/>
        <w:rPr>
          <w:rFonts w:ascii="Arial" w:hAnsi="Arial" w:cs="Arial"/>
          <w:b/>
        </w:rPr>
      </w:pPr>
      <w:r w:rsidRPr="00E6733E"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</w:p>
    <w:p w:rsidR="007D3FCA" w:rsidRDefault="007D3FCA"/>
    <w:sectPr w:rsidR="007D3FCA" w:rsidSect="00F034ED">
      <w:headerReference w:type="default" r:id="rId7"/>
      <w:footerReference w:type="default" r:id="rId8"/>
      <w:pgSz w:w="11906" w:h="16838"/>
      <w:pgMar w:top="924" w:right="1416" w:bottom="1134" w:left="1701" w:header="357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46" w:rsidRDefault="00C94C46">
      <w:r>
        <w:separator/>
      </w:r>
    </w:p>
  </w:endnote>
  <w:endnote w:type="continuationSeparator" w:id="0">
    <w:p w:rsidR="00C94C46" w:rsidRDefault="00C9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1F2" w:rsidRDefault="000239CE">
    <w:pPr>
      <w:jc w:val="center"/>
      <w:rPr>
        <w:rFonts w:ascii="Arial Narrow" w:hAnsi="Arial Narrow"/>
        <w:b/>
        <w:sz w:val="16"/>
      </w:rPr>
    </w:pPr>
    <w:r>
      <w:rPr>
        <w:rFonts w:ascii="Arial Narrow" w:hAnsi="Arial Narrow"/>
        <w:b/>
        <w:sz w:val="16"/>
      </w:rPr>
      <w:t>Uruguay 151 - (6300)  Santa Rosa - La Pampa -</w:t>
    </w:r>
    <w:r>
      <w:rPr>
        <w:rFonts w:ascii="Arial" w:hAnsi="Arial" w:cs="Arial"/>
        <w:b/>
        <w:sz w:val="16"/>
      </w:rPr>
      <w:t xml:space="preserve"> </w:t>
    </w:r>
    <w:r>
      <w:rPr>
        <w:rFonts w:ascii="Arial Narrow" w:hAnsi="Arial Narrow"/>
        <w:b/>
        <w:sz w:val="16"/>
      </w:rPr>
      <w:t>Tel.: (02954) 245220 - 245230 – 246421 – 246422 – Int. 7142 - Fax.: (02954) 432535</w:t>
    </w:r>
  </w:p>
  <w:p w:rsidR="00AA41F2" w:rsidRDefault="00C94C46">
    <w:pPr>
      <w:jc w:val="center"/>
      <w:rPr>
        <w:rStyle w:val="EnlacedeInternet"/>
        <w:rFonts w:ascii="Arial Narrow" w:hAnsi="Arial Narrow"/>
        <w:sz w:val="16"/>
        <w:lang w:val="de-DE"/>
      </w:rPr>
    </w:pPr>
    <w:hyperlink r:id="rId1">
      <w:r w:rsidR="000239CE">
        <w:rPr>
          <w:rStyle w:val="EnlacedeInternet"/>
          <w:rFonts w:ascii="Arial Narrow" w:hAnsi="Arial Narrow"/>
          <w:sz w:val="16"/>
          <w:lang w:val="de-DE"/>
        </w:rPr>
        <w:t>www.exactas.unlpam.edu.ar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46" w:rsidRDefault="00C94C46">
      <w:r>
        <w:separator/>
      </w:r>
    </w:p>
  </w:footnote>
  <w:footnote w:type="continuationSeparator" w:id="0">
    <w:p w:rsidR="00C94C46" w:rsidRDefault="00C94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94E" w:rsidRPr="0038394E" w:rsidRDefault="000239CE" w:rsidP="0038394E">
    <w:pPr>
      <w:pStyle w:val="Encabezado"/>
      <w:jc w:val="right"/>
      <w:rPr>
        <w:color w:val="4F81BD"/>
      </w:rPr>
    </w:pPr>
    <w:r w:rsidRPr="00BC4735">
      <w:rPr>
        <w:rFonts w:ascii="Times New Roman" w:hAnsi="Times New Roman"/>
        <w:b/>
        <w:i/>
        <w:sz w:val="16"/>
        <w:szCs w:val="16"/>
        <w:lang w:val="es-ES_tradnl"/>
      </w:rPr>
      <w:t>“Año del Centenario de la Reforma Universitaria – 60 Años de creación de la Universidad”</w:t>
    </w:r>
    <w:r w:rsidRPr="0038394E">
      <w:rPr>
        <w:color w:val="4F81BD"/>
      </w:rPr>
      <w:t xml:space="preserve"> </w:t>
    </w:r>
  </w:p>
  <w:p w:rsidR="00AA41F2" w:rsidRDefault="000239CE" w:rsidP="00F034ED">
    <w:pPr>
      <w:shd w:val="clear" w:color="auto" w:fill="FFFFFF"/>
      <w:ind w:right="51"/>
      <w:rPr>
        <w:sz w:val="2"/>
      </w:rPr>
    </w:pPr>
    <w:r>
      <w:rPr>
        <w:noProof/>
        <w:lang w:val="es-AR" w:eastAsia="es-AR"/>
      </w:rPr>
      <w:drawing>
        <wp:inline distT="0" distB="0" distL="0" distR="0">
          <wp:extent cx="3356610" cy="949325"/>
          <wp:effectExtent l="0" t="0" r="0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6610" cy="949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"/>
      </w:rPr>
      <w:t xml:space="preserve"> </w:t>
    </w:r>
  </w:p>
  <w:p w:rsidR="00445D36" w:rsidRDefault="00C94C46" w:rsidP="00F034ED">
    <w:pPr>
      <w:shd w:val="clear" w:color="auto" w:fill="FFFFFF"/>
      <w:ind w:right="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650D"/>
    <w:multiLevelType w:val="hybridMultilevel"/>
    <w:tmpl w:val="C58AC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CE"/>
    <w:rsid w:val="000239CE"/>
    <w:rsid w:val="007D3FCA"/>
    <w:rsid w:val="00C757A5"/>
    <w:rsid w:val="00C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3456A4E-A1ED-4E73-BA8B-E650F9B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CE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sid w:val="000239CE"/>
    <w:rPr>
      <w:color w:val="0000FF"/>
      <w:u w:val="single"/>
    </w:rPr>
  </w:style>
  <w:style w:type="paragraph" w:styleId="Encabezado">
    <w:name w:val="header"/>
    <w:basedOn w:val="Normal"/>
    <w:next w:val="Normal"/>
    <w:link w:val="EncabezadoCar"/>
    <w:uiPriority w:val="99"/>
    <w:rsid w:val="000239CE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0239CE"/>
    <w:rPr>
      <w:rFonts w:ascii="Liberation Sans" w:eastAsia="SimSun" w:hAnsi="Liberation Sans" w:cs="Mangal"/>
      <w:color w:val="000000"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9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9CE"/>
    <w:rPr>
      <w:rFonts w:ascii="Tahoma" w:eastAsia="Times New Roman" w:hAnsi="Tahoma" w:cs="Tahoma"/>
      <w:color w:val="00000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23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xactas.unlpam.edu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1846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Salvador</dc:creator>
  <cp:lastModifiedBy>Roxana</cp:lastModifiedBy>
  <cp:revision>2</cp:revision>
  <dcterms:created xsi:type="dcterms:W3CDTF">2018-10-10T17:14:00Z</dcterms:created>
  <dcterms:modified xsi:type="dcterms:W3CDTF">2018-10-10T17:14:00Z</dcterms:modified>
</cp:coreProperties>
</file>