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00" w:rsidRPr="00314D00" w:rsidRDefault="00314D00" w:rsidP="00571DEF">
      <w:pPr>
        <w:tabs>
          <w:tab w:val="left" w:pos="0"/>
        </w:tabs>
        <w:spacing w:after="0" w:line="360" w:lineRule="auto"/>
        <w:ind w:firstLine="720"/>
        <w:jc w:val="center"/>
        <w:rPr>
          <w:noProof/>
          <w:sz w:val="20"/>
        </w:rPr>
      </w:pPr>
      <w:r w:rsidRPr="00314D00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4A394B4A" wp14:editId="130A1FFD">
            <wp:simplePos x="0" y="0"/>
            <wp:positionH relativeFrom="margin">
              <wp:posOffset>-573405</wp:posOffset>
            </wp:positionH>
            <wp:positionV relativeFrom="margin">
              <wp:posOffset>-809625</wp:posOffset>
            </wp:positionV>
            <wp:extent cx="6573520" cy="13138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9"/>
                    <a:stretch/>
                  </pic:blipFill>
                  <pic:spPr>
                    <a:xfrm>
                      <a:off x="0" y="0"/>
                      <a:ext cx="65735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D00">
        <w:rPr>
          <w:rFonts w:ascii="Times New Roman" w:hAnsi="Times New Roman" w:cs="Times New Roman"/>
          <w:b/>
          <w:sz w:val="24"/>
        </w:rPr>
        <w:t>GENERAL DIRECTORATE OF THE BUDGET AND PUBLIC DEBT</w:t>
      </w:r>
    </w:p>
    <w:p w:rsidR="00314D00" w:rsidRPr="00314D00" w:rsidRDefault="00314D00" w:rsidP="00571DEF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sz w:val="24"/>
        </w:rPr>
      </w:pPr>
      <w:r w:rsidRPr="00314D00">
        <w:rPr>
          <w:rFonts w:ascii="Times New Roman" w:hAnsi="Times New Roman" w:cs="Times New Roman"/>
          <w:b/>
          <w:sz w:val="24"/>
        </w:rPr>
        <w:t>BUDGET MANAGEMENT DIRECTORATE</w:t>
      </w:r>
    </w:p>
    <w:p w:rsidR="00314D00" w:rsidRDefault="00314D00" w:rsidP="00314D00">
      <w:pPr>
        <w:jc w:val="center"/>
        <w:rPr>
          <w:rFonts w:asciiTheme="majorHAnsi" w:hAnsiTheme="majorHAnsi" w:cs="Times New Roman"/>
          <w:b/>
          <w:sz w:val="24"/>
          <w:szCs w:val="24"/>
          <w:u w:val="single"/>
          <w:lang w:val="sq-AL"/>
        </w:rPr>
      </w:pPr>
    </w:p>
    <w:p w:rsidR="00314D00" w:rsidRDefault="00314D00" w:rsidP="00314D00">
      <w:pPr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q-AL"/>
        </w:rPr>
      </w:pPr>
    </w:p>
    <w:p w:rsidR="00571DEF" w:rsidRDefault="00571DEF" w:rsidP="00314D00">
      <w:pPr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q-AL"/>
        </w:rPr>
      </w:pPr>
    </w:p>
    <w:p w:rsidR="00571DEF" w:rsidRDefault="00571DEF" w:rsidP="00314D00">
      <w:pPr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q-AL"/>
        </w:rPr>
      </w:pPr>
    </w:p>
    <w:p w:rsidR="00571DEF" w:rsidRDefault="00571DEF" w:rsidP="00314D00">
      <w:pPr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q-AL"/>
        </w:rPr>
      </w:pPr>
    </w:p>
    <w:p w:rsidR="00571DEF" w:rsidRDefault="00571DEF" w:rsidP="00314D00">
      <w:pPr>
        <w:ind w:firstLine="72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sq-AL"/>
        </w:rPr>
      </w:pPr>
    </w:p>
    <w:p w:rsidR="00314D00" w:rsidRPr="00FD14D1" w:rsidRDefault="00314D00" w:rsidP="00FD14D1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</w:pPr>
      <w:r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>REPORT ON NEW ARREARS</w:t>
      </w:r>
    </w:p>
    <w:p w:rsidR="00571DEF" w:rsidRPr="00FD14D1" w:rsidRDefault="00314D00" w:rsidP="00FD14D1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</w:pPr>
      <w:r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 xml:space="preserve">OCTOBER-DECEMBER 2017 AND </w:t>
      </w:r>
      <w:r w:rsidR="00110EF6"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 xml:space="preserve">PROGRESSIVE </w:t>
      </w:r>
      <w:r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 xml:space="preserve">JANUARY 2016 – </w:t>
      </w:r>
      <w:r w:rsidR="00110EF6"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>DECEMBER</w:t>
      </w:r>
      <w:r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 xml:space="preserve"> 2017</w:t>
      </w:r>
      <w:r w:rsidR="00110EF6" w:rsidRPr="00FD14D1">
        <w:rPr>
          <w:rFonts w:ascii="Times New Roman" w:eastAsiaTheme="minorEastAsia" w:hAnsi="Times New Roman" w:cs="Times New Roman"/>
          <w:b/>
          <w:color w:val="C00000"/>
          <w:sz w:val="24"/>
          <w:szCs w:val="24"/>
          <w:u w:val="single"/>
          <w:lang w:val="sq-AL"/>
        </w:rPr>
        <w:t xml:space="preserve"> </w:t>
      </w:r>
    </w:p>
    <w:p w:rsidR="00571DEF" w:rsidRDefault="00571DEF" w:rsidP="00314D00">
      <w:pPr>
        <w:jc w:val="both"/>
        <w:rPr>
          <w:rFonts w:asciiTheme="majorHAnsi" w:eastAsia="Calibri" w:hAnsiTheme="majorHAnsi" w:cs="Times New Roman"/>
          <w:sz w:val="24"/>
          <w:szCs w:val="24"/>
          <w:lang w:val="sq-AL"/>
        </w:rPr>
      </w:pPr>
    </w:p>
    <w:p w:rsidR="00571DEF" w:rsidRDefault="00571DEF" w:rsidP="00314D00">
      <w:pPr>
        <w:jc w:val="both"/>
        <w:rPr>
          <w:rFonts w:asciiTheme="majorHAnsi" w:eastAsia="Calibri" w:hAnsiTheme="majorHAnsi" w:cs="Times New Roman"/>
          <w:sz w:val="24"/>
          <w:szCs w:val="24"/>
          <w:lang w:val="sq-AL"/>
        </w:rPr>
      </w:pPr>
    </w:p>
    <w:p w:rsidR="00571DEF" w:rsidRDefault="00571DEF" w:rsidP="00314D00">
      <w:pPr>
        <w:jc w:val="both"/>
        <w:rPr>
          <w:rFonts w:asciiTheme="majorHAnsi" w:eastAsia="Calibri" w:hAnsiTheme="majorHAnsi" w:cs="Times New Roman"/>
          <w:sz w:val="24"/>
          <w:szCs w:val="24"/>
          <w:lang w:val="sq-AL"/>
        </w:rPr>
      </w:pPr>
    </w:p>
    <w:p w:rsidR="00314D00" w:rsidRDefault="00314D00" w:rsidP="00571DEF">
      <w:pPr>
        <w:spacing w:line="360" w:lineRule="auto"/>
        <w:jc w:val="both"/>
        <w:rPr>
          <w:rFonts w:asciiTheme="majorHAnsi" w:eastAsia="Calibri" w:hAnsiTheme="majorHAnsi" w:cs="Times New Roman"/>
          <w:sz w:val="24"/>
          <w:szCs w:val="24"/>
          <w:lang w:val="sq-AL"/>
        </w:rPr>
      </w:pP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>Pursuant to Council of Minister Decision (CoD) No. 50, dated 05.02.2014 "</w:t>
      </w:r>
      <w:r w:rsidRPr="005E553D">
        <w:rPr>
          <w:rFonts w:asciiTheme="majorHAnsi" w:eastAsia="Calibri" w:hAnsiTheme="majorHAnsi" w:cs="Times New Roman"/>
          <w:i/>
          <w:sz w:val="24"/>
          <w:szCs w:val="24"/>
          <w:lang w:val="sq-AL"/>
        </w:rPr>
        <w:t>On approval of the Strategy for the prevention and settlement of arrears and the action plan"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and in response to </w:t>
      </w:r>
      <w:r w:rsidRPr="005E553D">
        <w:rPr>
          <w:rFonts w:asciiTheme="majorHAnsi" w:eastAsia="Calibri" w:hAnsiTheme="majorHAnsi" w:cs="Times New Roman"/>
          <w:sz w:val="24"/>
          <w:szCs w:val="24"/>
        </w:rPr>
        <w:t>correspondences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received from ministries,</w:t>
      </w:r>
      <w:r w:rsidR="001353C6" w:rsidRPr="001353C6">
        <w:t xml:space="preserve"> </w:t>
      </w:r>
      <w:r w:rsidR="001353C6">
        <w:t>i</w:t>
      </w:r>
      <w:r w:rsidR="001353C6" w:rsidRPr="001353C6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n the framework of periodic monitoring of </w:t>
      </w:r>
      <w:r w:rsidR="00F21F5B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new </w:t>
      </w:r>
      <w:r w:rsidR="001353C6" w:rsidRPr="001353C6">
        <w:rPr>
          <w:rFonts w:asciiTheme="majorHAnsi" w:eastAsia="Calibri" w:hAnsiTheme="majorHAnsi" w:cs="Times New Roman"/>
          <w:sz w:val="24"/>
          <w:szCs w:val="24"/>
          <w:lang w:val="sq-AL"/>
        </w:rPr>
        <w:t>arrears</w:t>
      </w:r>
      <w:r w:rsidR="001353C6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, </w:t>
      </w:r>
      <w:r w:rsidR="001353C6" w:rsidRPr="001353C6">
        <w:rPr>
          <w:rFonts w:asciiTheme="majorHAnsi" w:eastAsia="Calibri" w:hAnsiTheme="majorHAnsi" w:cs="Times New Roman"/>
          <w:sz w:val="24"/>
          <w:szCs w:val="24"/>
          <w:lang w:val="sq-AL"/>
        </w:rPr>
        <w:t>as well as following the closure of process</w:t>
      </w:r>
      <w:r w:rsidR="00F21F5B">
        <w:rPr>
          <w:rFonts w:asciiTheme="majorHAnsi" w:eastAsia="Calibri" w:hAnsiTheme="majorHAnsi" w:cs="Times New Roman"/>
          <w:sz w:val="24"/>
          <w:szCs w:val="24"/>
          <w:lang w:val="sq-AL"/>
        </w:rPr>
        <w:t>ing</w:t>
      </w:r>
      <w:r w:rsidR="001353C6" w:rsidRPr="001353C6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analytical data </w:t>
      </w:r>
      <w:r w:rsidR="00F21F5B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process, </w:t>
      </w:r>
      <w:r w:rsidR="001353C6" w:rsidRPr="001353C6">
        <w:rPr>
          <w:rFonts w:asciiTheme="majorHAnsi" w:eastAsia="Calibri" w:hAnsiTheme="majorHAnsi" w:cs="Times New Roman"/>
          <w:sz w:val="24"/>
          <w:szCs w:val="24"/>
          <w:lang w:val="sq-AL"/>
        </w:rPr>
        <w:t>reported for this purpose</w:t>
      </w:r>
      <w:r w:rsidR="001353C6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until 31 December 2017, 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>information regarding to new arrears on the period 01.</w:t>
      </w:r>
      <w:r>
        <w:rPr>
          <w:rFonts w:asciiTheme="majorHAnsi" w:eastAsia="Calibri" w:hAnsiTheme="majorHAnsi" w:cs="Times New Roman"/>
          <w:sz w:val="24"/>
          <w:szCs w:val="24"/>
          <w:lang w:val="sq-AL"/>
        </w:rPr>
        <w:t>10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>.201</w:t>
      </w:r>
      <w:r>
        <w:rPr>
          <w:rFonts w:asciiTheme="majorHAnsi" w:eastAsia="Calibri" w:hAnsiTheme="majorHAnsi" w:cs="Times New Roman"/>
          <w:sz w:val="24"/>
          <w:szCs w:val="24"/>
          <w:lang w:val="sq-AL"/>
        </w:rPr>
        <w:t>7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to 31.</w:t>
      </w:r>
      <w:r>
        <w:rPr>
          <w:rFonts w:asciiTheme="majorHAnsi" w:eastAsia="Calibri" w:hAnsiTheme="majorHAnsi" w:cs="Times New Roman"/>
          <w:sz w:val="24"/>
          <w:szCs w:val="24"/>
          <w:lang w:val="sq-AL"/>
        </w:rPr>
        <w:t>12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>.2017 and accumulated liabilit</w:t>
      </w:r>
      <w:r w:rsidR="001353C6">
        <w:rPr>
          <w:rFonts w:asciiTheme="majorHAnsi" w:eastAsia="Calibri" w:hAnsiTheme="majorHAnsi" w:cs="Times New Roman"/>
          <w:sz w:val="24"/>
          <w:szCs w:val="24"/>
          <w:lang w:val="sq-AL"/>
        </w:rPr>
        <w:t>ies</w:t>
      </w:r>
      <w:r w:rsidRPr="005E553D">
        <w:rPr>
          <w:rFonts w:asciiTheme="majorHAnsi" w:eastAsia="Calibri" w:hAnsiTheme="majorHAnsi" w:cs="Times New Roman"/>
          <w:sz w:val="24"/>
          <w:szCs w:val="24"/>
          <w:lang w:val="sq-AL"/>
        </w:rPr>
        <w:t xml:space="preserve"> 01.01.2016-31.12.2017, is given in the table below:</w:t>
      </w:r>
    </w:p>
    <w:p w:rsidR="00314D00" w:rsidRDefault="00314D00" w:rsidP="00314D00">
      <w:pPr>
        <w:jc w:val="both"/>
        <w:rPr>
          <w:rFonts w:asciiTheme="majorHAnsi" w:eastAsia="Calibri" w:hAnsiTheme="majorHAnsi" w:cs="Times New Roman"/>
          <w:sz w:val="24"/>
          <w:szCs w:val="24"/>
          <w:lang w:val="sq-AL"/>
        </w:rPr>
      </w:pPr>
    </w:p>
    <w:p w:rsidR="00314D00" w:rsidRDefault="00314D00" w:rsidP="00571DEF">
      <w:pPr>
        <w:spacing w:before="240" w:after="0"/>
        <w:jc w:val="center"/>
        <w:rPr>
          <w:rFonts w:asciiTheme="majorHAnsi" w:eastAsia="Calibri" w:hAnsiTheme="majorHAnsi" w:cs="Times New Roman"/>
          <w:b/>
          <w:i/>
          <w:sz w:val="20"/>
          <w:szCs w:val="24"/>
          <w:lang w:val="sq-AL"/>
        </w:rPr>
        <w:sectPr w:rsidR="00314D00" w:rsidSect="00110EF6">
          <w:pgSz w:w="11906" w:h="16838"/>
          <w:pgMar w:top="1440" w:right="926" w:bottom="1440" w:left="1440" w:header="709" w:footer="709" w:gutter="0"/>
          <w:cols w:space="708"/>
          <w:docGrid w:linePitch="360"/>
        </w:sectPr>
      </w:pPr>
    </w:p>
    <w:p w:rsidR="0094556B" w:rsidRPr="005E553D" w:rsidRDefault="0094556B" w:rsidP="0094556B">
      <w:pPr>
        <w:spacing w:before="240" w:after="0"/>
        <w:jc w:val="right"/>
        <w:rPr>
          <w:rFonts w:asciiTheme="majorHAnsi" w:eastAsia="Calibri" w:hAnsiTheme="majorHAnsi" w:cs="Times New Roman"/>
          <w:b/>
          <w:i/>
          <w:sz w:val="20"/>
          <w:szCs w:val="24"/>
          <w:lang w:val="sq-AL"/>
        </w:rPr>
      </w:pPr>
      <w:r w:rsidRPr="005E553D">
        <w:rPr>
          <w:rFonts w:asciiTheme="majorHAnsi" w:eastAsia="Calibri" w:hAnsiTheme="majorHAnsi" w:cs="Times New Roman"/>
          <w:b/>
          <w:i/>
          <w:sz w:val="20"/>
          <w:szCs w:val="24"/>
          <w:lang w:val="sq-AL"/>
        </w:rPr>
        <w:lastRenderedPageBreak/>
        <w:t>in Million ALL</w:t>
      </w:r>
    </w:p>
    <w:tbl>
      <w:tblPr>
        <w:tblpPr w:leftFromText="180" w:rightFromText="180" w:vertAnchor="text" w:horzAnchor="margin" w:tblpXSpec="center" w:tblpY="359"/>
        <w:tblW w:w="15417" w:type="dxa"/>
        <w:tblLayout w:type="fixed"/>
        <w:tblLook w:val="04A0" w:firstRow="1" w:lastRow="0" w:firstColumn="1" w:lastColumn="0" w:noHBand="0" w:noVBand="1"/>
      </w:tblPr>
      <w:tblGrid>
        <w:gridCol w:w="534"/>
        <w:gridCol w:w="4400"/>
        <w:gridCol w:w="1304"/>
        <w:gridCol w:w="1134"/>
        <w:gridCol w:w="1275"/>
        <w:gridCol w:w="1134"/>
        <w:gridCol w:w="1134"/>
        <w:gridCol w:w="993"/>
        <w:gridCol w:w="1085"/>
        <w:gridCol w:w="1290"/>
        <w:gridCol w:w="1134"/>
      </w:tblGrid>
      <w:tr w:rsidR="0094556B" w:rsidRPr="005E553D" w:rsidTr="001E22EE">
        <w:trPr>
          <w:trHeight w:val="20"/>
        </w:trPr>
        <w:tc>
          <w:tcPr>
            <w:tcW w:w="534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NR.</w:t>
            </w:r>
          </w:p>
        </w:tc>
        <w:tc>
          <w:tcPr>
            <w:tcW w:w="4400" w:type="dxa"/>
            <w:vMerge w:val="restart"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  <w:tl2br w:val="single" w:sz="8" w:space="0" w:color="000000"/>
            </w:tcBorders>
            <w:shd w:val="clear" w:color="000000" w:fill="F2F2F2"/>
            <w:hideMark/>
          </w:tcPr>
          <w:p w:rsidR="0094556B" w:rsidRPr="005E553D" w:rsidRDefault="00886D12" w:rsidP="00971B4A">
            <w:pPr>
              <w:spacing w:after="0" w:line="240" w:lineRule="auto"/>
              <w:ind w:firstLineChars="200" w:firstLine="40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TOTAL OF</w:t>
            </w:r>
            <w:r w:rsidR="0094556B"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ARREARS</w:t>
            </w:r>
          </w:p>
          <w:p w:rsidR="0094556B" w:rsidRPr="005E553D" w:rsidRDefault="0094556B" w:rsidP="00971B4A">
            <w:pPr>
              <w:spacing w:after="0" w:line="240" w:lineRule="auto"/>
              <w:ind w:firstLineChars="200" w:firstLine="40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94556B" w:rsidRPr="005E553D" w:rsidRDefault="0094556B" w:rsidP="00971B4A">
            <w:pPr>
              <w:spacing w:after="0" w:line="240" w:lineRule="auto"/>
              <w:ind w:firstLineChars="200" w:firstLine="40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94556B" w:rsidRPr="005E553D" w:rsidRDefault="0094556B" w:rsidP="00971B4A">
            <w:pPr>
              <w:spacing w:after="0" w:line="240" w:lineRule="auto"/>
              <w:ind w:firstLineChars="200" w:firstLine="40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94556B" w:rsidRPr="005E553D" w:rsidRDefault="0094556B" w:rsidP="00971B4A">
            <w:pPr>
              <w:spacing w:after="0" w:line="240" w:lineRule="auto"/>
              <w:ind w:firstLineChars="200" w:firstLine="40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94556B" w:rsidRPr="005E553D" w:rsidRDefault="0094556B" w:rsidP="006B7432">
            <w:pPr>
              <w:spacing w:after="0" w:line="240" w:lineRule="auto"/>
              <w:ind w:firstLineChars="200" w:firstLine="40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LINE MINISTRY</w:t>
            </w:r>
          </w:p>
        </w:tc>
        <w:tc>
          <w:tcPr>
            <w:tcW w:w="1304" w:type="dxa"/>
            <w:vMerge w:val="restart"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886D12" w:rsidRDefault="00886D12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Arrears from the period 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  <w:t>Jan 2016 – Sep 2017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94556B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Inherited</w:t>
            </w:r>
          </w:p>
          <w:p w:rsidR="00886D12" w:rsidRPr="005E553D" w:rsidRDefault="00886D12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(unpaid from Jan 2016 - Sep 2017)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nil"/>
            </w:tcBorders>
            <w:shd w:val="clear" w:color="000000" w:fill="FFFFCC"/>
            <w:hideMark/>
          </w:tcPr>
          <w:p w:rsidR="00886D12" w:rsidRDefault="00886D12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  <w:p w:rsidR="0094556B" w:rsidRPr="005E553D" w:rsidRDefault="00886D12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New Arrears f</w:t>
            </w:r>
            <w:r w:rsidR="0094556B"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</w:t>
            </w:r>
            <w:r w:rsidR="0094556B"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m Oct -Dec 2017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Total </w:t>
            </w:r>
            <w:r w:rsidR="008B5B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Stock 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Arrears from Jan 2016 – Dec 2017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94556B" w:rsidRPr="005E553D" w:rsidRDefault="0094556B" w:rsidP="008B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Arrears arising from court decisions </w:t>
            </w:r>
          </w:p>
        </w:tc>
        <w:tc>
          <w:tcPr>
            <w:tcW w:w="2078" w:type="dxa"/>
            <w:gridSpan w:val="2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nil"/>
            </w:tcBorders>
            <w:shd w:val="clear" w:color="000000" w:fill="F2F2F2"/>
            <w:hideMark/>
          </w:tcPr>
          <w:p w:rsidR="0094556B" w:rsidRPr="005E553D" w:rsidRDefault="0094556B" w:rsidP="008B5B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Planned to be paid </w:t>
            </w:r>
            <w:r w:rsidR="008B5B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from the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2018</w:t>
            </w:r>
            <w:r w:rsidR="008B5B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Budget</w:t>
            </w:r>
          </w:p>
        </w:tc>
        <w:tc>
          <w:tcPr>
            <w:tcW w:w="12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FFFCC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Arrears left unpaid until December 2017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  <w:t>(after allocations to B2018)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5E553D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US"/>
              </w:rPr>
              <w:t>Court Decisions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94556B" w:rsidRPr="005E553D" w:rsidTr="001E22EE">
        <w:trPr>
          <w:trHeight w:val="244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00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nil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000000" w:fill="F2F2F2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Court decisions</w:t>
            </w:r>
          </w:p>
        </w:tc>
        <w:tc>
          <w:tcPr>
            <w:tcW w:w="1085" w:type="dxa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shd w:val="clear" w:color="000000" w:fill="F2F2F2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</w:t>
            </w:r>
            <w:r w:rsidR="008B5B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</w:t>
            </w: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hers</w:t>
            </w:r>
          </w:p>
        </w:tc>
        <w:tc>
          <w:tcPr>
            <w:tcW w:w="12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FFFCC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556B" w:rsidRPr="005E553D" w:rsidTr="001E22EE">
        <w:trPr>
          <w:trHeight w:val="984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00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nil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  <w:vMerge/>
            <w:tcBorders>
              <w:top w:val="nil"/>
              <w:left w:val="double" w:sz="6" w:space="0" w:color="000000"/>
              <w:bottom w:val="single" w:sz="8" w:space="0" w:color="000000"/>
              <w:right w:val="nil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FFFCC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94556B" w:rsidRPr="005E553D" w:rsidTr="001E22EE">
        <w:trPr>
          <w:trHeight w:val="20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00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d=</w:t>
            </w:r>
            <w:proofErr w:type="spellStart"/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b+c</w:t>
            </w:r>
            <w:proofErr w:type="spellEnd"/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f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g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auto" w:fill="FFFFCC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h=d-(</w:t>
            </w:r>
            <w:proofErr w:type="spellStart"/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f+g</w:t>
            </w:r>
            <w:proofErr w:type="spellEnd"/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auto"/>
            </w:tcBorders>
            <w:shd w:val="clear" w:color="auto" w:fill="auto"/>
            <w:hideMark/>
          </w:tcPr>
          <w:p w:rsidR="0094556B" w:rsidRPr="005E553D" w:rsidRDefault="0094556B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val="en-US"/>
              </w:rPr>
              <w:t>i=e-f</w:t>
            </w:r>
          </w:p>
        </w:tc>
      </w:tr>
      <w:tr w:rsidR="00AC0511" w:rsidRPr="005E553D" w:rsidTr="001E22EE">
        <w:trPr>
          <w:trHeight w:val="35"/>
        </w:trPr>
        <w:tc>
          <w:tcPr>
            <w:tcW w:w="534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00" w:type="dxa"/>
            <w:vMerge/>
            <w:tcBorders>
              <w:top w:val="single" w:sz="8" w:space="0" w:color="auto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3.182,60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2.779,80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CC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2.943,20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5.723,00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1.977,10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000000"/>
              <w:right w:val="single" w:sz="12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442,00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3.081,00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double" w:sz="6" w:space="0" w:color="000000"/>
              <w:right w:val="single" w:sz="12" w:space="0" w:color="000000"/>
            </w:tcBorders>
            <w:shd w:val="clear" w:color="auto" w:fill="FFFFCC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2.199,90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double" w:sz="6" w:space="0" w:color="000000"/>
              <w:right w:val="single" w:sz="8" w:space="0" w:color="auto"/>
            </w:tcBorders>
            <w:shd w:val="clear" w:color="000000" w:fill="F2F2F2"/>
            <w:hideMark/>
          </w:tcPr>
          <w:p w:rsidR="00AC0511" w:rsidRPr="005E553D" w:rsidRDefault="00AC0511" w:rsidP="00AC0511">
            <w:pPr>
              <w:spacing w:after="0" w:line="240" w:lineRule="auto"/>
              <w:jc w:val="center"/>
              <w:rPr>
                <w:b/>
                <w:color w:val="0070C0"/>
              </w:rPr>
            </w:pPr>
            <w:r w:rsidRPr="005E553D">
              <w:rPr>
                <w:b/>
                <w:color w:val="0070C0"/>
              </w:rPr>
              <w:t>1.535,00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INFRASTRUCTURE AND ENERGY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1.254,0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1.254,0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2.000,8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3.254,8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425,5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200,0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2.446,8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608,0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225,5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n-US"/>
              </w:rPr>
            </w:pPr>
            <w:r w:rsidRPr="005E553D">
              <w:rPr>
                <w:rFonts w:ascii="Calibri" w:eastAsia="Times New Roman" w:hAnsi="Calibri" w:cs="Calibri"/>
                <w:i/>
                <w:iCs/>
                <w:sz w:val="18"/>
                <w:szCs w:val="18"/>
                <w:lang w:val="en-US"/>
              </w:rPr>
              <w:t>Maintenance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636,6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632,2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noWrap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524,2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1.156,4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901,7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254,7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DEFENSE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11,1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9,4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20,5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6,1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6,1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14,4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INTERNAL AFFAIRS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919,2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768,2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156,0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924,2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392,6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35,7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389,6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498,9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356,9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4.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JUSTICE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348,0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260,8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19,8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280,6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270,2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22,2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10,4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248,0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248,0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5.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HEALTH AND SOCIAL PROTECTION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100,5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38,2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138,7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138,7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29,2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109,6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109,6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6.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FINANCE AND ECONOMY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139,1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111,7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111,7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111,7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102,0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9,7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7.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6A0F1A" w:rsidRDefault="00971B4A" w:rsidP="006A0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DIRECTORATE GENERAL OF TAXATION   </w:t>
            </w:r>
          </w:p>
          <w:p w:rsidR="00971B4A" w:rsidRPr="005E553D" w:rsidRDefault="00971B4A" w:rsidP="006A0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(</w:t>
            </w:r>
            <w:r w:rsidR="006A0F1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refund of  VAT</w:t>
            </w: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134,0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40,5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196,9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237,4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97,0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140,4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8.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AGRICULTURE AND RURAL DEVELOPMENT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38,5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13,7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407,0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420,7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332,7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2,7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88,0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330,0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330,0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9.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KULTURE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1,4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1,4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1,4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1,4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OF TURISM AND ENVIRONMENT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177,0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177,0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78,3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255,3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255,3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255,3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255,3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6A0F1A" w:rsidP="006A0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MINISTRY OF EDUCATION, </w:t>
            </w:r>
            <w:r w:rsidR="00971B4A"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SPORTS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 xml:space="preserve"> AND YOUTH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42,3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35,4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77,7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42,9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42,9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34,8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  <w:tr w:rsidR="00971B4A" w:rsidRPr="005E553D" w:rsidTr="001E22EE">
        <w:trPr>
          <w:trHeight w:val="20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shd w:val="clear" w:color="auto" w:fill="auto"/>
            <w:noWrap/>
            <w:hideMark/>
          </w:tcPr>
          <w:p w:rsidR="00971B4A" w:rsidRPr="005E553D" w:rsidRDefault="00971B4A" w:rsidP="00971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</w:pPr>
            <w:r w:rsidRPr="005E553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/>
              </w:rPr>
              <w:t>MINISTRY FOR EUROPE AND FOREIGN AFFAIRS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18,6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shd w:val="clear" w:color="auto" w:fill="auto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993" w:type="dxa"/>
            <w:tcBorders>
              <w:top w:val="nil"/>
              <w:left w:val="double" w:sz="6" w:space="0" w:color="000000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085" w:type="dxa"/>
            <w:tcBorders>
              <w:top w:val="nil"/>
              <w:left w:val="double" w:sz="6" w:space="0" w:color="000000"/>
              <w:bottom w:val="single" w:sz="8" w:space="0" w:color="auto"/>
              <w:right w:val="single" w:sz="12" w:space="0" w:color="000000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290" w:type="dxa"/>
            <w:tcBorders>
              <w:top w:val="nil"/>
              <w:left w:val="double" w:sz="6" w:space="0" w:color="000000"/>
              <w:bottom w:val="single" w:sz="8" w:space="0" w:color="auto"/>
              <w:right w:val="single" w:sz="12" w:space="0" w:color="000000"/>
            </w:tcBorders>
            <w:shd w:val="clear" w:color="auto" w:fill="FFFFCC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  <w:tc>
          <w:tcPr>
            <w:tcW w:w="1134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:rsidR="00971B4A" w:rsidRPr="005E553D" w:rsidRDefault="00971B4A" w:rsidP="00971B4A">
            <w:pPr>
              <w:spacing w:after="0"/>
              <w:jc w:val="center"/>
            </w:pPr>
            <w:r w:rsidRPr="005E553D">
              <w:t>-</w:t>
            </w:r>
          </w:p>
        </w:tc>
      </w:tr>
    </w:tbl>
    <w:p w:rsidR="00571DEF" w:rsidRDefault="00571DEF">
      <w:pPr>
        <w:rPr>
          <w:rFonts w:asciiTheme="majorHAnsi" w:hAnsiTheme="majorHAnsi" w:cs="Times New Roman"/>
          <w:i/>
          <w:sz w:val="20"/>
          <w:szCs w:val="24"/>
          <w:lang w:val="sq-AL"/>
        </w:rPr>
      </w:pPr>
    </w:p>
    <w:p w:rsidR="00571DEF" w:rsidRPr="005E553D" w:rsidRDefault="00571DEF" w:rsidP="00571DEF">
      <w:pPr>
        <w:rPr>
          <w:rFonts w:asciiTheme="majorHAnsi" w:hAnsiTheme="majorHAnsi" w:cs="Times New Roman"/>
          <w:i/>
          <w:sz w:val="20"/>
          <w:szCs w:val="24"/>
          <w:lang w:val="sq-AL"/>
        </w:rPr>
      </w:pPr>
      <w:r w:rsidRPr="005E553D">
        <w:rPr>
          <w:rFonts w:asciiTheme="majorHAnsi" w:hAnsiTheme="majorHAnsi" w:cs="Times New Roman"/>
          <w:i/>
          <w:sz w:val="20"/>
          <w:szCs w:val="24"/>
          <w:lang w:val="sq-AL"/>
        </w:rPr>
        <w:t>* For local infrastructure projects, financed by the Regional Development Fund, no new obligations created after year 2013.</w:t>
      </w:r>
    </w:p>
    <w:p w:rsidR="00571DEF" w:rsidRPr="00571DEF" w:rsidRDefault="00571DEF" w:rsidP="00571DEF">
      <w:pPr>
        <w:rPr>
          <w:rFonts w:asciiTheme="majorHAnsi" w:hAnsiTheme="majorHAnsi" w:cs="Times New Roman"/>
          <w:sz w:val="20"/>
          <w:szCs w:val="24"/>
          <w:lang w:val="sq-AL"/>
        </w:rPr>
      </w:pPr>
    </w:p>
    <w:p w:rsidR="00571DEF" w:rsidRPr="00571DEF" w:rsidRDefault="00571DEF" w:rsidP="00571DEF">
      <w:pPr>
        <w:rPr>
          <w:rFonts w:asciiTheme="majorHAnsi" w:hAnsiTheme="majorHAnsi" w:cs="Times New Roman"/>
          <w:sz w:val="20"/>
          <w:szCs w:val="24"/>
          <w:lang w:val="sq-AL"/>
        </w:rPr>
      </w:pPr>
    </w:p>
    <w:p w:rsidR="00571DEF" w:rsidRPr="00571DEF" w:rsidRDefault="00571DEF" w:rsidP="00571DEF">
      <w:pPr>
        <w:rPr>
          <w:rFonts w:asciiTheme="majorHAnsi" w:hAnsiTheme="majorHAnsi" w:cs="Times New Roman"/>
          <w:sz w:val="20"/>
          <w:szCs w:val="24"/>
          <w:lang w:val="sq-AL"/>
        </w:rPr>
      </w:pPr>
    </w:p>
    <w:p w:rsidR="00314D00" w:rsidRPr="00571DEF" w:rsidRDefault="00314D00" w:rsidP="00571DEF">
      <w:pPr>
        <w:rPr>
          <w:rFonts w:asciiTheme="majorHAnsi" w:hAnsiTheme="majorHAnsi" w:cs="Times New Roman"/>
          <w:sz w:val="20"/>
          <w:szCs w:val="24"/>
          <w:lang w:val="sq-AL"/>
        </w:rPr>
        <w:sectPr w:rsidR="00314D00" w:rsidRPr="00571DEF" w:rsidSect="00314D00">
          <w:pgSz w:w="16838" w:h="11906" w:orient="landscape"/>
          <w:pgMar w:top="567" w:right="1440" w:bottom="1134" w:left="1440" w:header="709" w:footer="709" w:gutter="0"/>
          <w:cols w:space="708"/>
          <w:docGrid w:linePitch="360"/>
        </w:sectPr>
      </w:pPr>
    </w:p>
    <w:p w:rsidR="00963B40" w:rsidRPr="005E553D" w:rsidRDefault="00887AEB" w:rsidP="00963B40">
      <w:pPr>
        <w:spacing w:line="360" w:lineRule="auto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</w:rPr>
        <w:lastRenderedPageBreak/>
        <w:t>Below, the value of these arrears is more detailed for each line ministry according to the new governing structure, based on official information.</w:t>
      </w:r>
    </w:p>
    <w:p w:rsidR="00963B40" w:rsidRPr="005E553D" w:rsidRDefault="00963B40" w:rsidP="00963B40">
      <w:pPr>
        <w:spacing w:line="360" w:lineRule="auto"/>
        <w:jc w:val="both"/>
        <w:rPr>
          <w:rFonts w:ascii="Cambria" w:hAnsi="Cambria" w:cs="Times New Roman"/>
        </w:rPr>
      </w:pPr>
    </w:p>
    <w:p w:rsidR="00963B40" w:rsidRPr="005E553D" w:rsidRDefault="00887AEB" w:rsidP="00963B40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</w:t>
      </w:r>
      <w:r w:rsidR="00963B40"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Infrastructure and </w:t>
      </w: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Energy </w:t>
      </w:r>
      <w:r w:rsidRPr="005E553D">
        <w:rPr>
          <w:rFonts w:ascii="Cambria" w:hAnsi="Cambria" w:cs="Times New Roman"/>
        </w:rPr>
        <w:t xml:space="preserve">- reports that the arrears 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–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, </w:t>
      </w:r>
      <w:r w:rsidRPr="004D1D33">
        <w:rPr>
          <w:rFonts w:ascii="Cambria" w:hAnsi="Cambria" w:cs="Times New Roman"/>
        </w:rPr>
        <w:t>in the amount</w:t>
      </w:r>
      <w:r w:rsidRPr="005E553D">
        <w:rPr>
          <w:rFonts w:ascii="Cambria" w:hAnsi="Cambria" w:cs="Times New Roman"/>
        </w:rPr>
        <w:t xml:space="preserve"> of </w:t>
      </w:r>
      <w:r w:rsidR="00963B40" w:rsidRPr="005E553D">
        <w:rPr>
          <w:rFonts w:ascii="Cambria" w:hAnsi="Cambria" w:cs="Times New Roman"/>
          <w:b/>
        </w:rPr>
        <w:t>3.254,8</w:t>
      </w:r>
      <w:r w:rsidRPr="005E553D">
        <w:rPr>
          <w:rFonts w:ascii="Cambria" w:hAnsi="Cambria" w:cs="Times New Roman"/>
          <w:b/>
        </w:rPr>
        <w:t xml:space="preserve"> million</w:t>
      </w:r>
      <w:r w:rsidR="00443F20">
        <w:rPr>
          <w:rFonts w:ascii="Cambria" w:hAnsi="Cambria" w:cs="Times New Roman"/>
          <w:b/>
        </w:rPr>
        <w:t xml:space="preserve"> ALL</w:t>
      </w:r>
      <w:r w:rsidR="00963B40" w:rsidRPr="005E553D">
        <w:rPr>
          <w:rFonts w:ascii="Cambria" w:hAnsi="Cambria" w:cs="Times New Roman"/>
        </w:rPr>
        <w:t>.</w:t>
      </w:r>
      <w:r w:rsidRPr="005E553D">
        <w:rPr>
          <w:rFonts w:ascii="Cambria" w:hAnsi="Cambria" w:cs="Times New Roman"/>
        </w:rPr>
        <w:t xml:space="preserve"> These arrears come mainly from </w:t>
      </w:r>
      <w:r w:rsidRPr="005E553D">
        <w:rPr>
          <w:rFonts w:ascii="Cambria" w:hAnsi="Cambria" w:cs="Times New Roman"/>
          <w:u w:val="single"/>
        </w:rPr>
        <w:t xml:space="preserve">Albanian Roads Authority </w:t>
      </w:r>
      <w:r w:rsidRPr="005E553D">
        <w:rPr>
          <w:rFonts w:ascii="Cambria" w:hAnsi="Cambria" w:cs="Times New Roman"/>
        </w:rPr>
        <w:t>(ARA</w:t>
      </w:r>
      <w:r w:rsidR="00963B40" w:rsidRPr="005E553D">
        <w:rPr>
          <w:rFonts w:ascii="Cambria" w:hAnsi="Cambria" w:cs="Times New Roman"/>
        </w:rPr>
        <w:t>)</w:t>
      </w:r>
      <w:r w:rsidR="00DA3956" w:rsidRPr="005E553D">
        <w:rPr>
          <w:rFonts w:ascii="Times New Roman" w:hAnsi="Times New Roman" w:cs="Times New Roman"/>
        </w:rPr>
        <w:t xml:space="preserve">. </w:t>
      </w:r>
      <w:r w:rsidR="006578D0" w:rsidRPr="005E553D">
        <w:rPr>
          <w:rFonts w:ascii="Times New Roman" w:hAnsi="Times New Roman" w:cs="Times New Roman"/>
        </w:rPr>
        <w:t>During</w:t>
      </w:r>
      <w:r w:rsidR="00DA3956" w:rsidRPr="005E553D">
        <w:rPr>
          <w:rFonts w:ascii="Times New Roman" w:hAnsi="Times New Roman" w:cs="Times New Roman"/>
        </w:rPr>
        <w:t xml:space="preserve"> 2018 it is planned to be paid </w:t>
      </w:r>
      <w:r w:rsidR="00DA3956" w:rsidRPr="005E553D">
        <w:rPr>
          <w:rFonts w:ascii="Times New Roman" w:hAnsi="Times New Roman" w:cs="Times New Roman"/>
          <w:b/>
        </w:rPr>
        <w:t xml:space="preserve">2.646,8 million ALL </w:t>
      </w:r>
      <w:r w:rsidR="00DA3956" w:rsidRPr="005E553D">
        <w:rPr>
          <w:rFonts w:ascii="Times New Roman" w:hAnsi="Times New Roman" w:cs="Times New Roman"/>
        </w:rPr>
        <w:t xml:space="preserve">where </w:t>
      </w:r>
      <w:r w:rsidR="00DA3956" w:rsidRPr="005E553D">
        <w:rPr>
          <w:rFonts w:ascii="Times New Roman" w:hAnsi="Times New Roman" w:cs="Times New Roman"/>
          <w:b/>
        </w:rPr>
        <w:t xml:space="preserve">901 million </w:t>
      </w:r>
      <w:r w:rsidR="006D52DF">
        <w:rPr>
          <w:rFonts w:ascii="Times New Roman" w:hAnsi="Times New Roman" w:cs="Times New Roman"/>
          <w:b/>
        </w:rPr>
        <w:t xml:space="preserve">ALL </w:t>
      </w:r>
      <w:r w:rsidR="00DA3956" w:rsidRPr="005E553D">
        <w:rPr>
          <w:rFonts w:ascii="Times New Roman" w:hAnsi="Times New Roman" w:cs="Times New Roman"/>
        </w:rPr>
        <w:t>are planned for arrears from road maintenance contracts. Unpaid</w:t>
      </w:r>
      <w:r w:rsidR="00357A44">
        <w:rPr>
          <w:rFonts w:ascii="Times New Roman" w:hAnsi="Times New Roman" w:cs="Times New Roman"/>
        </w:rPr>
        <w:t xml:space="preserve"> arrears</w:t>
      </w:r>
      <w:r w:rsidR="00756D25">
        <w:rPr>
          <w:rFonts w:ascii="Times New Roman" w:hAnsi="Times New Roman" w:cs="Times New Roman"/>
        </w:rPr>
        <w:t>,</w:t>
      </w:r>
      <w:r w:rsidR="00357A44">
        <w:rPr>
          <w:rFonts w:ascii="Times New Roman" w:hAnsi="Times New Roman" w:cs="Times New Roman"/>
        </w:rPr>
        <w:t xml:space="preserve"> to be accommodated </w:t>
      </w:r>
      <w:r w:rsidR="00756D25">
        <w:rPr>
          <w:rFonts w:ascii="Times New Roman" w:hAnsi="Times New Roman" w:cs="Times New Roman"/>
        </w:rPr>
        <w:t xml:space="preserve">through 2019 budget, </w:t>
      </w:r>
      <w:r w:rsidR="00DA3956" w:rsidRPr="005E553D">
        <w:rPr>
          <w:rFonts w:ascii="Times New Roman" w:hAnsi="Times New Roman" w:cs="Times New Roman"/>
        </w:rPr>
        <w:t xml:space="preserve">are </w:t>
      </w:r>
      <w:r w:rsidR="00DA3956" w:rsidRPr="005E553D">
        <w:rPr>
          <w:rFonts w:ascii="Times New Roman" w:hAnsi="Times New Roman" w:cs="Times New Roman"/>
          <w:b/>
        </w:rPr>
        <w:t xml:space="preserve">608 million ALL </w:t>
      </w:r>
      <w:r w:rsidR="00DA3956" w:rsidRPr="005E553D">
        <w:rPr>
          <w:rFonts w:ascii="Times New Roman" w:hAnsi="Times New Roman" w:cs="Times New Roman"/>
        </w:rPr>
        <w:t>for MIE, arising from court decisions and road maintenance.</w:t>
      </w:r>
    </w:p>
    <w:p w:rsidR="00887AEB" w:rsidRPr="005E553D" w:rsidRDefault="00887AEB" w:rsidP="006578D0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  <w:b/>
          <w:u w:val="single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Defence </w:t>
      </w:r>
      <w:r w:rsidR="006578D0" w:rsidRPr="005E553D">
        <w:rPr>
          <w:rFonts w:ascii="Cambria" w:hAnsi="Cambria" w:cs="Times New Roman"/>
        </w:rPr>
        <w:t xml:space="preserve">- reports </w:t>
      </w:r>
      <w:r w:rsidR="004D1D33">
        <w:rPr>
          <w:rFonts w:ascii="Cambria" w:hAnsi="Cambria" w:cs="Times New Roman"/>
        </w:rPr>
        <w:t>new arrears in the amount of</w:t>
      </w:r>
      <w:r w:rsidR="006578D0" w:rsidRPr="005E553D">
        <w:rPr>
          <w:rFonts w:ascii="Cambria" w:hAnsi="Cambria" w:cs="Times New Roman"/>
        </w:rPr>
        <w:t xml:space="preserve"> </w:t>
      </w:r>
      <w:r w:rsidR="006578D0" w:rsidRPr="005E553D">
        <w:rPr>
          <w:rFonts w:ascii="Cambria" w:hAnsi="Cambria" w:cs="Times New Roman"/>
          <w:b/>
        </w:rPr>
        <w:t>9</w:t>
      </w:r>
      <w:proofErr w:type="gramStart"/>
      <w:r w:rsidR="00351FDD" w:rsidRPr="005E553D">
        <w:rPr>
          <w:rFonts w:ascii="Cambria" w:hAnsi="Cambria" w:cs="Times New Roman"/>
          <w:b/>
        </w:rPr>
        <w:t>,</w:t>
      </w:r>
      <w:r w:rsidR="006578D0" w:rsidRPr="005E553D">
        <w:rPr>
          <w:rFonts w:ascii="Cambria" w:hAnsi="Cambria" w:cs="Times New Roman"/>
          <w:b/>
        </w:rPr>
        <w:t>4</w:t>
      </w:r>
      <w:proofErr w:type="gramEnd"/>
      <w:r w:rsidR="006578D0" w:rsidRPr="005E553D">
        <w:rPr>
          <w:rFonts w:ascii="Cambria" w:hAnsi="Cambria" w:cs="Times New Roman"/>
          <w:b/>
        </w:rPr>
        <w:t xml:space="preserve"> million ALL</w:t>
      </w:r>
      <w:r w:rsidR="004D1D33">
        <w:rPr>
          <w:rFonts w:ascii="Cambria" w:hAnsi="Cambria" w:cs="Times New Roman"/>
        </w:rPr>
        <w:t xml:space="preserve"> </w:t>
      </w:r>
      <w:r w:rsidR="006578D0" w:rsidRPr="005E553D">
        <w:rPr>
          <w:rFonts w:ascii="Cambria" w:hAnsi="Cambria" w:cs="Times New Roman"/>
        </w:rPr>
        <w:t xml:space="preserve">for the period 01.10.2017 - 31.12.2017 and the stock of arrears is </w:t>
      </w:r>
      <w:r w:rsidR="006578D0" w:rsidRPr="005E553D">
        <w:rPr>
          <w:rFonts w:ascii="Cambria" w:hAnsi="Cambria" w:cs="Times New Roman"/>
          <w:b/>
        </w:rPr>
        <w:t>20.5 million ALL</w:t>
      </w:r>
      <w:r w:rsidR="006578D0" w:rsidRPr="005E553D">
        <w:rPr>
          <w:rFonts w:ascii="Cambria" w:hAnsi="Cambria" w:cs="Times New Roman"/>
        </w:rPr>
        <w:t xml:space="preserve"> by December 2017, which are planned to be settled with the budget of 2018.</w:t>
      </w:r>
      <w:r w:rsidR="00756D25">
        <w:rPr>
          <w:rFonts w:ascii="Cambria" w:hAnsi="Cambria" w:cs="Times New Roman"/>
        </w:rPr>
        <w:t xml:space="preserve"> As a result of government restructuring “Civil Emergencies” and “State Reserve” program went through MD </w:t>
      </w:r>
      <w:r w:rsidR="00E22FEA">
        <w:rPr>
          <w:rFonts w:ascii="Cambria" w:hAnsi="Cambria" w:cs="Times New Roman"/>
        </w:rPr>
        <w:t xml:space="preserve">area of responsibilities, carrying their arrears which amount to </w:t>
      </w:r>
      <w:r w:rsidR="00E22FEA">
        <w:rPr>
          <w:rFonts w:ascii="Cambria" w:hAnsi="Cambria" w:cs="Times New Roman"/>
          <w:b/>
        </w:rPr>
        <w:t xml:space="preserve">64 million ALL. </w:t>
      </w:r>
      <w:r w:rsidR="00E22FEA">
        <w:rPr>
          <w:rFonts w:ascii="Cambria" w:hAnsi="Cambria" w:cs="Times New Roman"/>
        </w:rPr>
        <w:t>This amount of unpaid arrears will be settled during 2019.</w:t>
      </w:r>
    </w:p>
    <w:p w:rsidR="00351FDD" w:rsidRPr="009F54E3" w:rsidRDefault="00887AEB" w:rsidP="00351FDD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Education, Sports and Youth</w:t>
      </w:r>
      <w:r w:rsidRPr="005E553D">
        <w:rPr>
          <w:rFonts w:ascii="Cambria" w:hAnsi="Cambria" w:cs="Times New Roman"/>
        </w:rPr>
        <w:t xml:space="preserve"> - </w:t>
      </w:r>
      <w:r w:rsidR="00351FDD" w:rsidRPr="005E553D">
        <w:rPr>
          <w:rFonts w:ascii="Cambria" w:hAnsi="Cambria" w:cs="Times New Roman"/>
        </w:rPr>
        <w:t xml:space="preserve">reports that arrears from January 2016 to December </w:t>
      </w:r>
      <w:r w:rsidR="00351FDD" w:rsidRPr="009F54E3">
        <w:rPr>
          <w:rFonts w:ascii="Cambria" w:hAnsi="Cambria" w:cs="Times New Roman"/>
        </w:rPr>
        <w:t xml:space="preserve">2017 are in the amount of </w:t>
      </w:r>
      <w:r w:rsidR="00351FDD" w:rsidRPr="009F54E3">
        <w:rPr>
          <w:rFonts w:ascii="Cambria" w:hAnsi="Cambria" w:cs="Times New Roman"/>
          <w:b/>
        </w:rPr>
        <w:t>77</w:t>
      </w:r>
      <w:proofErr w:type="gramStart"/>
      <w:r w:rsidR="00351FDD" w:rsidRPr="009F54E3">
        <w:rPr>
          <w:rFonts w:ascii="Cambria" w:hAnsi="Cambria" w:cs="Times New Roman"/>
          <w:b/>
        </w:rPr>
        <w:t>,7</w:t>
      </w:r>
      <w:proofErr w:type="gramEnd"/>
      <w:r w:rsidR="00351FDD" w:rsidRPr="009F54E3">
        <w:rPr>
          <w:rFonts w:ascii="Cambria" w:hAnsi="Cambria" w:cs="Times New Roman"/>
          <w:b/>
        </w:rPr>
        <w:t xml:space="preserve"> million ALL</w:t>
      </w:r>
      <w:r w:rsidR="00351FDD" w:rsidRPr="009F54E3">
        <w:rPr>
          <w:rFonts w:ascii="Cambria" w:hAnsi="Cambria" w:cs="Times New Roman"/>
        </w:rPr>
        <w:t>. This amount is planned to be paid all through the Budget of 2018.</w:t>
      </w:r>
    </w:p>
    <w:p w:rsidR="00887AEB" w:rsidRPr="009F54E3" w:rsidRDefault="00887AEB" w:rsidP="00351FDD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9F54E3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Justice </w:t>
      </w:r>
      <w:r w:rsidRPr="009F54E3">
        <w:rPr>
          <w:rFonts w:ascii="Cambria" w:hAnsi="Cambria" w:cs="Times New Roman"/>
        </w:rPr>
        <w:t>- reports t</w:t>
      </w:r>
      <w:r w:rsidR="00A457A2" w:rsidRPr="009F54E3">
        <w:rPr>
          <w:rFonts w:ascii="Cambria" w:hAnsi="Cambria" w:cs="Times New Roman"/>
        </w:rPr>
        <w:t>hat the arrears</w:t>
      </w:r>
      <w:r w:rsidRPr="009F54E3">
        <w:rPr>
          <w:rFonts w:ascii="Cambria" w:hAnsi="Cambria" w:cs="Times New Roman"/>
        </w:rPr>
        <w:t xml:space="preserve"> for the period from </w:t>
      </w:r>
      <w:r w:rsidR="00963B40" w:rsidRPr="009F54E3">
        <w:rPr>
          <w:rFonts w:ascii="Cambria" w:hAnsi="Cambria" w:cs="Times New Roman"/>
        </w:rPr>
        <w:t>01.01.2016</w:t>
      </w:r>
      <w:r w:rsidRPr="009F54E3">
        <w:rPr>
          <w:rFonts w:ascii="Cambria" w:hAnsi="Cambria" w:cs="Times New Roman"/>
        </w:rPr>
        <w:t xml:space="preserve">– </w:t>
      </w:r>
      <w:r w:rsidR="00963B40" w:rsidRPr="009F54E3">
        <w:rPr>
          <w:rFonts w:ascii="Cambria" w:hAnsi="Cambria" w:cs="Times New Roman"/>
        </w:rPr>
        <w:t>31.12.2017</w:t>
      </w:r>
      <w:r w:rsidRPr="009F54E3">
        <w:rPr>
          <w:rFonts w:ascii="Cambria" w:hAnsi="Cambria" w:cs="Times New Roman"/>
        </w:rPr>
        <w:t xml:space="preserve"> are worth </w:t>
      </w:r>
      <w:r w:rsidR="00351FDD" w:rsidRPr="009F54E3">
        <w:rPr>
          <w:rFonts w:ascii="Cambria" w:hAnsi="Cambria" w:cs="Times New Roman"/>
          <w:b/>
        </w:rPr>
        <w:t>280</w:t>
      </w:r>
      <w:proofErr w:type="gramStart"/>
      <w:r w:rsidR="00351FDD" w:rsidRPr="009F54E3">
        <w:rPr>
          <w:rFonts w:ascii="Cambria" w:hAnsi="Cambria" w:cs="Times New Roman"/>
          <w:b/>
        </w:rPr>
        <w:t>,6</w:t>
      </w:r>
      <w:proofErr w:type="gramEnd"/>
      <w:r w:rsidRPr="009F54E3">
        <w:rPr>
          <w:rFonts w:ascii="Cambria" w:hAnsi="Cambria" w:cs="Times New Roman"/>
          <w:b/>
        </w:rPr>
        <w:t xml:space="preserve"> million ALL</w:t>
      </w:r>
      <w:r w:rsidR="00A457A2" w:rsidRPr="009F54E3">
        <w:rPr>
          <w:rFonts w:ascii="Cambria" w:hAnsi="Cambria" w:cs="Times New Roman"/>
        </w:rPr>
        <w:t xml:space="preserve">. </w:t>
      </w:r>
      <w:r w:rsidR="00351FDD" w:rsidRPr="009F54E3">
        <w:rPr>
          <w:rFonts w:ascii="Cambria" w:hAnsi="Cambria" w:cs="Times New Roman"/>
        </w:rPr>
        <w:t xml:space="preserve">Through the </w:t>
      </w:r>
      <w:r w:rsidR="00A457A2" w:rsidRPr="009F54E3">
        <w:rPr>
          <w:rFonts w:ascii="Cambria" w:hAnsi="Cambria" w:cs="Times New Roman"/>
        </w:rPr>
        <w:t xml:space="preserve">approved </w:t>
      </w:r>
      <w:r w:rsidR="00351FDD" w:rsidRPr="009F54E3">
        <w:rPr>
          <w:rFonts w:ascii="Cambria" w:hAnsi="Cambria" w:cs="Times New Roman"/>
        </w:rPr>
        <w:t xml:space="preserve">budget of 2018 is </w:t>
      </w:r>
      <w:r w:rsidR="00A457A2" w:rsidRPr="009F54E3">
        <w:rPr>
          <w:rFonts w:ascii="Cambria" w:hAnsi="Cambria" w:cs="Times New Roman"/>
        </w:rPr>
        <w:t>plann</w:t>
      </w:r>
      <w:r w:rsidR="00351FDD" w:rsidRPr="009F54E3">
        <w:rPr>
          <w:rFonts w:ascii="Cambria" w:hAnsi="Cambria" w:cs="Times New Roman"/>
        </w:rPr>
        <w:t xml:space="preserve">ed to be paid </w:t>
      </w:r>
      <w:r w:rsidR="00351FDD" w:rsidRPr="009F54E3">
        <w:rPr>
          <w:rFonts w:ascii="Cambria" w:hAnsi="Cambria" w:cs="Times New Roman"/>
          <w:b/>
        </w:rPr>
        <w:t>32,6 million ALL</w:t>
      </w:r>
      <w:r w:rsidR="00351FDD" w:rsidRPr="009F54E3">
        <w:rPr>
          <w:rFonts w:ascii="Cambria" w:hAnsi="Cambria" w:cs="Times New Roman"/>
        </w:rPr>
        <w:t xml:space="preserve"> and the remaining unpaid arrears </w:t>
      </w:r>
      <w:r w:rsidR="00A457A2" w:rsidRPr="009F54E3">
        <w:rPr>
          <w:rFonts w:ascii="Cambria" w:hAnsi="Cambria" w:cs="Times New Roman"/>
        </w:rPr>
        <w:t>of</w:t>
      </w:r>
      <w:r w:rsidR="00351FDD" w:rsidRPr="009F54E3">
        <w:rPr>
          <w:rFonts w:ascii="Cambria" w:hAnsi="Cambria" w:cs="Times New Roman"/>
        </w:rPr>
        <w:t xml:space="preserve"> </w:t>
      </w:r>
      <w:r w:rsidR="00351FDD" w:rsidRPr="009F54E3">
        <w:rPr>
          <w:rFonts w:ascii="Cambria" w:hAnsi="Cambria" w:cs="Times New Roman"/>
          <w:b/>
        </w:rPr>
        <w:t>248 million ALL</w:t>
      </w:r>
      <w:r w:rsidR="00A457A2" w:rsidRPr="009F54E3">
        <w:rPr>
          <w:rFonts w:ascii="Cambria" w:hAnsi="Cambria" w:cs="Times New Roman"/>
          <w:b/>
        </w:rPr>
        <w:t xml:space="preserve">, </w:t>
      </w:r>
      <w:r w:rsidR="00A457A2" w:rsidRPr="009F54E3">
        <w:rPr>
          <w:rFonts w:ascii="Cambria" w:hAnsi="Cambria" w:cs="Times New Roman"/>
        </w:rPr>
        <w:t xml:space="preserve">mainly court decisions, </w:t>
      </w:r>
      <w:r w:rsidR="00351FDD" w:rsidRPr="009F54E3">
        <w:rPr>
          <w:rFonts w:ascii="Cambria" w:hAnsi="Cambria" w:cs="Times New Roman"/>
        </w:rPr>
        <w:t xml:space="preserve"> </w:t>
      </w:r>
      <w:r w:rsidR="00A457A2" w:rsidRPr="009F54E3">
        <w:rPr>
          <w:rFonts w:ascii="Cambria" w:hAnsi="Cambria" w:cs="Times New Roman"/>
        </w:rPr>
        <w:t xml:space="preserve">will be settled during 2019 </w:t>
      </w:r>
      <w:r w:rsidR="00443000" w:rsidRPr="009F54E3">
        <w:rPr>
          <w:rFonts w:ascii="Cambria" w:hAnsi="Cambria" w:cs="Times New Roman"/>
        </w:rPr>
        <w:t>budget.</w:t>
      </w:r>
    </w:p>
    <w:p w:rsidR="005D0E00" w:rsidRPr="005E553D" w:rsidRDefault="00887AEB" w:rsidP="0049360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Health and Social Protection</w:t>
      </w:r>
      <w:r w:rsidR="0049360F" w:rsidRPr="005E553D">
        <w:rPr>
          <w:rFonts w:ascii="Cambria" w:hAnsi="Cambria" w:cs="Times New Roman"/>
        </w:rPr>
        <w:t xml:space="preserve"> - reports that the arrears, from court decisions for former employees, </w:t>
      </w:r>
      <w:r w:rsidRPr="005E553D">
        <w:rPr>
          <w:rFonts w:ascii="Cambria" w:hAnsi="Cambria" w:cs="Times New Roman"/>
        </w:rPr>
        <w:t xml:space="preserve">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–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 are worth </w:t>
      </w:r>
      <w:r w:rsidR="005D0E00" w:rsidRPr="005E553D">
        <w:rPr>
          <w:rFonts w:ascii="Cambria" w:hAnsi="Cambria" w:cs="Times New Roman"/>
          <w:b/>
        </w:rPr>
        <w:t>138</w:t>
      </w:r>
      <w:proofErr w:type="gramStart"/>
      <w:r w:rsidR="005D0E00" w:rsidRPr="005E553D">
        <w:rPr>
          <w:rFonts w:ascii="Cambria" w:hAnsi="Cambria" w:cs="Times New Roman"/>
          <w:b/>
        </w:rPr>
        <w:t>,7</w:t>
      </w:r>
      <w:proofErr w:type="gramEnd"/>
      <w:r w:rsidRPr="005E553D">
        <w:rPr>
          <w:rFonts w:ascii="Cambria" w:hAnsi="Cambria" w:cs="Times New Roman"/>
          <w:b/>
        </w:rPr>
        <w:t xml:space="preserve"> million ALL.</w:t>
      </w:r>
      <w:r w:rsidR="005D0E00" w:rsidRPr="005E553D">
        <w:rPr>
          <w:rFonts w:ascii="Cambria" w:hAnsi="Cambria" w:cs="Times New Roman"/>
          <w:b/>
        </w:rPr>
        <w:t xml:space="preserve"> </w:t>
      </w:r>
      <w:r w:rsidR="005D0E00" w:rsidRPr="005E553D">
        <w:rPr>
          <w:rFonts w:ascii="Cambria" w:hAnsi="Cambria" w:cs="Times New Roman"/>
        </w:rPr>
        <w:t xml:space="preserve">During 2018 is planned to be paid an amount of </w:t>
      </w:r>
      <w:r w:rsidR="005D0E00" w:rsidRPr="005E553D">
        <w:rPr>
          <w:rFonts w:ascii="Cambria" w:hAnsi="Cambria" w:cs="Times New Roman"/>
          <w:b/>
        </w:rPr>
        <w:t>29</w:t>
      </w:r>
      <w:proofErr w:type="gramStart"/>
      <w:r w:rsidR="005D0E00" w:rsidRPr="005E553D">
        <w:rPr>
          <w:rFonts w:ascii="Cambria" w:hAnsi="Cambria" w:cs="Times New Roman"/>
          <w:b/>
        </w:rPr>
        <w:t>,2</w:t>
      </w:r>
      <w:proofErr w:type="gramEnd"/>
      <w:r w:rsidR="005D0E00" w:rsidRPr="005E553D">
        <w:rPr>
          <w:rFonts w:ascii="Cambria" w:hAnsi="Cambria" w:cs="Times New Roman"/>
          <w:b/>
        </w:rPr>
        <w:t xml:space="preserve"> million ALL </w:t>
      </w:r>
      <w:r w:rsidR="005D0E00" w:rsidRPr="005E553D">
        <w:rPr>
          <w:rFonts w:ascii="Cambria" w:hAnsi="Cambria" w:cs="Times New Roman"/>
        </w:rPr>
        <w:t>from accumulated arrears.</w:t>
      </w:r>
      <w:r w:rsidRPr="005E553D">
        <w:rPr>
          <w:rFonts w:ascii="Cambria" w:hAnsi="Cambria" w:cs="Times New Roman"/>
        </w:rPr>
        <w:t xml:space="preserve"> </w:t>
      </w:r>
    </w:p>
    <w:p w:rsidR="00887AEB" w:rsidRPr="005E553D" w:rsidRDefault="00887AEB" w:rsidP="0049360F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Internal Affair</w:t>
      </w:r>
      <w:r w:rsidRPr="005E553D">
        <w:rPr>
          <w:rFonts w:ascii="Cambria" w:hAnsi="Cambria" w:cs="Times New Roman"/>
        </w:rPr>
        <w:t xml:space="preserve"> - reports that the</w:t>
      </w:r>
      <w:r w:rsidR="00715C52">
        <w:rPr>
          <w:rFonts w:ascii="Cambria" w:hAnsi="Cambria" w:cs="Times New Roman"/>
        </w:rPr>
        <w:t xml:space="preserve"> stock of</w:t>
      </w:r>
      <w:r w:rsidRPr="005E553D">
        <w:rPr>
          <w:rFonts w:ascii="Cambria" w:hAnsi="Cambria" w:cs="Times New Roman"/>
        </w:rPr>
        <w:t xml:space="preserve"> arrears 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–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 </w:t>
      </w:r>
      <w:r w:rsidR="00715C52">
        <w:rPr>
          <w:rFonts w:ascii="Cambria" w:hAnsi="Cambria" w:cs="Times New Roman"/>
        </w:rPr>
        <w:t>are</w:t>
      </w:r>
      <w:r w:rsidRPr="005E553D">
        <w:rPr>
          <w:rFonts w:ascii="Cambria" w:hAnsi="Cambria" w:cs="Times New Roman"/>
        </w:rPr>
        <w:t xml:space="preserve"> </w:t>
      </w:r>
      <w:r w:rsidR="0049360F" w:rsidRPr="005E553D">
        <w:rPr>
          <w:rFonts w:ascii="Cambria" w:hAnsi="Cambria" w:cs="Times New Roman"/>
          <w:b/>
          <w:u w:val="single"/>
        </w:rPr>
        <w:t>924</w:t>
      </w:r>
      <w:proofErr w:type="gramStart"/>
      <w:r w:rsidR="0049360F" w:rsidRPr="005E553D">
        <w:rPr>
          <w:rFonts w:ascii="Cambria" w:hAnsi="Cambria" w:cs="Times New Roman"/>
          <w:b/>
          <w:u w:val="single"/>
        </w:rPr>
        <w:t>,2</w:t>
      </w:r>
      <w:proofErr w:type="gramEnd"/>
      <w:r w:rsidRPr="005E553D">
        <w:rPr>
          <w:rFonts w:ascii="Cambria" w:hAnsi="Cambria" w:cs="Times New Roman"/>
          <w:b/>
          <w:u w:val="single"/>
        </w:rPr>
        <w:t xml:space="preserve"> million ALL.</w:t>
      </w:r>
      <w:r w:rsidRPr="005E553D">
        <w:rPr>
          <w:rFonts w:ascii="Cambria" w:hAnsi="Cambria" w:cs="Times New Roman"/>
        </w:rPr>
        <w:t xml:space="preserve"> </w:t>
      </w:r>
      <w:r w:rsidR="00715C52">
        <w:rPr>
          <w:rFonts w:ascii="Cambria" w:hAnsi="Cambria" w:cs="Times New Roman"/>
        </w:rPr>
        <w:t>From the approved budget of</w:t>
      </w:r>
      <w:r w:rsidR="0049360F" w:rsidRPr="005E553D">
        <w:rPr>
          <w:rFonts w:ascii="Cambria" w:hAnsi="Cambria" w:cs="Times New Roman"/>
        </w:rPr>
        <w:t xml:space="preserve"> 2018 will be paid an amount of </w:t>
      </w:r>
      <w:r w:rsidR="00256A9C">
        <w:rPr>
          <w:rFonts w:ascii="Cambria" w:hAnsi="Cambria" w:cs="Times New Roman"/>
          <w:b/>
        </w:rPr>
        <w:t>425</w:t>
      </w:r>
      <w:proofErr w:type="gramStart"/>
      <w:r w:rsidR="00256A9C">
        <w:rPr>
          <w:rFonts w:ascii="Cambria" w:hAnsi="Cambria" w:cs="Times New Roman"/>
          <w:b/>
        </w:rPr>
        <w:t>,3</w:t>
      </w:r>
      <w:proofErr w:type="gramEnd"/>
      <w:r w:rsidR="00256A9C">
        <w:rPr>
          <w:rFonts w:ascii="Cambria" w:hAnsi="Cambria" w:cs="Times New Roman"/>
          <w:b/>
        </w:rPr>
        <w:t xml:space="preserve"> million ALL. </w:t>
      </w:r>
      <w:r w:rsidR="00256A9C">
        <w:rPr>
          <w:rFonts w:ascii="Cambria" w:hAnsi="Cambria" w:cs="Times New Roman"/>
        </w:rPr>
        <w:t>The amount of arrears to be paid through the</w:t>
      </w:r>
      <w:r w:rsidR="009168BD">
        <w:rPr>
          <w:rFonts w:ascii="Cambria" w:hAnsi="Cambria" w:cs="Times New Roman"/>
        </w:rPr>
        <w:t xml:space="preserve"> b</w:t>
      </w:r>
      <w:r w:rsidR="00256A9C">
        <w:rPr>
          <w:rFonts w:ascii="Cambria" w:hAnsi="Cambria" w:cs="Times New Roman"/>
        </w:rPr>
        <w:t>udget</w:t>
      </w:r>
      <w:r w:rsidR="00715C52">
        <w:rPr>
          <w:rFonts w:ascii="Cambria" w:hAnsi="Cambria" w:cs="Times New Roman"/>
        </w:rPr>
        <w:t xml:space="preserve"> 2019 </w:t>
      </w:r>
      <w:r w:rsidR="00256A9C">
        <w:rPr>
          <w:rFonts w:ascii="Cambria" w:hAnsi="Cambria" w:cs="Times New Roman"/>
        </w:rPr>
        <w:t xml:space="preserve">  is </w:t>
      </w:r>
      <w:r w:rsidR="00256A9C" w:rsidRPr="00256A9C">
        <w:rPr>
          <w:rFonts w:ascii="Cambria" w:hAnsi="Cambria" w:cs="Times New Roman"/>
          <w:b/>
        </w:rPr>
        <w:t>4</w:t>
      </w:r>
      <w:r w:rsidR="009168BD">
        <w:rPr>
          <w:rFonts w:ascii="Cambria" w:hAnsi="Cambria" w:cs="Times New Roman"/>
          <w:b/>
        </w:rPr>
        <w:t>98</w:t>
      </w:r>
      <w:proofErr w:type="gramStart"/>
      <w:r w:rsidR="00256A9C" w:rsidRPr="00256A9C">
        <w:rPr>
          <w:rFonts w:ascii="Cambria" w:hAnsi="Cambria" w:cs="Times New Roman"/>
          <w:b/>
        </w:rPr>
        <w:t>,9</w:t>
      </w:r>
      <w:proofErr w:type="gramEnd"/>
      <w:r w:rsidR="00256A9C" w:rsidRPr="00256A9C">
        <w:rPr>
          <w:rFonts w:ascii="Cambria" w:hAnsi="Cambria" w:cs="Times New Roman"/>
          <w:b/>
        </w:rPr>
        <w:t xml:space="preserve"> million ALL</w:t>
      </w:r>
      <w:r w:rsidR="00256A9C">
        <w:rPr>
          <w:rFonts w:ascii="Cambria" w:hAnsi="Cambria" w:cs="Times New Roman"/>
          <w:b/>
        </w:rPr>
        <w:t xml:space="preserve">. </w:t>
      </w:r>
      <w:r w:rsidR="00256A9C">
        <w:rPr>
          <w:rFonts w:ascii="Cambria" w:hAnsi="Cambria" w:cs="Times New Roman"/>
        </w:rPr>
        <w:t>This amount stands for court decisions and “Civil Status” programme, while the rest of the arrears as a result of government restructuring passed to Ministry of Defence, specifica</w:t>
      </w:r>
      <w:bookmarkStart w:id="0" w:name="_GoBack"/>
      <w:bookmarkEnd w:id="0"/>
      <w:r w:rsidR="00256A9C">
        <w:rPr>
          <w:rFonts w:ascii="Cambria" w:hAnsi="Cambria" w:cs="Times New Roman"/>
        </w:rPr>
        <w:t>lly “Civil Emergencies” programme.</w:t>
      </w:r>
      <w:r w:rsidR="00715C52">
        <w:rPr>
          <w:rFonts w:ascii="Cambria" w:hAnsi="Cambria" w:cs="Times New Roman"/>
        </w:rPr>
        <w:t xml:space="preserve"> </w:t>
      </w:r>
    </w:p>
    <w:p w:rsidR="00887AEB" w:rsidRPr="005E553D" w:rsidRDefault="00887AEB" w:rsidP="00D73A04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 xml:space="preserve">Ministry of Agriculture and Rural Development </w:t>
      </w:r>
      <w:r w:rsidRPr="005E553D">
        <w:rPr>
          <w:rFonts w:ascii="Cambria" w:hAnsi="Cambria" w:cs="Times New Roman"/>
        </w:rPr>
        <w:t xml:space="preserve">- reports that the arrears 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-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 are worth </w:t>
      </w:r>
      <w:r w:rsidR="00084F71" w:rsidRPr="005E553D">
        <w:rPr>
          <w:rFonts w:ascii="Cambria" w:hAnsi="Cambria" w:cs="Times New Roman"/>
          <w:b/>
          <w:u w:val="single"/>
        </w:rPr>
        <w:t>420</w:t>
      </w:r>
      <w:proofErr w:type="gramStart"/>
      <w:r w:rsidR="00084F71" w:rsidRPr="005E553D">
        <w:rPr>
          <w:rFonts w:ascii="Cambria" w:hAnsi="Cambria" w:cs="Times New Roman"/>
          <w:b/>
          <w:u w:val="single"/>
        </w:rPr>
        <w:t>,7</w:t>
      </w:r>
      <w:proofErr w:type="gramEnd"/>
      <w:r w:rsidR="00084F71" w:rsidRPr="005E553D">
        <w:rPr>
          <w:rFonts w:ascii="Cambria" w:hAnsi="Cambria" w:cs="Times New Roman"/>
          <w:b/>
          <w:u w:val="single"/>
        </w:rPr>
        <w:t xml:space="preserve"> </w:t>
      </w:r>
      <w:r w:rsidRPr="005E553D">
        <w:rPr>
          <w:rFonts w:ascii="Cambria" w:hAnsi="Cambria" w:cs="Times New Roman"/>
          <w:b/>
          <w:u w:val="single"/>
        </w:rPr>
        <w:t>million ALL</w:t>
      </w:r>
      <w:r w:rsidR="00D73A04">
        <w:rPr>
          <w:rFonts w:ascii="Cambria" w:hAnsi="Cambria" w:cs="Times New Roman"/>
          <w:b/>
          <w:u w:val="single"/>
        </w:rPr>
        <w:t xml:space="preserve">. </w:t>
      </w:r>
      <w:r w:rsidR="00D73A04" w:rsidRPr="00D73A04">
        <w:rPr>
          <w:rFonts w:ascii="Cambria" w:hAnsi="Cambria" w:cs="Times New Roman"/>
        </w:rPr>
        <w:t>Through</w:t>
      </w:r>
      <w:r w:rsidRPr="005E553D">
        <w:rPr>
          <w:rFonts w:ascii="Cambria" w:hAnsi="Cambria" w:cs="Times New Roman"/>
        </w:rPr>
        <w:t xml:space="preserve"> </w:t>
      </w:r>
      <w:r w:rsidR="00D73A04">
        <w:rPr>
          <w:rFonts w:ascii="Cambria" w:hAnsi="Cambria" w:cs="Times New Roman"/>
        </w:rPr>
        <w:t xml:space="preserve">the approved budget of 2018 is </w:t>
      </w:r>
      <w:r w:rsidR="00D73A04">
        <w:rPr>
          <w:rFonts w:ascii="Cambria" w:hAnsi="Cambria" w:cs="Times New Roman"/>
        </w:rPr>
        <w:lastRenderedPageBreak/>
        <w:t xml:space="preserve">planned to be paid </w:t>
      </w:r>
      <w:r w:rsidR="00D73A04" w:rsidRPr="00D73A04">
        <w:rPr>
          <w:rFonts w:ascii="Cambria" w:hAnsi="Cambria" w:cs="Times New Roman"/>
          <w:b/>
        </w:rPr>
        <w:t>90.7 million ALL</w:t>
      </w:r>
      <w:r w:rsidR="00D73A04">
        <w:rPr>
          <w:rFonts w:ascii="Cambria" w:hAnsi="Cambria" w:cs="Times New Roman"/>
        </w:rPr>
        <w:t xml:space="preserve"> of arrears. Remaining unpaid arrears </w:t>
      </w:r>
      <w:r w:rsidR="00502BEE">
        <w:rPr>
          <w:rFonts w:ascii="Cambria" w:hAnsi="Cambria" w:cs="Times New Roman"/>
        </w:rPr>
        <w:t xml:space="preserve">of </w:t>
      </w:r>
      <w:r w:rsidR="00084F71" w:rsidRPr="005E553D">
        <w:rPr>
          <w:rFonts w:ascii="Cambria" w:hAnsi="Cambria" w:cs="Times New Roman"/>
          <w:b/>
        </w:rPr>
        <w:t>330 million</w:t>
      </w:r>
      <w:r w:rsidR="00084F71" w:rsidRPr="005E553D">
        <w:rPr>
          <w:rFonts w:ascii="Cambria" w:hAnsi="Cambria" w:cs="Times New Roman"/>
        </w:rPr>
        <w:t xml:space="preserve"> </w:t>
      </w:r>
      <w:r w:rsidR="00084F71" w:rsidRPr="005E553D">
        <w:rPr>
          <w:rFonts w:ascii="Cambria" w:hAnsi="Cambria" w:cs="Times New Roman"/>
          <w:b/>
        </w:rPr>
        <w:t>ALL</w:t>
      </w:r>
      <w:r w:rsidR="00502BEE">
        <w:rPr>
          <w:rFonts w:ascii="Cambria" w:hAnsi="Cambria" w:cs="Times New Roman"/>
          <w:b/>
        </w:rPr>
        <w:t>,</w:t>
      </w:r>
      <w:r w:rsidR="00D73A04">
        <w:rPr>
          <w:rFonts w:ascii="Cambria" w:hAnsi="Cambria" w:cs="Times New Roman"/>
        </w:rPr>
        <w:t xml:space="preserve"> arising from court decisions, after </w:t>
      </w:r>
      <w:r w:rsidR="00D73A04" w:rsidRPr="00D73A04">
        <w:rPr>
          <w:rFonts w:ascii="Cambria" w:hAnsi="Cambria" w:cs="Times New Roman"/>
        </w:rPr>
        <w:t>examining the issues</w:t>
      </w:r>
      <w:r w:rsidR="00D73A04">
        <w:rPr>
          <w:rFonts w:ascii="Cambria" w:hAnsi="Cambria" w:cs="Times New Roman"/>
        </w:rPr>
        <w:t xml:space="preserve"> will be </w:t>
      </w:r>
      <w:r w:rsidR="00D73A04" w:rsidRPr="00D73A04">
        <w:rPr>
          <w:rFonts w:ascii="Cambria" w:hAnsi="Cambria" w:cs="Times New Roman"/>
        </w:rPr>
        <w:t>treated with budgetary funds</w:t>
      </w:r>
      <w:r w:rsidR="00D73A04">
        <w:rPr>
          <w:rFonts w:ascii="Cambria" w:hAnsi="Cambria" w:cs="Times New Roman"/>
        </w:rPr>
        <w:t xml:space="preserve"> of 2018</w:t>
      </w:r>
      <w:r w:rsidR="00243510">
        <w:rPr>
          <w:rFonts w:ascii="Cambria" w:hAnsi="Cambria" w:cs="Times New Roman"/>
        </w:rPr>
        <w:t xml:space="preserve"> </w:t>
      </w:r>
      <w:r w:rsidR="00D73A04">
        <w:rPr>
          <w:rFonts w:ascii="Cambria" w:hAnsi="Cambria" w:cs="Times New Roman"/>
        </w:rPr>
        <w:t>-</w:t>
      </w:r>
      <w:r w:rsidR="00243510">
        <w:rPr>
          <w:rFonts w:ascii="Cambria" w:hAnsi="Cambria" w:cs="Times New Roman"/>
        </w:rPr>
        <w:t xml:space="preserve"> </w:t>
      </w:r>
      <w:r w:rsidR="00D73A04">
        <w:rPr>
          <w:rFonts w:ascii="Cambria" w:hAnsi="Cambria" w:cs="Times New Roman"/>
        </w:rPr>
        <w:t>2019.</w:t>
      </w:r>
    </w:p>
    <w:p w:rsidR="00D37FFE" w:rsidRPr="005E553D" w:rsidRDefault="00887AEB" w:rsidP="00887AE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for Europe and Foreign Affairs</w:t>
      </w:r>
      <w:r w:rsidRPr="005E553D">
        <w:rPr>
          <w:rFonts w:ascii="Cambria" w:hAnsi="Cambria" w:cs="Times New Roman"/>
        </w:rPr>
        <w:t xml:space="preserve"> –</w:t>
      </w:r>
      <w:r w:rsidR="00D37FFE" w:rsidRPr="005E553D">
        <w:rPr>
          <w:rFonts w:ascii="Cambria" w:hAnsi="Cambria" w:cs="Times New Roman"/>
        </w:rPr>
        <w:t xml:space="preserve"> reports that has no inherited or newly created arrears.</w:t>
      </w:r>
    </w:p>
    <w:p w:rsidR="00D37FFE" w:rsidRPr="005E553D" w:rsidRDefault="00887AEB" w:rsidP="00887AE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Finance and Economy</w:t>
      </w:r>
      <w:r w:rsidRPr="005E553D">
        <w:rPr>
          <w:rFonts w:ascii="Cambria" w:hAnsi="Cambria" w:cs="Times New Roman"/>
        </w:rPr>
        <w:t xml:space="preserve"> - reports that </w:t>
      </w:r>
      <w:r w:rsidR="00243510">
        <w:rPr>
          <w:rFonts w:ascii="Cambria" w:hAnsi="Cambria" w:cs="Times New Roman"/>
        </w:rPr>
        <w:t xml:space="preserve">for the period from 01.10.2017 - 31.12.2017 has no new arrears. In total the stock of accumulated arrears </w:t>
      </w:r>
      <w:r w:rsidRPr="005E553D">
        <w:rPr>
          <w:rFonts w:ascii="Cambria" w:hAnsi="Cambria" w:cs="Times New Roman"/>
        </w:rPr>
        <w:t xml:space="preserve">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-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, are worth </w:t>
      </w:r>
      <w:r w:rsidR="00D37FFE" w:rsidRPr="005E553D">
        <w:rPr>
          <w:rFonts w:ascii="Cambria" w:hAnsi="Cambria" w:cs="Times New Roman"/>
          <w:b/>
          <w:u w:val="single"/>
        </w:rPr>
        <w:t>111</w:t>
      </w:r>
      <w:proofErr w:type="gramStart"/>
      <w:r w:rsidR="00D37FFE" w:rsidRPr="005E553D">
        <w:rPr>
          <w:rFonts w:ascii="Cambria" w:hAnsi="Cambria" w:cs="Times New Roman"/>
          <w:b/>
          <w:u w:val="single"/>
        </w:rPr>
        <w:t>,7</w:t>
      </w:r>
      <w:proofErr w:type="gramEnd"/>
      <w:r w:rsidRPr="005E553D">
        <w:rPr>
          <w:rFonts w:ascii="Cambria" w:hAnsi="Cambria" w:cs="Times New Roman"/>
          <w:b/>
          <w:u w:val="single"/>
        </w:rPr>
        <w:t xml:space="preserve"> million ALL</w:t>
      </w:r>
      <w:r w:rsidRPr="005E553D">
        <w:rPr>
          <w:rFonts w:ascii="Cambria" w:hAnsi="Cambria" w:cs="Times New Roman"/>
        </w:rPr>
        <w:t xml:space="preserve"> arising </w:t>
      </w:r>
      <w:r w:rsidR="00243510">
        <w:rPr>
          <w:rFonts w:ascii="Cambria" w:hAnsi="Cambria" w:cs="Times New Roman"/>
        </w:rPr>
        <w:t xml:space="preserve">from court decisions. </w:t>
      </w:r>
      <w:r w:rsidR="00D37FFE" w:rsidRPr="005E553D">
        <w:rPr>
          <w:rFonts w:ascii="Cambria" w:hAnsi="Cambria" w:cs="Times New Roman"/>
        </w:rPr>
        <w:t xml:space="preserve">During 2018 it is planned to be paid </w:t>
      </w:r>
      <w:r w:rsidR="00D37FFE" w:rsidRPr="005E553D">
        <w:rPr>
          <w:rFonts w:ascii="Cambria" w:hAnsi="Cambria" w:cs="Times New Roman"/>
          <w:b/>
        </w:rPr>
        <w:t>102 million ALL.</w:t>
      </w:r>
    </w:p>
    <w:p w:rsidR="00887AEB" w:rsidRPr="005E553D" w:rsidRDefault="00887AEB" w:rsidP="00440900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Culture</w:t>
      </w:r>
      <w:r w:rsidRPr="005E553D">
        <w:rPr>
          <w:rFonts w:ascii="Cambria" w:hAnsi="Cambria" w:cs="Times New Roman"/>
        </w:rPr>
        <w:t xml:space="preserve"> – </w:t>
      </w:r>
      <w:r w:rsidR="00D37FFE" w:rsidRPr="005E553D">
        <w:rPr>
          <w:rFonts w:ascii="Cambria" w:hAnsi="Cambria" w:cs="Times New Roman"/>
        </w:rPr>
        <w:t>reports that the arrears for the period from 01.</w:t>
      </w:r>
      <w:r w:rsidR="00440900">
        <w:rPr>
          <w:rFonts w:ascii="Cambria" w:hAnsi="Cambria" w:cs="Times New Roman"/>
        </w:rPr>
        <w:t>10.2017</w:t>
      </w:r>
      <w:r w:rsidR="00243510">
        <w:rPr>
          <w:rFonts w:ascii="Cambria" w:hAnsi="Cambria" w:cs="Times New Roman"/>
        </w:rPr>
        <w:t xml:space="preserve"> </w:t>
      </w:r>
      <w:r w:rsidR="00D37FFE" w:rsidRPr="005E553D">
        <w:rPr>
          <w:rFonts w:ascii="Cambria" w:hAnsi="Cambria" w:cs="Times New Roman"/>
        </w:rPr>
        <w:t xml:space="preserve">- 31.12.2017 are </w:t>
      </w:r>
      <w:r w:rsidR="00D37FFE" w:rsidRPr="00440900">
        <w:rPr>
          <w:rFonts w:ascii="Cambria" w:hAnsi="Cambria" w:cs="Times New Roman"/>
          <w:b/>
        </w:rPr>
        <w:t>1</w:t>
      </w:r>
      <w:proofErr w:type="gramStart"/>
      <w:r w:rsidR="00D37FFE" w:rsidRPr="00440900">
        <w:rPr>
          <w:rFonts w:ascii="Cambria" w:hAnsi="Cambria" w:cs="Times New Roman"/>
          <w:b/>
        </w:rPr>
        <w:t>,4</w:t>
      </w:r>
      <w:proofErr w:type="gramEnd"/>
      <w:r w:rsidR="00D37FFE" w:rsidRPr="00440900">
        <w:rPr>
          <w:rFonts w:ascii="Cambria" w:hAnsi="Cambria" w:cs="Times New Roman"/>
          <w:b/>
        </w:rPr>
        <w:t xml:space="preserve"> million ALL</w:t>
      </w:r>
      <w:r w:rsidR="00440900">
        <w:rPr>
          <w:rFonts w:ascii="Cambria" w:hAnsi="Cambria" w:cs="Times New Roman"/>
        </w:rPr>
        <w:t xml:space="preserve"> mainly</w:t>
      </w:r>
      <w:r w:rsidR="00D37FFE" w:rsidRPr="005E553D">
        <w:rPr>
          <w:rFonts w:ascii="Cambria" w:hAnsi="Cambria" w:cs="Times New Roman"/>
        </w:rPr>
        <w:t xml:space="preserve"> from court decisions. This amount </w:t>
      </w:r>
      <w:r w:rsidR="00440900" w:rsidRPr="00440900">
        <w:rPr>
          <w:rFonts w:ascii="Cambria" w:hAnsi="Cambria" w:cs="Times New Roman"/>
        </w:rPr>
        <w:t>is also the total stock</w:t>
      </w:r>
      <w:r w:rsidR="00440900">
        <w:rPr>
          <w:rFonts w:ascii="Cambria" w:hAnsi="Cambria" w:cs="Times New Roman"/>
        </w:rPr>
        <w:t xml:space="preserve"> from 01.01.2016 – 31.12.2017. The total amount of arrears</w:t>
      </w:r>
      <w:r w:rsidR="00D37FFE" w:rsidRPr="005E553D">
        <w:rPr>
          <w:rFonts w:ascii="Cambria" w:hAnsi="Cambria" w:cs="Times New Roman"/>
        </w:rPr>
        <w:t xml:space="preserve"> is planned to be settled during 2018.</w:t>
      </w:r>
    </w:p>
    <w:p w:rsidR="00EF1D59" w:rsidRPr="005E553D" w:rsidRDefault="00887AEB" w:rsidP="003B5EFE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Ministry of Tourism and Environment</w:t>
      </w:r>
      <w:r w:rsidRPr="005E553D">
        <w:rPr>
          <w:rFonts w:ascii="Cambria" w:hAnsi="Cambria" w:cs="Times New Roman"/>
        </w:rPr>
        <w:t xml:space="preserve"> - reports that the arrears for </w:t>
      </w:r>
      <w:r w:rsidR="00EF1D59" w:rsidRPr="005E553D">
        <w:rPr>
          <w:rFonts w:ascii="Cambria" w:hAnsi="Cambria" w:cs="Times New Roman"/>
        </w:rPr>
        <w:t>January 2016 to December</w:t>
      </w:r>
      <w:r w:rsidRPr="005E553D">
        <w:rPr>
          <w:rFonts w:ascii="Cambria" w:hAnsi="Cambria" w:cs="Times New Roman"/>
        </w:rPr>
        <w:t xml:space="preserve"> 2017 are worth </w:t>
      </w:r>
      <w:r w:rsidR="00EF1D59" w:rsidRPr="005E553D">
        <w:rPr>
          <w:rFonts w:ascii="Cambria" w:hAnsi="Cambria" w:cs="Times New Roman"/>
          <w:b/>
          <w:u w:val="single"/>
        </w:rPr>
        <w:t>255</w:t>
      </w:r>
      <w:proofErr w:type="gramStart"/>
      <w:r w:rsidR="00EF1D59" w:rsidRPr="005E553D">
        <w:rPr>
          <w:rFonts w:ascii="Cambria" w:hAnsi="Cambria" w:cs="Times New Roman"/>
          <w:b/>
          <w:u w:val="single"/>
        </w:rPr>
        <w:t>,3</w:t>
      </w:r>
      <w:proofErr w:type="gramEnd"/>
      <w:r w:rsidR="00EF1D59" w:rsidRPr="005E553D">
        <w:rPr>
          <w:rFonts w:ascii="Cambria" w:hAnsi="Cambria" w:cs="Times New Roman"/>
          <w:b/>
          <w:u w:val="single"/>
        </w:rPr>
        <w:t xml:space="preserve"> </w:t>
      </w:r>
      <w:r w:rsidRPr="005E553D">
        <w:rPr>
          <w:rFonts w:ascii="Cambria" w:hAnsi="Cambria" w:cs="Times New Roman"/>
          <w:b/>
          <w:u w:val="single"/>
        </w:rPr>
        <w:t>million</w:t>
      </w:r>
      <w:r w:rsidRPr="005E553D">
        <w:rPr>
          <w:rFonts w:ascii="Cambria" w:hAnsi="Cambria" w:cs="Times New Roman"/>
        </w:rPr>
        <w:t xml:space="preserve"> as liabilities arising from final judicial decisions.</w:t>
      </w:r>
      <w:r w:rsidR="003B5EFE">
        <w:rPr>
          <w:rFonts w:ascii="Cambria" w:hAnsi="Cambria" w:cs="Times New Roman"/>
        </w:rPr>
        <w:t xml:space="preserve"> </w:t>
      </w:r>
      <w:r w:rsidRPr="005E553D">
        <w:rPr>
          <w:rFonts w:ascii="Cambria" w:hAnsi="Cambria" w:cs="Times New Roman"/>
        </w:rPr>
        <w:t xml:space="preserve"> </w:t>
      </w:r>
      <w:r w:rsidR="003B5EFE">
        <w:rPr>
          <w:rFonts w:ascii="Cambria" w:hAnsi="Cambria" w:cs="Times New Roman"/>
        </w:rPr>
        <w:t>T</w:t>
      </w:r>
      <w:r w:rsidR="003B5EFE" w:rsidRPr="003B5EFE">
        <w:rPr>
          <w:rFonts w:ascii="Cambria" w:hAnsi="Cambria" w:cs="Times New Roman"/>
        </w:rPr>
        <w:t xml:space="preserve">his </w:t>
      </w:r>
      <w:r w:rsidR="003B5EFE">
        <w:rPr>
          <w:rFonts w:ascii="Cambria" w:hAnsi="Cambria" w:cs="Times New Roman"/>
        </w:rPr>
        <w:t>amount of arrears</w:t>
      </w:r>
      <w:r w:rsidR="003B5EFE" w:rsidRPr="003B5EFE">
        <w:rPr>
          <w:rFonts w:ascii="Cambria" w:hAnsi="Cambria" w:cs="Times New Roman"/>
        </w:rPr>
        <w:t xml:space="preserve"> will be settled through the budget during 2018-2019</w:t>
      </w:r>
      <w:r w:rsidR="003B5EFE">
        <w:rPr>
          <w:rFonts w:ascii="Cambria" w:hAnsi="Cambria" w:cs="Times New Roman"/>
        </w:rPr>
        <w:t>.</w:t>
      </w:r>
    </w:p>
    <w:p w:rsidR="00887AEB" w:rsidRPr="005E553D" w:rsidRDefault="00887AEB" w:rsidP="00887AEB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Cambria" w:hAnsi="Cambria" w:cs="Times New Roman"/>
        </w:rPr>
      </w:pPr>
      <w:r w:rsidRPr="005E553D">
        <w:rPr>
          <w:rFonts w:ascii="Cambria" w:hAnsi="Cambria" w:cs="Times New Roman"/>
          <w:b/>
          <w:color w:val="943634" w:themeColor="accent2" w:themeShade="BF"/>
          <w:sz w:val="24"/>
          <w:szCs w:val="24"/>
        </w:rPr>
        <w:t>Directorate General of Taxation</w:t>
      </w:r>
      <w:r w:rsidRPr="005E553D">
        <w:rPr>
          <w:rFonts w:ascii="Cambria" w:hAnsi="Cambria" w:cs="Times New Roman"/>
        </w:rPr>
        <w:t xml:space="preserve">- reports that the arrears for the period from </w:t>
      </w:r>
      <w:r w:rsidR="00963B40" w:rsidRPr="005E553D">
        <w:rPr>
          <w:rFonts w:ascii="Cambria" w:hAnsi="Cambria" w:cs="Times New Roman"/>
        </w:rPr>
        <w:t>01.01.2016</w:t>
      </w:r>
      <w:r w:rsidRPr="005E553D">
        <w:rPr>
          <w:rFonts w:ascii="Cambria" w:hAnsi="Cambria" w:cs="Times New Roman"/>
        </w:rPr>
        <w:t xml:space="preserve">– </w:t>
      </w:r>
      <w:r w:rsidR="00963B40" w:rsidRPr="005E553D">
        <w:rPr>
          <w:rFonts w:ascii="Cambria" w:hAnsi="Cambria" w:cs="Times New Roman"/>
        </w:rPr>
        <w:t>31.12.2017</w:t>
      </w:r>
      <w:r w:rsidRPr="005E553D">
        <w:rPr>
          <w:rFonts w:ascii="Cambria" w:hAnsi="Cambria" w:cs="Times New Roman"/>
        </w:rPr>
        <w:t xml:space="preserve"> are worth </w:t>
      </w:r>
      <w:r w:rsidR="005E553D" w:rsidRPr="005E553D">
        <w:rPr>
          <w:rFonts w:ascii="Cambria" w:hAnsi="Cambria" w:cs="Times New Roman"/>
          <w:b/>
          <w:u w:val="single"/>
        </w:rPr>
        <w:t>237</w:t>
      </w:r>
      <w:proofErr w:type="gramStart"/>
      <w:r w:rsidR="005E553D" w:rsidRPr="005E553D">
        <w:rPr>
          <w:rFonts w:ascii="Cambria" w:hAnsi="Cambria" w:cs="Times New Roman"/>
          <w:b/>
          <w:u w:val="single"/>
        </w:rPr>
        <w:t>,4</w:t>
      </w:r>
      <w:proofErr w:type="gramEnd"/>
      <w:r w:rsidR="005E553D" w:rsidRPr="005E553D">
        <w:rPr>
          <w:rFonts w:ascii="Cambria" w:hAnsi="Cambria" w:cs="Times New Roman"/>
          <w:b/>
          <w:u w:val="single"/>
        </w:rPr>
        <w:t xml:space="preserve"> </w:t>
      </w:r>
      <w:r w:rsidRPr="005E553D">
        <w:rPr>
          <w:rFonts w:ascii="Cambria" w:hAnsi="Cambria" w:cs="Times New Roman"/>
          <w:b/>
          <w:u w:val="single"/>
        </w:rPr>
        <w:t>million ALL</w:t>
      </w:r>
      <w:r w:rsidR="00E6678B">
        <w:rPr>
          <w:rFonts w:ascii="Cambria" w:hAnsi="Cambria" w:cs="Times New Roman"/>
          <w:b/>
          <w:u w:val="single"/>
        </w:rPr>
        <w:t xml:space="preserve">. </w:t>
      </w:r>
      <w:r w:rsidR="00E6678B" w:rsidRPr="00E6678B">
        <w:rPr>
          <w:rFonts w:ascii="Cambria" w:hAnsi="Cambria" w:cs="Times New Roman"/>
        </w:rPr>
        <w:t>Through</w:t>
      </w:r>
      <w:r w:rsidR="00E6678B">
        <w:rPr>
          <w:rFonts w:ascii="Cambria" w:hAnsi="Cambria" w:cs="Times New Roman"/>
        </w:rPr>
        <w:t xml:space="preserve"> the approved budget of 2018,</w:t>
      </w:r>
      <w:r w:rsidRPr="00E6678B">
        <w:rPr>
          <w:rFonts w:ascii="Cambria" w:hAnsi="Cambria" w:cs="Times New Roman"/>
        </w:rPr>
        <w:t xml:space="preserve"> </w:t>
      </w:r>
      <w:r w:rsidRPr="005E553D">
        <w:rPr>
          <w:rFonts w:ascii="Cambria" w:hAnsi="Cambria" w:cs="Times New Roman"/>
        </w:rPr>
        <w:t xml:space="preserve">GDT </w:t>
      </w:r>
      <w:r w:rsidR="00E6678B">
        <w:rPr>
          <w:rFonts w:ascii="Cambria" w:hAnsi="Cambria" w:cs="Times New Roman"/>
        </w:rPr>
        <w:t>has planned to</w:t>
      </w:r>
      <w:r w:rsidR="005E553D" w:rsidRPr="005E553D">
        <w:rPr>
          <w:rFonts w:ascii="Cambria" w:hAnsi="Cambria" w:cs="Times New Roman"/>
        </w:rPr>
        <w:t xml:space="preserve"> </w:t>
      </w:r>
      <w:proofErr w:type="spellStart"/>
      <w:r w:rsidR="005E553D" w:rsidRPr="005E553D">
        <w:rPr>
          <w:rFonts w:ascii="Cambria" w:hAnsi="Cambria" w:cs="Times New Roman"/>
        </w:rPr>
        <w:t>to</w:t>
      </w:r>
      <w:proofErr w:type="spellEnd"/>
      <w:r w:rsidR="005E553D" w:rsidRPr="005E553D">
        <w:rPr>
          <w:rFonts w:ascii="Cambria" w:hAnsi="Cambria" w:cs="Times New Roman"/>
        </w:rPr>
        <w:t xml:space="preserve"> </w:t>
      </w:r>
      <w:r w:rsidR="00E6678B">
        <w:rPr>
          <w:rFonts w:ascii="Cambria" w:hAnsi="Cambria" w:cs="Times New Roman"/>
        </w:rPr>
        <w:t>pay</w:t>
      </w:r>
      <w:r w:rsidR="005E553D" w:rsidRPr="005E553D">
        <w:rPr>
          <w:rFonts w:ascii="Cambria" w:hAnsi="Cambria" w:cs="Times New Roman"/>
        </w:rPr>
        <w:t xml:space="preserve"> </w:t>
      </w:r>
      <w:r w:rsidR="005E553D" w:rsidRPr="005E553D">
        <w:rPr>
          <w:rFonts w:ascii="Cambria" w:hAnsi="Cambria" w:cs="Times New Roman"/>
          <w:b/>
        </w:rPr>
        <w:t>97 million ALL.</w:t>
      </w:r>
    </w:p>
    <w:p w:rsidR="008A23F3" w:rsidRPr="00931FAC" w:rsidRDefault="008A23F3" w:rsidP="00887AEB">
      <w:pPr>
        <w:rPr>
          <w:rFonts w:ascii="Times New Roman" w:hAnsi="Times New Roman" w:cs="Times New Roman"/>
        </w:rPr>
      </w:pPr>
    </w:p>
    <w:sectPr w:rsidR="008A23F3" w:rsidRPr="00931FAC" w:rsidSect="00314D00">
      <w:pgSz w:w="11906" w:h="16838"/>
      <w:pgMar w:top="1440" w:right="1134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C7B" w:rsidRDefault="00F34C7B" w:rsidP="0094556B">
      <w:pPr>
        <w:spacing w:after="0" w:line="240" w:lineRule="auto"/>
      </w:pPr>
      <w:r>
        <w:separator/>
      </w:r>
    </w:p>
  </w:endnote>
  <w:endnote w:type="continuationSeparator" w:id="0">
    <w:p w:rsidR="00F34C7B" w:rsidRDefault="00F34C7B" w:rsidP="0094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C7B" w:rsidRDefault="00F34C7B" w:rsidP="0094556B">
      <w:pPr>
        <w:spacing w:after="0" w:line="240" w:lineRule="auto"/>
      </w:pPr>
      <w:r>
        <w:separator/>
      </w:r>
    </w:p>
  </w:footnote>
  <w:footnote w:type="continuationSeparator" w:id="0">
    <w:p w:rsidR="00F34C7B" w:rsidRDefault="00F34C7B" w:rsidP="0094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38F2"/>
    <w:multiLevelType w:val="hybridMultilevel"/>
    <w:tmpl w:val="D6D66418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E4326"/>
    <w:multiLevelType w:val="hybridMultilevel"/>
    <w:tmpl w:val="89785EA6"/>
    <w:lvl w:ilvl="0" w:tplc="041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5E24E73"/>
    <w:multiLevelType w:val="hybridMultilevel"/>
    <w:tmpl w:val="EC5E857E"/>
    <w:lvl w:ilvl="0" w:tplc="A8E4A8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1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E855CE"/>
    <w:multiLevelType w:val="hybridMultilevel"/>
    <w:tmpl w:val="25D8316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88"/>
    <w:rsid w:val="00044931"/>
    <w:rsid w:val="00084F71"/>
    <w:rsid w:val="00091A9E"/>
    <w:rsid w:val="000B5F71"/>
    <w:rsid w:val="00110EF6"/>
    <w:rsid w:val="00134FDA"/>
    <w:rsid w:val="001353C6"/>
    <w:rsid w:val="00192983"/>
    <w:rsid w:val="001E22EE"/>
    <w:rsid w:val="00243510"/>
    <w:rsid w:val="00256A9C"/>
    <w:rsid w:val="00296034"/>
    <w:rsid w:val="002C2318"/>
    <w:rsid w:val="002D3F98"/>
    <w:rsid w:val="00314D00"/>
    <w:rsid w:val="003361F4"/>
    <w:rsid w:val="00351FDD"/>
    <w:rsid w:val="00357A44"/>
    <w:rsid w:val="00394498"/>
    <w:rsid w:val="003A2810"/>
    <w:rsid w:val="003B5EFE"/>
    <w:rsid w:val="00440900"/>
    <w:rsid w:val="00443000"/>
    <w:rsid w:val="00443F20"/>
    <w:rsid w:val="004916EC"/>
    <w:rsid w:val="0049360F"/>
    <w:rsid w:val="004D1D33"/>
    <w:rsid w:val="00502BEE"/>
    <w:rsid w:val="00531C5C"/>
    <w:rsid w:val="00561E26"/>
    <w:rsid w:val="00565DDD"/>
    <w:rsid w:val="00571DEF"/>
    <w:rsid w:val="00576E13"/>
    <w:rsid w:val="005B5219"/>
    <w:rsid w:val="005D0E00"/>
    <w:rsid w:val="005E553D"/>
    <w:rsid w:val="005F1642"/>
    <w:rsid w:val="006578D0"/>
    <w:rsid w:val="006A0F1A"/>
    <w:rsid w:val="006B7432"/>
    <w:rsid w:val="006D52DF"/>
    <w:rsid w:val="00715C52"/>
    <w:rsid w:val="00753F71"/>
    <w:rsid w:val="00756D25"/>
    <w:rsid w:val="00761A9B"/>
    <w:rsid w:val="007870BC"/>
    <w:rsid w:val="007B4351"/>
    <w:rsid w:val="00886D12"/>
    <w:rsid w:val="00887AEB"/>
    <w:rsid w:val="008A23F3"/>
    <w:rsid w:val="008B11FF"/>
    <w:rsid w:val="008B5B27"/>
    <w:rsid w:val="009168BD"/>
    <w:rsid w:val="00921488"/>
    <w:rsid w:val="00931FAC"/>
    <w:rsid w:val="0094556B"/>
    <w:rsid w:val="00963B40"/>
    <w:rsid w:val="00965849"/>
    <w:rsid w:val="00971B4A"/>
    <w:rsid w:val="009A15F3"/>
    <w:rsid w:val="009F54E3"/>
    <w:rsid w:val="00A01BAC"/>
    <w:rsid w:val="00A3125D"/>
    <w:rsid w:val="00A457A2"/>
    <w:rsid w:val="00A8765F"/>
    <w:rsid w:val="00AA0903"/>
    <w:rsid w:val="00AC0511"/>
    <w:rsid w:val="00B67583"/>
    <w:rsid w:val="00C06588"/>
    <w:rsid w:val="00C45EB9"/>
    <w:rsid w:val="00CC254E"/>
    <w:rsid w:val="00D16682"/>
    <w:rsid w:val="00D37FFE"/>
    <w:rsid w:val="00D65D43"/>
    <w:rsid w:val="00D73A04"/>
    <w:rsid w:val="00D75F5B"/>
    <w:rsid w:val="00DA3956"/>
    <w:rsid w:val="00E20BC7"/>
    <w:rsid w:val="00E22FEA"/>
    <w:rsid w:val="00E23B2E"/>
    <w:rsid w:val="00E42F23"/>
    <w:rsid w:val="00E50D04"/>
    <w:rsid w:val="00E6678B"/>
    <w:rsid w:val="00E67A83"/>
    <w:rsid w:val="00EB6EF0"/>
    <w:rsid w:val="00EC31C6"/>
    <w:rsid w:val="00EC3C2F"/>
    <w:rsid w:val="00EF1D59"/>
    <w:rsid w:val="00EF3937"/>
    <w:rsid w:val="00F21F5B"/>
    <w:rsid w:val="00F34C7B"/>
    <w:rsid w:val="00F541F9"/>
    <w:rsid w:val="00F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1F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6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6B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1F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6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6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0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98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408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8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076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342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9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17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8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4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60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Besjon Tanuzi</dc:creator>
  <cp:lastModifiedBy>Anisa Kume</cp:lastModifiedBy>
  <cp:revision>2</cp:revision>
  <cp:lastPrinted>2017-03-07T11:50:00Z</cp:lastPrinted>
  <dcterms:created xsi:type="dcterms:W3CDTF">2018-04-13T11:50:00Z</dcterms:created>
  <dcterms:modified xsi:type="dcterms:W3CDTF">2018-04-13T11:50:00Z</dcterms:modified>
</cp:coreProperties>
</file>