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B82DB" w14:textId="0E748B32" w:rsidR="00C2289F" w:rsidRDefault="003230E9" w:rsidP="00242720">
      <w:pPr>
        <w:pStyle w:val="Heading1"/>
      </w:pPr>
      <w:r>
        <w:t>Parents victoria</w:t>
      </w:r>
      <w:r w:rsidR="00C2289F">
        <w:t xml:space="preserve"> </w:t>
      </w:r>
      <w:r w:rsidR="00B1350E">
        <w:t>(P</w:t>
      </w:r>
      <w:r>
        <w:t>V</w:t>
      </w:r>
      <w:r w:rsidR="00B1350E">
        <w:t>)</w:t>
      </w:r>
      <w:r w:rsidR="00C2289F">
        <w:t>:</w:t>
      </w:r>
    </w:p>
    <w:p w14:paraId="297D742C" w14:textId="7BD3BE61" w:rsidR="007630CD" w:rsidRPr="00242720" w:rsidRDefault="007630CD" w:rsidP="00242720">
      <w:pPr>
        <w:pStyle w:val="Heading1"/>
      </w:pPr>
      <w:r w:rsidRPr="00242720">
        <w:t xml:space="preserve">Gifts Benefits and Hospitality </w:t>
      </w:r>
    </w:p>
    <w:p w14:paraId="3EA5D8C7" w14:textId="546AE034" w:rsidR="007630CD" w:rsidRPr="00242720" w:rsidRDefault="007630CD" w:rsidP="00242720">
      <w:pPr>
        <w:pStyle w:val="Heading1"/>
      </w:pPr>
      <w:r w:rsidRPr="00242720">
        <w:t xml:space="preserve">Information for School </w:t>
      </w:r>
      <w:r w:rsidR="003230E9">
        <w:t>communities</w:t>
      </w:r>
    </w:p>
    <w:p w14:paraId="4C75B1CE" w14:textId="57B0E8A9" w:rsidR="00126593" w:rsidRPr="00F05E52" w:rsidRDefault="00257C42" w:rsidP="005A2373">
      <w:pPr>
        <w:pStyle w:val="IntenseQuote"/>
        <w:ind w:left="0" w:right="-7"/>
      </w:pPr>
      <w:r>
        <w:t>Teachers, Principals and members of School C</w:t>
      </w:r>
      <w:r w:rsidR="007630CD" w:rsidRPr="00126593">
        <w:t xml:space="preserve">ouncils </w:t>
      </w:r>
      <w:r w:rsidR="00126593" w:rsidRPr="00126593">
        <w:t>sometimes</w:t>
      </w:r>
      <w:r w:rsidR="007630CD" w:rsidRPr="00126593">
        <w:t xml:space="preserve"> receive offers of gifts, benefits and hospitality from </w:t>
      </w:r>
      <w:r>
        <w:t xml:space="preserve">suppliers and </w:t>
      </w:r>
      <w:r w:rsidR="007630CD" w:rsidRPr="00126593">
        <w:t xml:space="preserve">members of the school community. </w:t>
      </w:r>
      <w:r w:rsidR="00F05E52" w:rsidRPr="00126593">
        <w:t xml:space="preserve">By declaring such offers, </w:t>
      </w:r>
      <w:r>
        <w:t xml:space="preserve">school staff support integrity, protect their reputation and </w:t>
      </w:r>
      <w:r w:rsidR="00F05E52" w:rsidRPr="00126593">
        <w:t>build public confidence in schools.</w:t>
      </w:r>
    </w:p>
    <w:p w14:paraId="3E4F3950" w14:textId="77777777" w:rsidR="00AB41A3" w:rsidRPr="00AB41A3" w:rsidRDefault="00AB41A3" w:rsidP="00AB41A3">
      <w:pPr>
        <w:keepNext/>
        <w:keepLines/>
        <w:spacing w:before="40"/>
        <w:outlineLvl w:val="1"/>
        <w:rPr>
          <w:rFonts w:ascii="Helvetica" w:eastAsiaTheme="majorEastAsia" w:hAnsi="Helvetica" w:cstheme="majorBidi"/>
          <w:b/>
          <w:caps/>
          <w:color w:val="AF272F" w:themeColor="accent1"/>
          <w:sz w:val="21"/>
          <w:szCs w:val="21"/>
          <w:lang w:eastAsia="en-AU"/>
        </w:rPr>
      </w:pPr>
      <w:r w:rsidRPr="00AB41A3">
        <w:rPr>
          <w:rFonts w:asciiTheme="majorHAnsi" w:eastAsiaTheme="majorEastAsia" w:hAnsiTheme="majorHAnsi" w:cstheme="majorBidi"/>
          <w:b/>
          <w:caps/>
          <w:color w:val="AF272F" w:themeColor="accent1"/>
          <w:sz w:val="26"/>
          <w:szCs w:val="26"/>
          <w:lang w:eastAsia="en-AU"/>
        </w:rPr>
        <w:t xml:space="preserve">ONLINE REGISTRY SYSTEM </w:t>
      </w:r>
    </w:p>
    <w:p w14:paraId="00568B4E" w14:textId="0506BE25" w:rsidR="00AB41A3" w:rsidRPr="00AB41A3" w:rsidRDefault="00AB41A3" w:rsidP="00AB41A3">
      <w:r w:rsidRPr="00AB41A3">
        <w:t>From Tuesday 15 May 2018, the online Gifts, Ben</w:t>
      </w:r>
      <w:r w:rsidR="00257C42">
        <w:t>efits and Hospitality Registry S</w:t>
      </w:r>
      <w:r w:rsidRPr="00AB41A3">
        <w:t>ystem replaces hard-copy declaration forms that schools previously used.</w:t>
      </w:r>
    </w:p>
    <w:p w14:paraId="115A0B3E" w14:textId="77777777" w:rsidR="003230E9" w:rsidRDefault="00AB41A3" w:rsidP="00AB41A3">
      <w:r w:rsidRPr="00AB41A3">
        <w:t xml:space="preserve">The system provides all schools and corporate with an equivalent, fast and simple process for declaring and managing gift, benefit and hospitality offers. </w:t>
      </w:r>
    </w:p>
    <w:p w14:paraId="132AEFA1" w14:textId="7C98EA1B" w:rsidR="00AB41A3" w:rsidRPr="00AB41A3" w:rsidRDefault="00AB41A3" w:rsidP="00AB41A3">
      <w:r w:rsidRPr="00AB41A3">
        <w:t>Access to a school’s declaration records is limited to that school</w:t>
      </w:r>
      <w:r w:rsidR="00257C42">
        <w:t>, relevant delegates</w:t>
      </w:r>
      <w:r w:rsidRPr="00AB41A3">
        <w:t xml:space="preserve"> and the Registry System Administrator.</w:t>
      </w:r>
    </w:p>
    <w:p w14:paraId="781465C9" w14:textId="77777777" w:rsidR="00AB41A3" w:rsidRPr="00AB41A3" w:rsidRDefault="00AB41A3" w:rsidP="00AB41A3"/>
    <w:p w14:paraId="4C2D8E5D" w14:textId="77777777" w:rsidR="00912BE9" w:rsidRPr="00126593" w:rsidRDefault="00912BE9" w:rsidP="00912BE9">
      <w:pPr>
        <w:pStyle w:val="Heading2"/>
        <w:rPr>
          <w:rFonts w:eastAsia="Times New Roman"/>
          <w:lang w:eastAsia="en-AU"/>
        </w:rPr>
      </w:pPr>
      <w:r>
        <w:rPr>
          <w:rFonts w:eastAsia="Times New Roman"/>
          <w:lang w:eastAsia="en-AU"/>
        </w:rPr>
        <w:t xml:space="preserve">Department policy </w:t>
      </w:r>
    </w:p>
    <w:p w14:paraId="51C9095D" w14:textId="3C697357" w:rsidR="00912BE9" w:rsidRPr="00090081" w:rsidRDefault="00912BE9" w:rsidP="00912BE9">
      <w:r w:rsidRPr="00090081">
        <w:t xml:space="preserve">The Department’s </w:t>
      </w:r>
      <w:r>
        <w:t>P</w:t>
      </w:r>
      <w:r w:rsidRPr="00090081">
        <w:t xml:space="preserve">olicy can be viewed at: </w:t>
      </w:r>
      <w:hyperlink r:id="rId11" w:history="1">
        <w:r w:rsidRPr="00090081">
          <w:rPr>
            <w:rStyle w:val="Hyperlink"/>
            <w:rFonts w:cstheme="minorHAnsi"/>
            <w:szCs w:val="22"/>
          </w:rPr>
          <w:t>Gifts, Benefits and Hospitality Policy</w:t>
        </w:r>
      </w:hyperlink>
      <w:r w:rsidR="003230E9">
        <w:rPr>
          <w:rStyle w:val="Hyperlink"/>
          <w:rFonts w:cstheme="minorHAnsi"/>
          <w:color w:val="auto"/>
          <w:szCs w:val="22"/>
          <w:u w:val="none"/>
        </w:rPr>
        <w:t>.</w:t>
      </w:r>
    </w:p>
    <w:p w14:paraId="287920E9" w14:textId="77777777" w:rsidR="00912BE9" w:rsidRPr="00090081" w:rsidRDefault="00912BE9" w:rsidP="00912BE9">
      <w:r w:rsidRPr="00090081">
        <w:rPr>
          <w:rFonts w:eastAsia="Times New Roman"/>
          <w:lang w:eastAsia="en-AU"/>
        </w:rPr>
        <w:t xml:space="preserve">All </w:t>
      </w:r>
      <w:r>
        <w:rPr>
          <w:rFonts w:eastAsia="Times New Roman"/>
          <w:lang w:eastAsia="en-AU"/>
        </w:rPr>
        <w:t xml:space="preserve">Victorian Government school-based </w:t>
      </w:r>
      <w:r w:rsidRPr="00090081">
        <w:rPr>
          <w:rFonts w:eastAsia="Times New Roman"/>
          <w:lang w:eastAsia="en-AU"/>
        </w:rPr>
        <w:t>personnel</w:t>
      </w:r>
      <w:r>
        <w:rPr>
          <w:rFonts w:eastAsia="Times New Roman"/>
          <w:lang w:eastAsia="en-AU"/>
        </w:rPr>
        <w:t>, including School Council members and employees,</w:t>
      </w:r>
      <w:r w:rsidRPr="00090081">
        <w:rPr>
          <w:rFonts w:eastAsia="Times New Roman"/>
          <w:lang w:eastAsia="en-AU"/>
        </w:rPr>
        <w:t xml:space="preserve"> must:</w:t>
      </w:r>
    </w:p>
    <w:p w14:paraId="49F0423E" w14:textId="77777777" w:rsidR="00912BE9" w:rsidRPr="00090081" w:rsidRDefault="00912BE9" w:rsidP="00912BE9">
      <w:pPr>
        <w:pStyle w:val="ListParagraph"/>
        <w:numPr>
          <w:ilvl w:val="0"/>
          <w:numId w:val="21"/>
        </w:numPr>
        <w:rPr>
          <w:rFonts w:eastAsia="Times New Roman"/>
          <w:lang w:eastAsia="en-AU"/>
        </w:rPr>
      </w:pPr>
      <w:r w:rsidRPr="00090081">
        <w:rPr>
          <w:rFonts w:eastAsia="Times New Roman"/>
          <w:lang w:eastAsia="en-AU"/>
        </w:rPr>
        <w:t>not seek or solicit gifts, benefits and hospitality for themselves or others</w:t>
      </w:r>
    </w:p>
    <w:p w14:paraId="212A15D3" w14:textId="77777777" w:rsidR="00912BE9" w:rsidRDefault="00912BE9" w:rsidP="00912BE9">
      <w:pPr>
        <w:pStyle w:val="ListParagraph"/>
        <w:numPr>
          <w:ilvl w:val="0"/>
          <w:numId w:val="21"/>
        </w:numPr>
        <w:rPr>
          <w:rFonts w:eastAsia="Times New Roman"/>
          <w:lang w:eastAsia="en-AU"/>
        </w:rPr>
      </w:pPr>
      <w:proofErr w:type="gramStart"/>
      <w:r w:rsidRPr="00090081">
        <w:rPr>
          <w:rFonts w:eastAsia="Times New Roman"/>
          <w:lang w:eastAsia="en-AU"/>
        </w:rPr>
        <w:t>refuse</w:t>
      </w:r>
      <w:proofErr w:type="gramEnd"/>
      <w:r w:rsidRPr="00090081">
        <w:rPr>
          <w:rFonts w:eastAsia="Times New Roman"/>
          <w:lang w:eastAsia="en-AU"/>
        </w:rPr>
        <w:t xml:space="preserve"> offers of gifts, benefits and hospitality that may adversely affect their standing as a public official.</w:t>
      </w:r>
    </w:p>
    <w:p w14:paraId="34DDF11A" w14:textId="77777777" w:rsidR="00912BE9" w:rsidRDefault="00912BE9" w:rsidP="00912BE9">
      <w:pPr>
        <w:rPr>
          <w:lang w:eastAsia="en-AU"/>
        </w:rPr>
      </w:pPr>
      <w:r>
        <w:rPr>
          <w:lang w:eastAsia="en-AU"/>
        </w:rPr>
        <w:t>Offers that have a non-token value must be declared</w:t>
      </w:r>
      <w:r w:rsidRPr="001F3D7D">
        <w:rPr>
          <w:lang w:eastAsia="en-AU"/>
        </w:rPr>
        <w:t xml:space="preserve"> </w:t>
      </w:r>
      <w:r w:rsidRPr="00F31E9B">
        <w:rPr>
          <w:lang w:eastAsia="en-AU"/>
        </w:rPr>
        <w:t xml:space="preserve">in the Registry </w:t>
      </w:r>
      <w:r>
        <w:rPr>
          <w:lang w:eastAsia="en-AU"/>
        </w:rPr>
        <w:t>S</w:t>
      </w:r>
      <w:r w:rsidRPr="00F31E9B">
        <w:rPr>
          <w:lang w:eastAsia="en-AU"/>
        </w:rPr>
        <w:t>ystem</w:t>
      </w:r>
      <w:r>
        <w:rPr>
          <w:lang w:eastAsia="en-AU"/>
        </w:rPr>
        <w:t xml:space="preserve">, </w:t>
      </w:r>
      <w:r w:rsidRPr="00150131">
        <w:rPr>
          <w:lang w:eastAsia="en-AU"/>
        </w:rPr>
        <w:t>whether accepted or declined</w:t>
      </w:r>
      <w:r>
        <w:rPr>
          <w:lang w:eastAsia="en-AU"/>
        </w:rPr>
        <w:t>, as follows:</w:t>
      </w:r>
    </w:p>
    <w:p w14:paraId="41773C8D" w14:textId="77777777" w:rsidR="00912BE9" w:rsidRDefault="00912BE9" w:rsidP="00912BE9">
      <w:pPr>
        <w:pStyle w:val="ListParagraph"/>
        <w:numPr>
          <w:ilvl w:val="0"/>
          <w:numId w:val="22"/>
        </w:numPr>
      </w:pPr>
      <w:r>
        <w:rPr>
          <w:lang w:eastAsia="en-AU"/>
        </w:rPr>
        <w:t xml:space="preserve">General </w:t>
      </w:r>
      <w:r w:rsidRPr="00F31E9B">
        <w:rPr>
          <w:lang w:eastAsia="en-AU"/>
        </w:rPr>
        <w:t xml:space="preserve">gift, benefit or hospitality </w:t>
      </w:r>
      <w:r>
        <w:rPr>
          <w:lang w:eastAsia="en-AU"/>
        </w:rPr>
        <w:t>offers - valued at $50 and above</w:t>
      </w:r>
    </w:p>
    <w:p w14:paraId="165AC4DB" w14:textId="143CB876" w:rsidR="00912BE9" w:rsidRPr="00090081" w:rsidRDefault="00912BE9" w:rsidP="00912BE9">
      <w:pPr>
        <w:pStyle w:val="ListParagraph"/>
        <w:numPr>
          <w:ilvl w:val="0"/>
          <w:numId w:val="22"/>
        </w:numPr>
      </w:pPr>
      <w:r>
        <w:rPr>
          <w:lang w:eastAsia="en-AU"/>
        </w:rPr>
        <w:t xml:space="preserve">Gifts of Appreciation - </w:t>
      </w:r>
      <w:r>
        <w:t>valued above $100</w:t>
      </w:r>
      <w:r w:rsidR="003230E9">
        <w:t>, received by</w:t>
      </w:r>
      <w:r>
        <w:t xml:space="preserve"> </w:t>
      </w:r>
      <w:r w:rsidR="003230E9">
        <w:t>t</w:t>
      </w:r>
      <w:r w:rsidRPr="00090081">
        <w:t xml:space="preserve">eachers from families and students </w:t>
      </w:r>
      <w:proofErr w:type="gramStart"/>
      <w:r w:rsidRPr="00090081">
        <w:t>who</w:t>
      </w:r>
      <w:proofErr w:type="gramEnd"/>
      <w:r w:rsidRPr="00090081">
        <w:t xml:space="preserve"> want to express their appreciation of the teacher’s contribution to the education of a student or students.</w:t>
      </w:r>
    </w:p>
    <w:p w14:paraId="526A5CAF" w14:textId="7D22CFAE" w:rsidR="00AA2245" w:rsidRDefault="00912BE9" w:rsidP="00912BE9">
      <w:pPr>
        <w:spacing w:before="240"/>
        <w:rPr>
          <w:rFonts w:eastAsia="Times New Roman"/>
          <w:lang w:eastAsia="en-AU"/>
        </w:rPr>
      </w:pPr>
      <w:r w:rsidRPr="00912BE9">
        <w:rPr>
          <w:rFonts w:eastAsia="Times New Roman"/>
          <w:lang w:eastAsia="en-AU"/>
        </w:rPr>
        <w:t>Whole of Government rules prohibit any public sector personnel</w:t>
      </w:r>
      <w:r w:rsidR="003230E9">
        <w:rPr>
          <w:rFonts w:eastAsia="Times New Roman"/>
          <w:lang w:eastAsia="en-AU"/>
        </w:rPr>
        <w:t>, including all school-based staff,</w:t>
      </w:r>
      <w:r w:rsidRPr="00912BE9">
        <w:rPr>
          <w:rFonts w:eastAsia="Times New Roman"/>
          <w:lang w:eastAsia="en-AU"/>
        </w:rPr>
        <w:t xml:space="preserve"> from accepting vouchers and cash cards</w:t>
      </w:r>
      <w:r w:rsidR="003230E9">
        <w:rPr>
          <w:rFonts w:eastAsia="Times New Roman"/>
          <w:lang w:eastAsia="en-AU"/>
        </w:rPr>
        <w:t>, whether as general gifts or as Gifts of Appreciation</w:t>
      </w:r>
      <w:r w:rsidRPr="00912BE9">
        <w:rPr>
          <w:rFonts w:eastAsia="Times New Roman"/>
          <w:lang w:eastAsia="en-AU"/>
        </w:rPr>
        <w:t xml:space="preserve">. </w:t>
      </w:r>
    </w:p>
    <w:p w14:paraId="3B865181" w14:textId="77777777" w:rsidR="005E1C51" w:rsidRDefault="005E1C51" w:rsidP="00912BE9">
      <w:pPr>
        <w:spacing w:before="240"/>
        <w:rPr>
          <w:rFonts w:eastAsia="Times New Roman"/>
          <w:lang w:eastAsia="en-AU"/>
        </w:rPr>
      </w:pPr>
    </w:p>
    <w:p w14:paraId="47F3A841" w14:textId="189EA4A2" w:rsidR="00C2289F" w:rsidRPr="00C2289F" w:rsidRDefault="00C2289F" w:rsidP="00912BE9">
      <w:pPr>
        <w:pStyle w:val="Heading2"/>
        <w:rPr>
          <w:lang w:eastAsia="en-AU"/>
        </w:rPr>
      </w:pPr>
      <w:r w:rsidRPr="00C2289F">
        <w:rPr>
          <w:lang w:eastAsia="en-AU"/>
        </w:rPr>
        <w:lastRenderedPageBreak/>
        <w:t>Support for new systems</w:t>
      </w:r>
    </w:p>
    <w:p w14:paraId="0E87445E" w14:textId="77777777" w:rsidR="00FD7D65" w:rsidRDefault="00257C42" w:rsidP="00FD7D65">
      <w:pPr>
        <w:spacing w:before="120"/>
        <w:rPr>
          <w:rFonts w:eastAsia="Times New Roman"/>
          <w:lang w:eastAsia="en-AU"/>
        </w:rPr>
      </w:pPr>
      <w:r w:rsidRPr="00912BE9">
        <w:rPr>
          <w:rFonts w:eastAsia="Times New Roman"/>
          <w:lang w:eastAsia="en-AU"/>
        </w:rPr>
        <w:t>The Department appreciates that teachers, families and the business community will require time to adjust to the declaration process and the rules around what gifts and hospitality can and cannot be accepted by school personnel.</w:t>
      </w:r>
    </w:p>
    <w:p w14:paraId="1F72567B" w14:textId="7DE3EABB" w:rsidR="00FD7D65" w:rsidRDefault="00FD7D65" w:rsidP="00FD7D65">
      <w:pPr>
        <w:spacing w:before="120" w:after="240"/>
        <w:rPr>
          <w:b/>
          <w:caps/>
        </w:rPr>
      </w:pPr>
      <w:r>
        <w:t xml:space="preserve">Tailored </w:t>
      </w:r>
      <w:r w:rsidRPr="00B1350E">
        <w:t xml:space="preserve">guidance material has been developed for </w:t>
      </w:r>
      <w:r>
        <w:t>school staff</w:t>
      </w:r>
      <w:r w:rsidRPr="00B1350E">
        <w:t xml:space="preserve">, </w:t>
      </w:r>
      <w:r w:rsidRPr="00FD7D65">
        <w:t>with</w:t>
      </w:r>
      <w:r>
        <w:t xml:space="preserve"> input </w:t>
      </w:r>
      <w:r w:rsidRPr="00B1350E">
        <w:t xml:space="preserve">from </w:t>
      </w:r>
      <w:r w:rsidR="00504B09">
        <w:t xml:space="preserve">Parents Victoria and other </w:t>
      </w:r>
      <w:r>
        <w:t>school-based stakeholders.</w:t>
      </w:r>
    </w:p>
    <w:p w14:paraId="1765BCF7" w14:textId="628D54A1" w:rsidR="007630CD" w:rsidRPr="007630CD" w:rsidRDefault="00D74485" w:rsidP="001F3D7D">
      <w:pPr>
        <w:pStyle w:val="Heading2"/>
      </w:pPr>
      <w:r>
        <w:t xml:space="preserve">‘Thanks is enough’ for </w:t>
      </w:r>
      <w:r w:rsidR="007630CD" w:rsidRPr="007630CD">
        <w:t>suppliers</w:t>
      </w:r>
      <w:r>
        <w:t xml:space="preserve"> of goods and services</w:t>
      </w:r>
    </w:p>
    <w:p w14:paraId="157D1D5F" w14:textId="52A0FE5C" w:rsidR="00D74485" w:rsidRDefault="00C56DD8" w:rsidP="00242720">
      <w:r>
        <w:t>When</w:t>
      </w:r>
      <w:r w:rsidR="007630CD">
        <w:t xml:space="preserve"> </w:t>
      </w:r>
      <w:r w:rsidR="00D74485">
        <w:t>school staff</w:t>
      </w:r>
      <w:r w:rsidR="007630CD">
        <w:t xml:space="preserve"> receive</w:t>
      </w:r>
      <w:r w:rsidR="00D74485">
        <w:t xml:space="preserve"> an offer</w:t>
      </w:r>
      <w:r w:rsidR="007630CD">
        <w:t xml:space="preserve"> from current or prospective</w:t>
      </w:r>
      <w:r w:rsidR="007630CD" w:rsidRPr="00974D2B">
        <w:t xml:space="preserve"> </w:t>
      </w:r>
      <w:r w:rsidR="007630CD">
        <w:t>suppliers</w:t>
      </w:r>
      <w:r w:rsidR="00D74485">
        <w:t xml:space="preserve"> of goods or services</w:t>
      </w:r>
      <w:r w:rsidR="007630CD">
        <w:t>, the standard and desirable response is to polite</w:t>
      </w:r>
      <w:r w:rsidR="00D74485">
        <w:t xml:space="preserve">ly decline, and say ‘Thanks is </w:t>
      </w:r>
      <w:r>
        <w:t>E</w:t>
      </w:r>
      <w:r w:rsidR="00D74485">
        <w:t>nough’</w:t>
      </w:r>
      <w:r w:rsidR="007630CD">
        <w:t xml:space="preserve">. </w:t>
      </w:r>
    </w:p>
    <w:p w14:paraId="1AD89DFE" w14:textId="68F3E5B1" w:rsidR="007630CD" w:rsidRPr="00974D2B" w:rsidRDefault="007630CD" w:rsidP="00242720">
      <w:r>
        <w:t>This simple gesture shows that staff member</w:t>
      </w:r>
      <w:r w:rsidR="00EA0A1F">
        <w:t xml:space="preserve">s understand </w:t>
      </w:r>
      <w:r>
        <w:t xml:space="preserve">the importance of </w:t>
      </w:r>
      <w:r w:rsidRPr="00974D2B">
        <w:t xml:space="preserve">ensuring impartiality in </w:t>
      </w:r>
      <w:r>
        <w:t xml:space="preserve">the school’s </w:t>
      </w:r>
      <w:r w:rsidRPr="00974D2B">
        <w:t>decision</w:t>
      </w:r>
      <w:r>
        <w:t>-</w:t>
      </w:r>
      <w:r w:rsidR="00D74485">
        <w:t>making.</w:t>
      </w:r>
    </w:p>
    <w:p w14:paraId="0331E3D5" w14:textId="0A2A9E4D" w:rsidR="007630CD" w:rsidRPr="00974D2B" w:rsidRDefault="007630CD" w:rsidP="00242720">
      <w:r w:rsidRPr="00974D2B">
        <w:t xml:space="preserve">While </w:t>
      </w:r>
      <w:r>
        <w:t>gift</w:t>
      </w:r>
      <w:r w:rsidR="00E97B79">
        <w:t>, benefit</w:t>
      </w:r>
      <w:r w:rsidRPr="00974D2B">
        <w:t xml:space="preserve"> and hospitality</w:t>
      </w:r>
      <w:r>
        <w:t xml:space="preserve"> offers</w:t>
      </w:r>
      <w:r w:rsidRPr="00974D2B">
        <w:t>, such as hampers, football tickets or invitations to corporate functions</w:t>
      </w:r>
      <w:r w:rsidR="00B9641D">
        <w:t xml:space="preserve"> from suppliers</w:t>
      </w:r>
      <w:r w:rsidRPr="00974D2B">
        <w:t xml:space="preserve">, </w:t>
      </w:r>
      <w:r>
        <w:t>may be</w:t>
      </w:r>
      <w:r w:rsidRPr="00974D2B">
        <w:t xml:space="preserve"> gesture</w:t>
      </w:r>
      <w:r>
        <w:t>s</w:t>
      </w:r>
      <w:r w:rsidRPr="00974D2B">
        <w:t xml:space="preserve"> of goodwill, </w:t>
      </w:r>
      <w:r>
        <w:t>they may</w:t>
      </w:r>
      <w:r w:rsidR="00B9641D">
        <w:t xml:space="preserve"> be perceived to</w:t>
      </w:r>
      <w:r>
        <w:t xml:space="preserve"> </w:t>
      </w:r>
      <w:r w:rsidRPr="00974D2B">
        <w:t>give businesses and suppliers a commercial edge</w:t>
      </w:r>
      <w:r w:rsidR="00242720">
        <w:t xml:space="preserve"> in the future</w:t>
      </w:r>
      <w:r w:rsidR="00D74485">
        <w:t>.</w:t>
      </w:r>
    </w:p>
    <w:p w14:paraId="2BFE0B97" w14:textId="4EC1E8BC" w:rsidR="007630CD" w:rsidRDefault="007630CD" w:rsidP="00372690">
      <w:r w:rsidRPr="00974D2B">
        <w:t xml:space="preserve">Accepting </w:t>
      </w:r>
      <w:r>
        <w:t xml:space="preserve">such </w:t>
      </w:r>
      <w:r w:rsidR="00D74485">
        <w:t>offers can give rise to a conflict of i</w:t>
      </w:r>
      <w:r w:rsidRPr="00974D2B">
        <w:t xml:space="preserve">nterest; lead to the perception of bias among colleagues and communities; and call </w:t>
      </w:r>
      <w:r>
        <w:t>a staff member’s</w:t>
      </w:r>
      <w:r w:rsidRPr="00974D2B">
        <w:t xml:space="preserve"> objectivity and integrity into doubt.</w:t>
      </w:r>
    </w:p>
    <w:p w14:paraId="5A11FA07" w14:textId="77777777" w:rsidR="005E1C51" w:rsidRPr="00372690" w:rsidRDefault="005E1C51" w:rsidP="00372690">
      <w:pPr>
        <w:spacing w:after="240"/>
      </w:pPr>
      <w:r w:rsidRPr="005E1C51">
        <w:t>This also applies to inst</w:t>
      </w:r>
      <w:bookmarkStart w:id="0" w:name="_GoBack"/>
      <w:bookmarkEnd w:id="0"/>
      <w:r w:rsidRPr="005E1C51">
        <w:t xml:space="preserve">ances such as door prizes and raffle prizes where a conflict of interest may arise. </w:t>
      </w:r>
    </w:p>
    <w:p w14:paraId="5A2E4CE5" w14:textId="6AC31BE4" w:rsidR="00FD7D65" w:rsidRDefault="00FD7D65" w:rsidP="00FD7D65">
      <w:pPr>
        <w:pStyle w:val="Heading2"/>
      </w:pPr>
      <w:r>
        <w:t>Sponsorships and donations</w:t>
      </w:r>
    </w:p>
    <w:p w14:paraId="2C970FEE" w14:textId="1F9D6DA7" w:rsidR="00FD7D65" w:rsidRDefault="00FD7D65" w:rsidP="00FD7D65">
      <w:pPr>
        <w:spacing w:after="80"/>
        <w:rPr>
          <w:rFonts w:ascii="Arial" w:hAnsi="Arial" w:cs="Arial"/>
        </w:rPr>
      </w:pPr>
      <w:r>
        <w:rPr>
          <w:rFonts w:ascii="Arial" w:hAnsi="Arial" w:cs="Arial"/>
        </w:rPr>
        <w:t>Schools regularly enter into s</w:t>
      </w:r>
      <w:r w:rsidRPr="001D17D2">
        <w:rPr>
          <w:rFonts w:ascii="Arial" w:hAnsi="Arial" w:cs="Arial"/>
        </w:rPr>
        <w:t>ponsorship and donation arrangement</w:t>
      </w:r>
      <w:r>
        <w:rPr>
          <w:rFonts w:ascii="Arial" w:hAnsi="Arial" w:cs="Arial"/>
        </w:rPr>
        <w:t>s. These arrangements</w:t>
      </w:r>
      <w:r w:rsidRPr="001D17D2">
        <w:rPr>
          <w:rFonts w:ascii="Arial" w:hAnsi="Arial" w:cs="Arial"/>
        </w:rPr>
        <w:t xml:space="preserve"> </w:t>
      </w:r>
      <w:r>
        <w:rPr>
          <w:rFonts w:ascii="Arial" w:hAnsi="Arial" w:cs="Arial"/>
        </w:rPr>
        <w:t xml:space="preserve">do </w:t>
      </w:r>
      <w:r w:rsidRPr="001D17D2">
        <w:rPr>
          <w:rFonts w:ascii="Arial" w:hAnsi="Arial" w:cs="Arial"/>
        </w:rPr>
        <w:t xml:space="preserve">not </w:t>
      </w:r>
      <w:r>
        <w:rPr>
          <w:rFonts w:ascii="Arial" w:hAnsi="Arial" w:cs="Arial"/>
        </w:rPr>
        <w:t xml:space="preserve">constitute </w:t>
      </w:r>
      <w:r w:rsidRPr="001D17D2">
        <w:rPr>
          <w:rFonts w:ascii="Arial" w:hAnsi="Arial" w:cs="Arial"/>
        </w:rPr>
        <w:t>gift, benefit or hospitality offer</w:t>
      </w:r>
      <w:r>
        <w:rPr>
          <w:rFonts w:ascii="Arial" w:hAnsi="Arial" w:cs="Arial"/>
        </w:rPr>
        <w:t>s</w:t>
      </w:r>
      <w:r w:rsidRPr="001D17D2">
        <w:rPr>
          <w:rFonts w:ascii="Arial" w:hAnsi="Arial" w:cs="Arial"/>
        </w:rPr>
        <w:t xml:space="preserve"> as define</w:t>
      </w:r>
      <w:r>
        <w:rPr>
          <w:rFonts w:ascii="Arial" w:hAnsi="Arial" w:cs="Arial"/>
        </w:rPr>
        <w:t>d in the Policy, and are managed through different policies and guidelines. Your school principal will be aware of these policies and guidelines.</w:t>
      </w:r>
    </w:p>
    <w:p w14:paraId="5AFEF2A1" w14:textId="73D38F56" w:rsidR="00FD7D65" w:rsidRDefault="00FD7D65" w:rsidP="00FD7D65">
      <w:pPr>
        <w:rPr>
          <w:rFonts w:ascii="Arial" w:hAnsi="Arial" w:cs="Arial"/>
        </w:rPr>
      </w:pPr>
      <w:r>
        <w:rPr>
          <w:rFonts w:ascii="Arial" w:hAnsi="Arial" w:cs="Arial"/>
        </w:rPr>
        <w:t xml:space="preserve">When assessing sponsorship proposals, principals </w:t>
      </w:r>
      <w:r w:rsidRPr="001D17D2">
        <w:rPr>
          <w:rFonts w:ascii="Arial" w:hAnsi="Arial" w:cs="Arial"/>
        </w:rPr>
        <w:t xml:space="preserve">consider whether the products and objectives of </w:t>
      </w:r>
      <w:r>
        <w:rPr>
          <w:rFonts w:ascii="Arial" w:hAnsi="Arial" w:cs="Arial"/>
        </w:rPr>
        <w:t xml:space="preserve">a potential sponsor </w:t>
      </w:r>
      <w:r w:rsidRPr="001D17D2">
        <w:rPr>
          <w:rFonts w:ascii="Arial" w:hAnsi="Arial" w:cs="Arial"/>
        </w:rPr>
        <w:t>are consistent with school and Department policies, values and objectives.</w:t>
      </w:r>
    </w:p>
    <w:p w14:paraId="01AEE12F" w14:textId="3F5D407E" w:rsidR="00FD7D65" w:rsidRPr="001D17D2" w:rsidRDefault="00FD7D65" w:rsidP="00FD7D65">
      <w:pPr>
        <w:rPr>
          <w:rFonts w:ascii="Arial" w:hAnsi="Arial" w:cs="Arial"/>
        </w:rPr>
      </w:pPr>
      <w:r>
        <w:rPr>
          <w:rFonts w:ascii="Arial" w:hAnsi="Arial" w:cs="Arial"/>
        </w:rPr>
        <w:t xml:space="preserve">They </w:t>
      </w:r>
      <w:r w:rsidRPr="001D17D2">
        <w:rPr>
          <w:rFonts w:ascii="Arial" w:hAnsi="Arial" w:cs="Arial"/>
        </w:rPr>
        <w:t xml:space="preserve">should also consider whether </w:t>
      </w:r>
      <w:r>
        <w:rPr>
          <w:rFonts w:ascii="Arial" w:hAnsi="Arial" w:cs="Arial"/>
        </w:rPr>
        <w:t xml:space="preserve">the </w:t>
      </w:r>
      <w:r w:rsidRPr="001D17D2">
        <w:rPr>
          <w:rFonts w:ascii="Arial" w:hAnsi="Arial" w:cs="Arial"/>
        </w:rPr>
        <w:t xml:space="preserve">sponsorship, or aspects of </w:t>
      </w:r>
      <w:r>
        <w:rPr>
          <w:rFonts w:ascii="Arial" w:hAnsi="Arial" w:cs="Arial"/>
        </w:rPr>
        <w:t xml:space="preserve">a sponsorship </w:t>
      </w:r>
      <w:r w:rsidRPr="001D17D2">
        <w:rPr>
          <w:rFonts w:ascii="Arial" w:hAnsi="Arial" w:cs="Arial"/>
        </w:rPr>
        <w:t xml:space="preserve">proposal, will provide an advantage to </w:t>
      </w:r>
      <w:r>
        <w:rPr>
          <w:rFonts w:ascii="Arial" w:hAnsi="Arial" w:cs="Arial"/>
        </w:rPr>
        <w:t xml:space="preserve">that sponsor </w:t>
      </w:r>
      <w:r w:rsidRPr="001D17D2">
        <w:rPr>
          <w:rFonts w:ascii="Arial" w:hAnsi="Arial" w:cs="Arial"/>
        </w:rPr>
        <w:t xml:space="preserve">over any competitors. </w:t>
      </w:r>
      <w:r>
        <w:rPr>
          <w:rFonts w:ascii="Arial" w:hAnsi="Arial" w:cs="Arial"/>
        </w:rPr>
        <w:t xml:space="preserve">Principals </w:t>
      </w:r>
      <w:r w:rsidRPr="001D17D2">
        <w:rPr>
          <w:rFonts w:ascii="Arial" w:hAnsi="Arial" w:cs="Arial"/>
        </w:rPr>
        <w:t>may wish to consult the broader sch</w:t>
      </w:r>
      <w:r>
        <w:rPr>
          <w:rFonts w:ascii="Arial" w:hAnsi="Arial" w:cs="Arial"/>
        </w:rPr>
        <w:t xml:space="preserve">ool community for its views. Staff members with familial or commercial connections to a potential sponsor </w:t>
      </w:r>
      <w:r w:rsidRPr="001D17D2">
        <w:rPr>
          <w:rFonts w:ascii="Arial" w:hAnsi="Arial" w:cs="Arial"/>
        </w:rPr>
        <w:t xml:space="preserve">have to declare </w:t>
      </w:r>
      <w:r w:rsidR="00504B09">
        <w:rPr>
          <w:rFonts w:ascii="Arial" w:hAnsi="Arial" w:cs="Arial"/>
        </w:rPr>
        <w:t>their</w:t>
      </w:r>
      <w:r w:rsidRPr="001D17D2">
        <w:rPr>
          <w:rFonts w:ascii="Arial" w:hAnsi="Arial" w:cs="Arial"/>
        </w:rPr>
        <w:t xml:space="preserve"> conflict of interest.</w:t>
      </w:r>
    </w:p>
    <w:p w14:paraId="75845829" w14:textId="2D01819F" w:rsidR="00FD7D65" w:rsidRDefault="00FD7D65" w:rsidP="00C96253">
      <w:pPr>
        <w:spacing w:before="120" w:after="240"/>
      </w:pPr>
      <w:r w:rsidRPr="00C96253">
        <w:t>Promotional material for school functions, such as fetes, must contain a statement that the school and the Department do not endorse any of the products and services offered by sponsors. The school should also make clear to sponsors that sponsorship of a particular event does not guarantee future sponsorship or business from the school.</w:t>
      </w:r>
    </w:p>
    <w:p w14:paraId="1950193F" w14:textId="26EC0A50" w:rsidR="003230E9" w:rsidRDefault="00FD7D65" w:rsidP="003230E9">
      <w:pPr>
        <w:pStyle w:val="Heading2"/>
      </w:pPr>
      <w:r>
        <w:t>published information</w:t>
      </w:r>
    </w:p>
    <w:p w14:paraId="42146F32" w14:textId="5A31D332" w:rsidR="003230E9" w:rsidRDefault="00FD7D65" w:rsidP="00C2289F">
      <w:pPr>
        <w:rPr>
          <w:rFonts w:eastAsia="Times New Roman"/>
          <w:lang w:eastAsia="en-AU"/>
        </w:rPr>
      </w:pPr>
      <w:r w:rsidRPr="00912BE9">
        <w:rPr>
          <w:rFonts w:eastAsia="Times New Roman"/>
          <w:lang w:eastAsia="en-AU"/>
        </w:rPr>
        <w:t>Consolidated</w:t>
      </w:r>
      <w:r>
        <w:rPr>
          <w:rFonts w:eastAsia="Times New Roman"/>
          <w:lang w:eastAsia="en-AU"/>
        </w:rPr>
        <w:t xml:space="preserve"> and de-identified</w:t>
      </w:r>
      <w:r w:rsidRPr="00912BE9">
        <w:rPr>
          <w:rFonts w:eastAsia="Times New Roman"/>
          <w:lang w:eastAsia="en-AU"/>
        </w:rPr>
        <w:t xml:space="preserve"> </w:t>
      </w:r>
      <w:r>
        <w:rPr>
          <w:rFonts w:eastAsia="Times New Roman"/>
          <w:lang w:eastAsia="en-AU"/>
        </w:rPr>
        <w:t xml:space="preserve">information about </w:t>
      </w:r>
      <w:r w:rsidRPr="00912BE9">
        <w:rPr>
          <w:rFonts w:eastAsia="Times New Roman"/>
          <w:lang w:eastAsia="en-AU"/>
        </w:rPr>
        <w:t xml:space="preserve">school-based </w:t>
      </w:r>
      <w:r>
        <w:rPr>
          <w:rFonts w:eastAsia="Times New Roman"/>
          <w:lang w:eastAsia="en-AU"/>
        </w:rPr>
        <w:t xml:space="preserve">offers received </w:t>
      </w:r>
      <w:r w:rsidRPr="00912BE9">
        <w:rPr>
          <w:rFonts w:eastAsia="Times New Roman"/>
          <w:lang w:eastAsia="en-AU"/>
        </w:rPr>
        <w:t>is published annually on the Department’s website.</w:t>
      </w:r>
    </w:p>
    <w:p w14:paraId="55F1A357" w14:textId="2324513A" w:rsidR="00C2289F" w:rsidRDefault="00FD7D65" w:rsidP="00C96253">
      <w:pPr>
        <w:spacing w:before="240"/>
      </w:pPr>
      <w:r>
        <w:t>M</w:t>
      </w:r>
      <w:r w:rsidR="00C2289F">
        <w:t>ore information</w:t>
      </w:r>
      <w:r>
        <w:t xml:space="preserve"> about the Department’s Policy is available online at</w:t>
      </w:r>
      <w:r w:rsidR="00C2289F">
        <w:t xml:space="preserve">: </w:t>
      </w:r>
      <w:hyperlink r:id="rId12" w:history="1">
        <w:r w:rsidR="00C2289F" w:rsidRPr="00D74485">
          <w:rPr>
            <w:rStyle w:val="Hyperlink"/>
            <w:rFonts w:cstheme="minorHAnsi"/>
            <w:szCs w:val="22"/>
          </w:rPr>
          <w:t>Gifts, Benefits and Hospitality Policy</w:t>
        </w:r>
      </w:hyperlink>
      <w:r w:rsidRPr="00FD7D65">
        <w:rPr>
          <w:rStyle w:val="Hyperlink"/>
          <w:rFonts w:cstheme="minorHAnsi"/>
          <w:color w:val="auto"/>
          <w:szCs w:val="22"/>
          <w:u w:val="none"/>
        </w:rPr>
        <w:t>.</w:t>
      </w:r>
    </w:p>
    <w:p w14:paraId="31523360" w14:textId="77777777" w:rsidR="007630CD" w:rsidRPr="007630CD" w:rsidRDefault="007630CD" w:rsidP="007630CD">
      <w:pPr>
        <w:rPr>
          <w:lang w:val="en-AU"/>
        </w:rPr>
      </w:pPr>
    </w:p>
    <w:sectPr w:rsidR="007630CD" w:rsidRPr="007630CD" w:rsidSect="006E2B9A">
      <w:headerReference w:type="default" r:id="rId13"/>
      <w:footerReference w:type="even" r:id="rId14"/>
      <w:footerReference w:type="default" r:id="rId15"/>
      <w:pgSz w:w="11900" w:h="16840"/>
      <w:pgMar w:top="2155"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DA49B" w14:textId="77777777" w:rsidR="00AA2245" w:rsidRDefault="00AA2245" w:rsidP="003967DD">
      <w:pPr>
        <w:spacing w:after="0"/>
      </w:pPr>
      <w:r>
        <w:separator/>
      </w:r>
    </w:p>
  </w:endnote>
  <w:endnote w:type="continuationSeparator" w:id="0">
    <w:p w14:paraId="71F77EF2" w14:textId="77777777" w:rsidR="00AA2245" w:rsidRDefault="00AA2245" w:rsidP="00396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36CB5" w14:textId="77777777" w:rsidR="00AA2245" w:rsidRDefault="00AA2245" w:rsidP="00C56DD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A12BBCE" w14:textId="77777777" w:rsidR="00AA2245" w:rsidRDefault="00AA2245" w:rsidP="00A3192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0F14" w14:textId="04B9C542" w:rsidR="00AA2245" w:rsidRDefault="00AA2245" w:rsidP="00C56DD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72690">
      <w:rPr>
        <w:rStyle w:val="PageNumber"/>
        <w:noProof/>
      </w:rPr>
      <w:t>2</w:t>
    </w:r>
    <w:r>
      <w:rPr>
        <w:rStyle w:val="PageNumber"/>
      </w:rPr>
      <w:fldChar w:fldCharType="end"/>
    </w:r>
  </w:p>
  <w:p w14:paraId="0CD3DEB7" w14:textId="77777777" w:rsidR="00AA2245" w:rsidRDefault="00AA2245" w:rsidP="00A3192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3F822" w14:textId="77777777" w:rsidR="00AA2245" w:rsidRDefault="00AA2245" w:rsidP="003967DD">
      <w:pPr>
        <w:spacing w:after="0"/>
      </w:pPr>
      <w:r>
        <w:separator/>
      </w:r>
    </w:p>
  </w:footnote>
  <w:footnote w:type="continuationSeparator" w:id="0">
    <w:p w14:paraId="09DB5428" w14:textId="77777777" w:rsidR="00AA2245" w:rsidRDefault="00AA2245" w:rsidP="003967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C1E50" w14:textId="569ABF6F" w:rsidR="00AA2245" w:rsidRDefault="00AA2245">
    <w:pPr>
      <w:pStyle w:val="Header"/>
    </w:pPr>
    <w:r>
      <w:rPr>
        <w:noProof/>
        <w:lang w:val="en-AU" w:eastAsia="en-AU"/>
      </w:rPr>
      <w:drawing>
        <wp:anchor distT="0" distB="0" distL="114300" distR="114300" simplePos="0" relativeHeight="251658240" behindDoc="1" locked="0" layoutInCell="1" allowOverlap="1" wp14:anchorId="09AEF259" wp14:editId="18223734">
          <wp:simplePos x="0" y="0"/>
          <wp:positionH relativeFrom="page">
            <wp:align>left</wp:align>
          </wp:positionH>
          <wp:positionV relativeFrom="page">
            <wp:align>top</wp:align>
          </wp:positionV>
          <wp:extent cx="7556400" cy="10692000"/>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sheet_Narrow_portrait_schools.pn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3EF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C4A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7859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50ED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4FC5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84693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49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20B2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08F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FBEA1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2C6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DF4E68"/>
    <w:multiLevelType w:val="multilevel"/>
    <w:tmpl w:val="4B904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35373"/>
    <w:multiLevelType w:val="hybridMultilevel"/>
    <w:tmpl w:val="3048A47A"/>
    <w:lvl w:ilvl="0" w:tplc="6AAA64C4">
      <w:start w:val="1"/>
      <w:numFmt w:val="lowerLetter"/>
      <w:pStyle w:val="Alphabetlist"/>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10175F"/>
    <w:multiLevelType w:val="hybridMultilevel"/>
    <w:tmpl w:val="7D22E71E"/>
    <w:lvl w:ilvl="0" w:tplc="A12C862A">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B7CD3"/>
    <w:multiLevelType w:val="hybridMultilevel"/>
    <w:tmpl w:val="B01E02C6"/>
    <w:lvl w:ilvl="0" w:tplc="093A77C8">
      <w:start w:val="1"/>
      <w:numFmt w:val="bullet"/>
      <w:pStyle w:val="Bullet2"/>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AB4EC4"/>
    <w:multiLevelType w:val="hybridMultilevel"/>
    <w:tmpl w:val="19401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9537A0"/>
    <w:multiLevelType w:val="multilevel"/>
    <w:tmpl w:val="70143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C3233D"/>
    <w:multiLevelType w:val="multilevel"/>
    <w:tmpl w:val="67B27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44166E1"/>
    <w:multiLevelType w:val="multilevel"/>
    <w:tmpl w:val="4B904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36AF8"/>
    <w:multiLevelType w:val="hybridMultilevel"/>
    <w:tmpl w:val="D1A8A6B2"/>
    <w:lvl w:ilvl="0" w:tplc="9A0C54C0">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DA4742"/>
    <w:multiLevelType w:val="multilevel"/>
    <w:tmpl w:val="9C5AA2E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C37BC0"/>
    <w:multiLevelType w:val="hybridMultilevel"/>
    <w:tmpl w:val="B2388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7"/>
  </w:num>
  <w:num w:numId="14">
    <w:abstractNumId w:val="19"/>
  </w:num>
  <w:num w:numId="15">
    <w:abstractNumId w:val="12"/>
  </w:num>
  <w:num w:numId="16">
    <w:abstractNumId w:val="16"/>
  </w:num>
  <w:num w:numId="17">
    <w:abstractNumId w:val="13"/>
  </w:num>
  <w:num w:numId="18">
    <w:abstractNumId w:val="20"/>
  </w:num>
  <w:num w:numId="19">
    <w:abstractNumId w:val="21"/>
  </w:num>
  <w:num w:numId="20">
    <w:abstractNumId w:val="1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DD"/>
    <w:rsid w:val="00004253"/>
    <w:rsid w:val="00013339"/>
    <w:rsid w:val="000256E2"/>
    <w:rsid w:val="00080DA9"/>
    <w:rsid w:val="00090081"/>
    <w:rsid w:val="000A47D4"/>
    <w:rsid w:val="00122369"/>
    <w:rsid w:val="00126593"/>
    <w:rsid w:val="00150E0F"/>
    <w:rsid w:val="001D13F9"/>
    <w:rsid w:val="001F3D7D"/>
    <w:rsid w:val="00232CA6"/>
    <w:rsid w:val="00242720"/>
    <w:rsid w:val="00257C42"/>
    <w:rsid w:val="0027130A"/>
    <w:rsid w:val="002A4A96"/>
    <w:rsid w:val="002E3BED"/>
    <w:rsid w:val="00312720"/>
    <w:rsid w:val="003230E9"/>
    <w:rsid w:val="0034745C"/>
    <w:rsid w:val="00372690"/>
    <w:rsid w:val="003967DD"/>
    <w:rsid w:val="00400C64"/>
    <w:rsid w:val="00493E62"/>
    <w:rsid w:val="004B2ED6"/>
    <w:rsid w:val="004D6E44"/>
    <w:rsid w:val="00504B09"/>
    <w:rsid w:val="0057193B"/>
    <w:rsid w:val="00584366"/>
    <w:rsid w:val="005A2373"/>
    <w:rsid w:val="005A4F12"/>
    <w:rsid w:val="005E1C51"/>
    <w:rsid w:val="00624A55"/>
    <w:rsid w:val="00640F4C"/>
    <w:rsid w:val="006671CE"/>
    <w:rsid w:val="006A25AC"/>
    <w:rsid w:val="006E2B9A"/>
    <w:rsid w:val="00710CED"/>
    <w:rsid w:val="007630CD"/>
    <w:rsid w:val="00766656"/>
    <w:rsid w:val="00771CAF"/>
    <w:rsid w:val="007B556E"/>
    <w:rsid w:val="007D3E38"/>
    <w:rsid w:val="008065DA"/>
    <w:rsid w:val="008B1737"/>
    <w:rsid w:val="00912BE9"/>
    <w:rsid w:val="009C626F"/>
    <w:rsid w:val="00A31926"/>
    <w:rsid w:val="00A5653C"/>
    <w:rsid w:val="00A710DF"/>
    <w:rsid w:val="00AA2245"/>
    <w:rsid w:val="00AB41A3"/>
    <w:rsid w:val="00AB47D0"/>
    <w:rsid w:val="00B1350E"/>
    <w:rsid w:val="00B9641D"/>
    <w:rsid w:val="00C2289F"/>
    <w:rsid w:val="00C56DD8"/>
    <w:rsid w:val="00C96253"/>
    <w:rsid w:val="00D02110"/>
    <w:rsid w:val="00D74485"/>
    <w:rsid w:val="00DB7366"/>
    <w:rsid w:val="00E34263"/>
    <w:rsid w:val="00E5030B"/>
    <w:rsid w:val="00E97B79"/>
    <w:rsid w:val="00EA0A1F"/>
    <w:rsid w:val="00F05E52"/>
    <w:rsid w:val="00F903C3"/>
    <w:rsid w:val="00FD7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01355FF"/>
  <w14:defaultImageDpi w14:val="32767"/>
  <w15:docId w15:val="{0A00FD05-F448-4C5A-8919-92777564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3F9"/>
    <w:pPr>
      <w:spacing w:after="120"/>
    </w:pPr>
    <w:rPr>
      <w:sz w:val="22"/>
    </w:rPr>
  </w:style>
  <w:style w:type="paragraph" w:styleId="Heading1">
    <w:name w:val="heading 1"/>
    <w:basedOn w:val="Normal"/>
    <w:next w:val="Normal"/>
    <w:link w:val="Heading1Char"/>
    <w:uiPriority w:val="9"/>
    <w:qFormat/>
    <w:rsid w:val="00242720"/>
    <w:pPr>
      <w:keepNext/>
      <w:keepLines/>
      <w:spacing w:before="240"/>
      <w:outlineLvl w:val="0"/>
    </w:pPr>
    <w:rPr>
      <w:rFonts w:asciiTheme="majorHAnsi" w:eastAsiaTheme="majorEastAsia" w:hAnsiTheme="majorHAnsi" w:cstheme="majorBidi"/>
      <w:b/>
      <w:caps/>
      <w:color w:val="AF272F" w:themeColor="accent1"/>
      <w:sz w:val="36"/>
      <w:szCs w:val="32"/>
    </w:rPr>
  </w:style>
  <w:style w:type="paragraph" w:styleId="Heading2">
    <w:name w:val="heading 2"/>
    <w:basedOn w:val="Normal"/>
    <w:next w:val="Normal"/>
    <w:link w:val="Heading2Char"/>
    <w:uiPriority w:val="9"/>
    <w:unhideWhenUsed/>
    <w:qFormat/>
    <w:rsid w:val="002E3BED"/>
    <w:pPr>
      <w:keepNext/>
      <w:keepLines/>
      <w:spacing w:before="40"/>
      <w:outlineLvl w:val="1"/>
    </w:pPr>
    <w:rPr>
      <w:rFonts w:asciiTheme="majorHAnsi" w:eastAsiaTheme="majorEastAsia" w:hAnsiTheme="majorHAnsi" w:cstheme="majorBidi"/>
      <w:b/>
      <w:caps/>
      <w:color w:val="AF272F" w:themeColor="accent1"/>
      <w:sz w:val="26"/>
      <w:szCs w:val="26"/>
    </w:rPr>
  </w:style>
  <w:style w:type="paragraph" w:styleId="Heading3">
    <w:name w:val="heading 3"/>
    <w:basedOn w:val="Normal"/>
    <w:next w:val="Normal"/>
    <w:link w:val="Heading3Char"/>
    <w:uiPriority w:val="9"/>
    <w:unhideWhenUsed/>
    <w:qFormat/>
    <w:rsid w:val="002E3BED"/>
    <w:pPr>
      <w:keepNext/>
      <w:keepLines/>
      <w:spacing w:before="40"/>
      <w:outlineLvl w:val="2"/>
    </w:pPr>
    <w:rPr>
      <w:rFonts w:asciiTheme="majorHAnsi" w:eastAsiaTheme="majorEastAsia" w:hAnsiTheme="majorHAnsi"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DD"/>
    <w:pPr>
      <w:tabs>
        <w:tab w:val="center" w:pos="4513"/>
        <w:tab w:val="right" w:pos="9026"/>
      </w:tabs>
    </w:pPr>
  </w:style>
  <w:style w:type="character" w:customStyle="1" w:styleId="HeaderChar">
    <w:name w:val="Header Char"/>
    <w:basedOn w:val="DefaultParagraphFont"/>
    <w:link w:val="Header"/>
    <w:uiPriority w:val="99"/>
    <w:rsid w:val="003967DD"/>
  </w:style>
  <w:style w:type="paragraph" w:styleId="Footer">
    <w:name w:val="footer"/>
    <w:basedOn w:val="Normal"/>
    <w:link w:val="FooterChar"/>
    <w:uiPriority w:val="99"/>
    <w:unhideWhenUsed/>
    <w:rsid w:val="003967DD"/>
    <w:pPr>
      <w:tabs>
        <w:tab w:val="center" w:pos="4513"/>
        <w:tab w:val="right" w:pos="9026"/>
      </w:tabs>
    </w:pPr>
  </w:style>
  <w:style w:type="character" w:customStyle="1" w:styleId="FooterChar">
    <w:name w:val="Footer Char"/>
    <w:basedOn w:val="DefaultParagraphFont"/>
    <w:link w:val="Footer"/>
    <w:uiPriority w:val="99"/>
    <w:rsid w:val="003967DD"/>
  </w:style>
  <w:style w:type="character" w:customStyle="1" w:styleId="Heading1Char">
    <w:name w:val="Heading 1 Char"/>
    <w:basedOn w:val="DefaultParagraphFont"/>
    <w:link w:val="Heading1"/>
    <w:uiPriority w:val="9"/>
    <w:rsid w:val="00242720"/>
    <w:rPr>
      <w:rFonts w:asciiTheme="majorHAnsi" w:eastAsiaTheme="majorEastAsia" w:hAnsiTheme="majorHAnsi" w:cstheme="majorBidi"/>
      <w:b/>
      <w:caps/>
      <w:color w:val="AF272F" w:themeColor="accent1"/>
      <w:sz w:val="36"/>
      <w:szCs w:val="32"/>
    </w:rPr>
  </w:style>
  <w:style w:type="paragraph" w:customStyle="1" w:styleId="Intro">
    <w:name w:val="Intro"/>
    <w:basedOn w:val="Normal"/>
    <w:qFormat/>
    <w:rsid w:val="00624A55"/>
    <w:pPr>
      <w:pBdr>
        <w:top w:val="single" w:sz="4" w:space="1" w:color="AF272F" w:themeColor="accent1"/>
      </w:pBdr>
    </w:pPr>
    <w:rPr>
      <w:color w:val="AF272F" w:themeColor="accent1"/>
      <w:lang w:val="en-AU"/>
    </w:rPr>
  </w:style>
  <w:style w:type="character" w:customStyle="1" w:styleId="Heading2Char">
    <w:name w:val="Heading 2 Char"/>
    <w:basedOn w:val="DefaultParagraphFont"/>
    <w:link w:val="Heading2"/>
    <w:uiPriority w:val="9"/>
    <w:rsid w:val="002E3BED"/>
    <w:rPr>
      <w:rFonts w:asciiTheme="majorHAnsi" w:eastAsiaTheme="majorEastAsia" w:hAnsiTheme="majorHAnsi" w:cstheme="majorBidi"/>
      <w:b/>
      <w:caps/>
      <w:color w:val="AF272F" w:themeColor="accent1"/>
      <w:sz w:val="26"/>
      <w:szCs w:val="26"/>
    </w:rPr>
  </w:style>
  <w:style w:type="character" w:customStyle="1" w:styleId="Heading3Char">
    <w:name w:val="Heading 3 Char"/>
    <w:basedOn w:val="DefaultParagraphFont"/>
    <w:link w:val="Heading3"/>
    <w:uiPriority w:val="9"/>
    <w:rsid w:val="002E3BED"/>
    <w:rPr>
      <w:rFonts w:asciiTheme="majorHAnsi" w:eastAsiaTheme="majorEastAsia" w:hAnsiTheme="majorHAnsi" w:cstheme="majorBidi"/>
      <w:b/>
      <w:color w:val="000000" w:themeColor="text1"/>
    </w:rPr>
  </w:style>
  <w:style w:type="paragraph" w:styleId="Quote">
    <w:name w:val="Quote"/>
    <w:basedOn w:val="Normal"/>
    <w:next w:val="Normal"/>
    <w:link w:val="QuoteChar"/>
    <w:uiPriority w:val="29"/>
    <w:qFormat/>
    <w:rsid w:val="002E3BED"/>
    <w:pPr>
      <w:spacing w:before="120"/>
      <w:ind w:left="284" w:right="284"/>
    </w:pPr>
    <w:rPr>
      <w:i/>
      <w:iCs/>
      <w:color w:val="53565A" w:themeColor="text2"/>
    </w:rPr>
  </w:style>
  <w:style w:type="character" w:customStyle="1" w:styleId="QuoteChar">
    <w:name w:val="Quote Char"/>
    <w:basedOn w:val="DefaultParagraphFont"/>
    <w:link w:val="Quote"/>
    <w:uiPriority w:val="29"/>
    <w:rsid w:val="002E3BED"/>
    <w:rPr>
      <w:i/>
      <w:iCs/>
      <w:color w:val="53565A" w:themeColor="text2"/>
    </w:rPr>
  </w:style>
  <w:style w:type="paragraph" w:customStyle="1" w:styleId="Bullet1">
    <w:name w:val="Bullet 1"/>
    <w:basedOn w:val="Normal"/>
    <w:next w:val="Normal"/>
    <w:qFormat/>
    <w:rsid w:val="002E3BED"/>
    <w:pPr>
      <w:numPr>
        <w:numId w:val="14"/>
      </w:numPr>
      <w:ind w:left="284" w:hanging="284"/>
    </w:pPr>
    <w:rPr>
      <w:lang w:val="en-AU"/>
    </w:rPr>
  </w:style>
  <w:style w:type="paragraph" w:customStyle="1" w:styleId="Bullet2">
    <w:name w:val="Bullet 2"/>
    <w:basedOn w:val="Bullet1"/>
    <w:qFormat/>
    <w:rsid w:val="002E3BED"/>
    <w:pPr>
      <w:numPr>
        <w:numId w:val="12"/>
      </w:numPr>
    </w:pPr>
  </w:style>
  <w:style w:type="paragraph" w:customStyle="1" w:styleId="Numberlist">
    <w:name w:val="Number list"/>
    <w:basedOn w:val="Normal"/>
    <w:next w:val="Normal"/>
    <w:qFormat/>
    <w:rsid w:val="008B1737"/>
    <w:pPr>
      <w:numPr>
        <w:numId w:val="17"/>
      </w:numPr>
      <w:ind w:left="284" w:hanging="284"/>
    </w:pPr>
    <w:rPr>
      <w:lang w:val="en-AU"/>
    </w:rPr>
  </w:style>
  <w:style w:type="table" w:styleId="TableGrid">
    <w:name w:val="Table Grid"/>
    <w:basedOn w:val="TableNormal"/>
    <w:uiPriority w:val="39"/>
    <w:rsid w:val="007B556E"/>
    <w:rPr>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Mar>
        <w:top w:w="57" w:type="dxa"/>
        <w:bottom w:w="57" w:type="dxa"/>
      </w:tcMar>
    </w:tcPr>
    <w:tblStylePr w:type="firstRow">
      <w:rPr>
        <w:b/>
        <w:color w:val="FFFFFF" w:themeColor="background1"/>
      </w:rPr>
      <w:tblPr/>
      <w:tcPr>
        <w:tcBorders>
          <w:insideH w:val="single" w:sz="4" w:space="0" w:color="FFFFFF" w:themeColor="background1"/>
          <w:insideV w:val="single" w:sz="4" w:space="0" w:color="FFFFFF" w:themeColor="background1"/>
        </w:tcBorders>
        <w:shd w:val="clear" w:color="auto" w:fill="AF272F" w:themeFill="accent1"/>
      </w:tcPr>
    </w:tblStylePr>
    <w:tblStylePr w:type="firstCol">
      <w:rPr>
        <w:color w:val="AF272F" w:themeColor="accent1"/>
      </w:rPr>
    </w:tblStylePr>
  </w:style>
  <w:style w:type="paragraph" w:customStyle="1" w:styleId="TableHead">
    <w:name w:val="Table Head"/>
    <w:basedOn w:val="Normal"/>
    <w:qFormat/>
    <w:rsid w:val="00122369"/>
    <w:rPr>
      <w:b/>
      <w:color w:val="FFFFFF" w:themeColor="background1"/>
      <w:lang w:val="en-AU"/>
    </w:rPr>
  </w:style>
  <w:style w:type="paragraph" w:customStyle="1" w:styleId="Tablebody">
    <w:name w:val="Table body"/>
    <w:basedOn w:val="Normal"/>
    <w:qFormat/>
    <w:rsid w:val="00A31926"/>
    <w:pPr>
      <w:spacing w:before="60" w:after="60"/>
    </w:pPr>
    <w:rPr>
      <w:lang w:val="en-AU"/>
    </w:rPr>
  </w:style>
  <w:style w:type="character" w:styleId="PageNumber">
    <w:name w:val="page number"/>
    <w:basedOn w:val="DefaultParagraphFont"/>
    <w:uiPriority w:val="99"/>
    <w:semiHidden/>
    <w:unhideWhenUsed/>
    <w:rsid w:val="00A31926"/>
  </w:style>
  <w:style w:type="paragraph" w:customStyle="1" w:styleId="Alphabetlist">
    <w:name w:val="Alphabet list"/>
    <w:basedOn w:val="Numberlist"/>
    <w:qFormat/>
    <w:rsid w:val="008B1737"/>
    <w:pPr>
      <w:numPr>
        <w:numId w:val="15"/>
      </w:numPr>
      <w:ind w:left="568" w:hanging="284"/>
    </w:pPr>
  </w:style>
  <w:style w:type="character" w:styleId="Hyperlink">
    <w:name w:val="Hyperlink"/>
    <w:basedOn w:val="DefaultParagraphFont"/>
    <w:uiPriority w:val="99"/>
    <w:unhideWhenUsed/>
    <w:rsid w:val="007630CD"/>
    <w:rPr>
      <w:color w:val="004EA8" w:themeColor="hyperlink"/>
      <w:u w:val="single"/>
    </w:rPr>
  </w:style>
  <w:style w:type="paragraph" w:styleId="IntenseQuote">
    <w:name w:val="Intense Quote"/>
    <w:basedOn w:val="Normal"/>
    <w:next w:val="Normal"/>
    <w:link w:val="IntenseQuoteChar"/>
    <w:uiPriority w:val="30"/>
    <w:qFormat/>
    <w:rsid w:val="00F05E52"/>
    <w:pPr>
      <w:pBdr>
        <w:top w:val="single" w:sz="4" w:space="10" w:color="AF272F" w:themeColor="accent1"/>
        <w:bottom w:val="single" w:sz="4" w:space="10" w:color="AF272F" w:themeColor="accent1"/>
      </w:pBdr>
      <w:spacing w:before="360" w:after="360"/>
      <w:ind w:left="864" w:right="864"/>
    </w:pPr>
    <w:rPr>
      <w:iCs/>
      <w:color w:val="AF272F" w:themeColor="accent1"/>
    </w:rPr>
  </w:style>
  <w:style w:type="character" w:customStyle="1" w:styleId="IntenseQuoteChar">
    <w:name w:val="Intense Quote Char"/>
    <w:basedOn w:val="DefaultParagraphFont"/>
    <w:link w:val="IntenseQuote"/>
    <w:uiPriority w:val="30"/>
    <w:rsid w:val="00F05E52"/>
    <w:rPr>
      <w:iCs/>
      <w:color w:val="AF272F" w:themeColor="accent1"/>
      <w:sz w:val="22"/>
    </w:rPr>
  </w:style>
  <w:style w:type="paragraph" w:styleId="NoSpacing">
    <w:name w:val="No Spacing"/>
    <w:uiPriority w:val="1"/>
    <w:qFormat/>
    <w:rsid w:val="00F05E52"/>
    <w:rPr>
      <w:sz w:val="22"/>
    </w:rPr>
  </w:style>
  <w:style w:type="paragraph" w:styleId="ListParagraph">
    <w:name w:val="List Paragraph"/>
    <w:basedOn w:val="Normal"/>
    <w:uiPriority w:val="34"/>
    <w:qFormat/>
    <w:rsid w:val="00D74485"/>
    <w:pPr>
      <w:ind w:left="720"/>
      <w:contextualSpacing/>
    </w:pPr>
  </w:style>
  <w:style w:type="paragraph" w:styleId="BalloonText">
    <w:name w:val="Balloon Text"/>
    <w:basedOn w:val="Normal"/>
    <w:link w:val="BalloonTextChar"/>
    <w:uiPriority w:val="99"/>
    <w:semiHidden/>
    <w:unhideWhenUsed/>
    <w:rsid w:val="00771C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CAF"/>
    <w:rPr>
      <w:rFonts w:ascii="Segoe UI" w:hAnsi="Segoe UI" w:cs="Segoe UI"/>
      <w:sz w:val="18"/>
      <w:szCs w:val="18"/>
    </w:rPr>
  </w:style>
  <w:style w:type="table" w:customStyle="1" w:styleId="TableGrid1">
    <w:name w:val="Table Grid1"/>
    <w:basedOn w:val="TableNormal"/>
    <w:next w:val="TableGrid"/>
    <w:uiPriority w:val="59"/>
    <w:rsid w:val="0057193B"/>
    <w:pPr>
      <w:spacing w:after="90" w:line="22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289F"/>
    <w:pPr>
      <w:spacing w:after="150"/>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257C42"/>
    <w:rPr>
      <w:color w:val="87189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1806">
      <w:bodyDiv w:val="1"/>
      <w:marLeft w:val="0"/>
      <w:marRight w:val="0"/>
      <w:marTop w:val="0"/>
      <w:marBottom w:val="0"/>
      <w:divBdr>
        <w:top w:val="none" w:sz="0" w:space="0" w:color="auto"/>
        <w:left w:val="none" w:sz="0" w:space="0" w:color="auto"/>
        <w:bottom w:val="none" w:sz="0" w:space="0" w:color="auto"/>
        <w:right w:val="none" w:sz="0" w:space="0" w:color="auto"/>
      </w:divBdr>
      <w:divsChild>
        <w:div w:id="234097898">
          <w:marLeft w:val="0"/>
          <w:marRight w:val="0"/>
          <w:marTop w:val="0"/>
          <w:marBottom w:val="0"/>
          <w:divBdr>
            <w:top w:val="none" w:sz="0" w:space="0" w:color="auto"/>
            <w:left w:val="none" w:sz="0" w:space="0" w:color="auto"/>
            <w:bottom w:val="none" w:sz="0" w:space="0" w:color="auto"/>
            <w:right w:val="none" w:sz="0" w:space="0" w:color="auto"/>
          </w:divBdr>
          <w:divsChild>
            <w:div w:id="825895742">
              <w:marLeft w:val="0"/>
              <w:marRight w:val="0"/>
              <w:marTop w:val="0"/>
              <w:marBottom w:val="0"/>
              <w:divBdr>
                <w:top w:val="none" w:sz="0" w:space="0" w:color="auto"/>
                <w:left w:val="none" w:sz="0" w:space="0" w:color="auto"/>
                <w:bottom w:val="none" w:sz="0" w:space="0" w:color="auto"/>
                <w:right w:val="none" w:sz="0" w:space="0" w:color="auto"/>
              </w:divBdr>
              <w:divsChild>
                <w:div w:id="1788233244">
                  <w:marLeft w:val="0"/>
                  <w:marRight w:val="0"/>
                  <w:marTop w:val="0"/>
                  <w:marBottom w:val="0"/>
                  <w:divBdr>
                    <w:top w:val="none" w:sz="0" w:space="0" w:color="auto"/>
                    <w:left w:val="none" w:sz="0" w:space="0" w:color="auto"/>
                    <w:bottom w:val="none" w:sz="0" w:space="0" w:color="auto"/>
                    <w:right w:val="none" w:sz="0" w:space="0" w:color="auto"/>
                  </w:divBdr>
                  <w:divsChild>
                    <w:div w:id="930968223">
                      <w:marLeft w:val="0"/>
                      <w:marRight w:val="0"/>
                      <w:marTop w:val="0"/>
                      <w:marBottom w:val="0"/>
                      <w:divBdr>
                        <w:top w:val="none" w:sz="0" w:space="0" w:color="auto"/>
                        <w:left w:val="none" w:sz="0" w:space="0" w:color="auto"/>
                        <w:bottom w:val="none" w:sz="0" w:space="0" w:color="auto"/>
                        <w:right w:val="none" w:sz="0" w:space="0" w:color="auto"/>
                      </w:divBdr>
                      <w:divsChild>
                        <w:div w:id="140197443">
                          <w:marLeft w:val="0"/>
                          <w:marRight w:val="0"/>
                          <w:marTop w:val="0"/>
                          <w:marBottom w:val="0"/>
                          <w:divBdr>
                            <w:top w:val="none" w:sz="0" w:space="0" w:color="auto"/>
                            <w:left w:val="none" w:sz="0" w:space="0" w:color="auto"/>
                            <w:bottom w:val="none" w:sz="0" w:space="0" w:color="auto"/>
                            <w:right w:val="none" w:sz="0" w:space="0" w:color="auto"/>
                          </w:divBdr>
                          <w:divsChild>
                            <w:div w:id="1422876459">
                              <w:marLeft w:val="-225"/>
                              <w:marRight w:val="-225"/>
                              <w:marTop w:val="0"/>
                              <w:marBottom w:val="0"/>
                              <w:divBdr>
                                <w:top w:val="none" w:sz="0" w:space="0" w:color="auto"/>
                                <w:left w:val="none" w:sz="0" w:space="0" w:color="auto"/>
                                <w:bottom w:val="none" w:sz="0" w:space="0" w:color="auto"/>
                                <w:right w:val="none" w:sz="0" w:space="0" w:color="auto"/>
                              </w:divBdr>
                              <w:divsChild>
                                <w:div w:id="131948703">
                                  <w:marLeft w:val="0"/>
                                  <w:marRight w:val="0"/>
                                  <w:marTop w:val="0"/>
                                  <w:marBottom w:val="0"/>
                                  <w:divBdr>
                                    <w:top w:val="none" w:sz="0" w:space="0" w:color="auto"/>
                                    <w:left w:val="none" w:sz="0" w:space="0" w:color="auto"/>
                                    <w:bottom w:val="none" w:sz="0" w:space="0" w:color="auto"/>
                                    <w:right w:val="none" w:sz="0" w:space="0" w:color="auto"/>
                                  </w:divBdr>
                                  <w:divsChild>
                                    <w:div w:id="1095975847">
                                      <w:marLeft w:val="0"/>
                                      <w:marRight w:val="0"/>
                                      <w:marTop w:val="0"/>
                                      <w:marBottom w:val="3000"/>
                                      <w:divBdr>
                                        <w:top w:val="single" w:sz="24" w:space="0" w:color="FFFFFF"/>
                                        <w:left w:val="none" w:sz="0" w:space="0" w:color="auto"/>
                                        <w:bottom w:val="none" w:sz="0" w:space="0" w:color="auto"/>
                                        <w:right w:val="none" w:sz="0" w:space="0" w:color="auto"/>
                                      </w:divBdr>
                                      <w:divsChild>
                                        <w:div w:id="3731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ducation.vic.gov.au/school/principals/spag/governance/pages/gift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ducation.vic.gov.au/Documents/school/principals/spag/governance/gifstbenefitshospitality.doc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dustate">
      <a:dk1>
        <a:srgbClr val="000000"/>
      </a:dk1>
      <a:lt1>
        <a:srgbClr val="FFFFFF"/>
      </a:lt1>
      <a:dk2>
        <a:srgbClr val="53565A"/>
      </a:dk2>
      <a:lt2>
        <a:srgbClr val="D9D9D6"/>
      </a:lt2>
      <a:accent1>
        <a:srgbClr val="AF272F"/>
      </a:accent1>
      <a:accent2>
        <a:srgbClr val="BC95C8"/>
      </a:accent2>
      <a:accent3>
        <a:srgbClr val="F6BE00"/>
      </a:accent3>
      <a:accent4>
        <a:srgbClr val="00B7BD"/>
      </a:accent4>
      <a:accent5>
        <a:srgbClr val="004EA8"/>
      </a:accent5>
      <a:accent6>
        <a:srgbClr val="201547"/>
      </a:accent6>
      <a:hlink>
        <a:srgbClr val="004EA8"/>
      </a:hlink>
      <a:folHlink>
        <a:srgbClr val="87189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22/05/2012 6:20:50 AM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22/05/2012 6:20:50 AM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22/05/2012 6:20:50 AM</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BB1D6F56FE9104EBFC08AF73A72D37D" ma:contentTypeVersion="0" ma:contentTypeDescription="Create a new document." ma:contentTypeScope="" ma:versionID="7313b4b6454c8520f3ec90ee9c0487ad">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D2930-313F-4CD3-B14B-F12CDED92D7F}">
  <ds:schemaRefs>
    <ds:schemaRef ds:uri="http://schemas.microsoft.com/sharepoint/v3/contenttype/forms"/>
  </ds:schemaRefs>
</ds:datastoreItem>
</file>

<file path=customXml/itemProps2.xml><?xml version="1.0" encoding="utf-8"?>
<ds:datastoreItem xmlns:ds="http://schemas.openxmlformats.org/officeDocument/2006/customXml" ds:itemID="{B384CEED-15CC-48A4-BBC6-8C3455490D71}">
  <ds:schemaRefs>
    <ds:schemaRef ds:uri="http://schemas.microsoft.com/sharepoint/events"/>
  </ds:schemaRefs>
</ds:datastoreItem>
</file>

<file path=customXml/itemProps3.xml><?xml version="1.0" encoding="utf-8"?>
<ds:datastoreItem xmlns:ds="http://schemas.openxmlformats.org/officeDocument/2006/customXml" ds:itemID="{4310CA57-9389-4A0A-AF34-836270E9D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A5833B-2E9C-48B5-9222-0EFD6E8B43E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Gifts Benefits and Hospitality - Information for School Communities</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Gifts Benefits and Hospitality - Information for School Communities</dc:title>
  <dc:subject/>
  <dc:creator>Isabel Lim</dc:creator>
  <cp:keywords/>
  <dc:description/>
  <cp:lastModifiedBy>Tofler, Daniel M</cp:lastModifiedBy>
  <cp:revision>4</cp:revision>
  <cp:lastPrinted>2018-06-08T05:18:00Z</cp:lastPrinted>
  <dcterms:created xsi:type="dcterms:W3CDTF">2018-06-07T01:56:00Z</dcterms:created>
  <dcterms:modified xsi:type="dcterms:W3CDTF">2018-06-08T05:20:00Z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0x0101004BB1D6F56FE9104EBFC08AF73A72D37D</vt:lpwstr>
  </property>
  <property fmtid="{D5CDD505-2E9C-101B-9397-08002B2CF9AE}" pid="3" name="DET_EDRMS_RCS">
    <vt:lpwstr>28;#13.1.2 Internal Policy|ad985a07-89db-41e4-84da-e1a6cef79014</vt:lpwstr>
  </property>
  <property fmtid="{D5CDD505-2E9C-101B-9397-08002B2CF9AE}" pid="4" name="DET_EDRMS_BusUnit">
    <vt:lpwstr>541;#IFSG - Procurement|363b6e10-665c-4078-b72d-bd937ec64cfa</vt:lpwstr>
  </property>
  <property fmtid="{D5CDD505-2E9C-101B-9397-08002B2CF9AE}" pid="5" name="DET_EDRMS_SecClass">
    <vt:lpwstr/>
  </property>
  <property fmtid="{D5CDD505-2E9C-101B-9397-08002B2CF9AE}" pid="6" name="RecordPoint_WorkflowType">
    <vt:lpwstr>ActiveSubmitStub</vt:lpwstr>
  </property>
  <property fmtid="{D5CDD505-2E9C-101B-9397-08002B2CF9AE}" pid="7" name="RecordPoint_ActiveItemSiteId">
    <vt:lpwstr>{03dc8113-b288-4f44-a289-6e7ea0196235}</vt:lpwstr>
  </property>
  <property fmtid="{D5CDD505-2E9C-101B-9397-08002B2CF9AE}" pid="8" name="RecordPoint_ActiveItemListId">
    <vt:lpwstr>{1ff2f864-c0ea-422f-9d2a-0b19ca84e085}</vt:lpwstr>
  </property>
  <property fmtid="{D5CDD505-2E9C-101B-9397-08002B2CF9AE}" pid="9" name="RecordPoint_ActiveItemUniqueId">
    <vt:lpwstr>{0fbd4a4a-d4a7-42a9-8853-4d983c387103}</vt:lpwstr>
  </property>
  <property fmtid="{D5CDD505-2E9C-101B-9397-08002B2CF9AE}" pid="10" name="RecordPoint_ActiveItemWebId">
    <vt:lpwstr>{ccdd331b-2b8a-447c-a16c-d9eb9dc4eaa2}</vt:lpwstr>
  </property>
  <property fmtid="{D5CDD505-2E9C-101B-9397-08002B2CF9AE}" pid="11" name="RecordPoint_RecordNumberSubmitted">
    <vt:lpwstr>R2018/0252442</vt:lpwstr>
  </property>
  <property fmtid="{D5CDD505-2E9C-101B-9397-08002B2CF9AE}" pid="12" name="RecordPoint_SubmissionCompleted">
    <vt:lpwstr>2018-05-11T18:12:12.4468085+10:00</vt:lpwstr>
  </property>
</Properties>
</file>