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ecolor="t" focus="100%" type="gradient"/>
    </v:background>
  </w:background>
  <w:body>
    <w:p w:rsidR="00001B95" w:rsidRDefault="00B5084C" w:rsidP="00001B95">
      <w:pPr>
        <w:spacing w:line="240" w:lineRule="atLeast"/>
        <w:jc w:val="both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  <w:lang w:val="de-AT" w:eastAsia="de-AT"/>
        </w:rPr>
        <w:drawing>
          <wp:inline distT="0" distB="0" distL="0" distR="0">
            <wp:extent cx="6339205" cy="805180"/>
            <wp:effectExtent l="0" t="0" r="4445" b="0"/>
            <wp:docPr id="11" name="Bild 3" descr="H:\Texte\_AssistentInnen\SB\LOGOS\Panorama\Veranstaltun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H:\Texte\_AssistentInnen\SB\LOGOS\Panorama\Veranstaltung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0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95" w:rsidRPr="0001740F" w:rsidRDefault="00001B95" w:rsidP="00001B95">
      <w:pPr>
        <w:spacing w:line="280" w:lineRule="exact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79"/>
      </w:tblGrid>
      <w:tr w:rsidR="00001B95" w:rsidRPr="00FD77AB" w:rsidTr="00DE15E4"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01B95" w:rsidRPr="004362D2" w:rsidRDefault="00C905FA" w:rsidP="00A27290">
            <w:pPr>
              <w:pStyle w:val="berschrift1"/>
              <w:rPr>
                <w:lang w:val="de-AT"/>
              </w:rPr>
            </w:pPr>
            <w:r w:rsidRPr="00C905FA">
              <w:rPr>
                <w:lang w:val="de-AT"/>
              </w:rPr>
              <w:t xml:space="preserve">Sektorseminar „Der </w:t>
            </w:r>
            <w:bookmarkStart w:id="0" w:name="_GoBack"/>
            <w:r w:rsidRPr="00C905FA">
              <w:rPr>
                <w:lang w:val="de-AT"/>
              </w:rPr>
              <w:t xml:space="preserve">Wassersektor </w:t>
            </w:r>
            <w:bookmarkEnd w:id="0"/>
            <w:r w:rsidRPr="00C905FA">
              <w:rPr>
                <w:lang w:val="de-AT"/>
              </w:rPr>
              <w:t>im Rahmen der außenpolitischen Instrumente der EU“ am 15. November 2016</w:t>
            </w:r>
          </w:p>
        </w:tc>
      </w:tr>
    </w:tbl>
    <w:p w:rsidR="00001B95" w:rsidRDefault="00001B95" w:rsidP="00E40D37">
      <w:pPr>
        <w:spacing w:line="280" w:lineRule="exact"/>
        <w:jc w:val="both"/>
        <w:rPr>
          <w:bCs/>
          <w:color w:val="000000"/>
          <w:sz w:val="20"/>
          <w:szCs w:val="20"/>
        </w:rPr>
      </w:pPr>
    </w:p>
    <w:p w:rsidR="00C905FA" w:rsidRPr="00C905FA" w:rsidRDefault="00C905FA" w:rsidP="00CE124D">
      <w:pPr>
        <w:spacing w:line="280" w:lineRule="exact"/>
        <w:jc w:val="both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 xml:space="preserve">Am </w:t>
      </w:r>
      <w:r w:rsidR="00402EB6">
        <w:rPr>
          <w:b/>
          <w:bCs/>
          <w:color w:val="000000"/>
          <w:sz w:val="20"/>
          <w:szCs w:val="20"/>
        </w:rPr>
        <w:t>15</w:t>
      </w:r>
      <w:r w:rsidRPr="00C905FA">
        <w:rPr>
          <w:b/>
          <w:bCs/>
          <w:color w:val="000000"/>
          <w:sz w:val="20"/>
          <w:szCs w:val="20"/>
        </w:rPr>
        <w:t xml:space="preserve">. </w:t>
      </w:r>
      <w:r w:rsidR="00402EB6">
        <w:rPr>
          <w:b/>
          <w:bCs/>
          <w:color w:val="000000"/>
          <w:sz w:val="20"/>
          <w:szCs w:val="20"/>
        </w:rPr>
        <w:t>November</w:t>
      </w:r>
      <w:r w:rsidRPr="00C905FA">
        <w:rPr>
          <w:b/>
          <w:bCs/>
          <w:color w:val="000000"/>
          <w:sz w:val="20"/>
          <w:szCs w:val="20"/>
        </w:rPr>
        <w:t xml:space="preserve"> 2016</w:t>
      </w:r>
      <w:r w:rsidRPr="00C905FA">
        <w:rPr>
          <w:bCs/>
          <w:color w:val="000000"/>
          <w:sz w:val="20"/>
          <w:szCs w:val="20"/>
        </w:rPr>
        <w:t xml:space="preserve"> findet in </w:t>
      </w:r>
      <w:r w:rsidRPr="00C905FA">
        <w:rPr>
          <w:b/>
          <w:bCs/>
          <w:color w:val="000000"/>
          <w:sz w:val="20"/>
          <w:szCs w:val="20"/>
        </w:rPr>
        <w:t>Brüssel</w:t>
      </w:r>
      <w:r w:rsidRPr="00C905FA">
        <w:rPr>
          <w:bCs/>
          <w:color w:val="000000"/>
          <w:sz w:val="20"/>
          <w:szCs w:val="20"/>
        </w:rPr>
        <w:t xml:space="preserve"> das nächste </w:t>
      </w:r>
      <w:proofErr w:type="spellStart"/>
      <w:r w:rsidRPr="00C905FA">
        <w:rPr>
          <w:b/>
          <w:bCs/>
          <w:color w:val="000000"/>
          <w:sz w:val="20"/>
          <w:szCs w:val="20"/>
        </w:rPr>
        <w:t>Sektorseminar</w:t>
      </w:r>
      <w:proofErr w:type="spellEnd"/>
      <w:r w:rsidRPr="00C905FA">
        <w:rPr>
          <w:b/>
          <w:bCs/>
          <w:color w:val="000000"/>
          <w:sz w:val="20"/>
          <w:szCs w:val="20"/>
        </w:rPr>
        <w:t xml:space="preserve"> </w:t>
      </w:r>
      <w:r w:rsidRPr="00C905FA">
        <w:rPr>
          <w:bCs/>
          <w:color w:val="000000"/>
          <w:sz w:val="20"/>
          <w:szCs w:val="20"/>
        </w:rPr>
        <w:t>unter dem Titel</w:t>
      </w:r>
      <w:r w:rsidRPr="00C905FA">
        <w:rPr>
          <w:b/>
          <w:bCs/>
          <w:color w:val="000000"/>
          <w:sz w:val="20"/>
          <w:szCs w:val="20"/>
        </w:rPr>
        <w:t xml:space="preserve"> „Der Wassersektor im Rahmen der außenpolitischen Instrumente der EU“ </w:t>
      </w:r>
      <w:r w:rsidRPr="00C905FA">
        <w:rPr>
          <w:bCs/>
          <w:color w:val="000000"/>
          <w:sz w:val="20"/>
          <w:szCs w:val="20"/>
        </w:rPr>
        <w:t>statt, welches vo</w:t>
      </w:r>
      <w:r w:rsidR="00CE124D">
        <w:rPr>
          <w:bCs/>
          <w:color w:val="000000"/>
          <w:sz w:val="20"/>
          <w:szCs w:val="20"/>
        </w:rPr>
        <w:t xml:space="preserve">m </w:t>
      </w:r>
      <w:r w:rsidR="00CE124D" w:rsidRPr="00C905FA">
        <w:rPr>
          <w:bCs/>
          <w:color w:val="000000"/>
          <w:sz w:val="20"/>
          <w:szCs w:val="20"/>
        </w:rPr>
        <w:t>EU-Büro der Wirtschaftskammer Österreich</w:t>
      </w:r>
      <w:r w:rsidR="00CE124D">
        <w:rPr>
          <w:bCs/>
          <w:color w:val="000000"/>
          <w:sz w:val="20"/>
          <w:szCs w:val="20"/>
        </w:rPr>
        <w:t>,</w:t>
      </w:r>
      <w:r w:rsidRPr="00C905FA">
        <w:rPr>
          <w:bCs/>
          <w:color w:val="000000"/>
          <w:sz w:val="20"/>
          <w:szCs w:val="20"/>
        </w:rPr>
        <w:t xml:space="preserve"> der Wirtschaftskammer Kroatiens, der Germany Trade &amp; </w:t>
      </w:r>
      <w:proofErr w:type="spellStart"/>
      <w:r w:rsidRPr="00C905FA">
        <w:rPr>
          <w:bCs/>
          <w:color w:val="000000"/>
          <w:sz w:val="20"/>
          <w:szCs w:val="20"/>
        </w:rPr>
        <w:t>Invest</w:t>
      </w:r>
      <w:proofErr w:type="spellEnd"/>
      <w:r w:rsidRPr="00C905FA">
        <w:rPr>
          <w:bCs/>
          <w:color w:val="000000"/>
          <w:sz w:val="20"/>
          <w:szCs w:val="20"/>
        </w:rPr>
        <w:t xml:space="preserve"> GmbH</w:t>
      </w:r>
      <w:r w:rsidR="00CE124D">
        <w:rPr>
          <w:bCs/>
          <w:color w:val="000000"/>
          <w:sz w:val="20"/>
          <w:szCs w:val="20"/>
        </w:rPr>
        <w:t xml:space="preserve"> und</w:t>
      </w:r>
      <w:r w:rsidRPr="00C905FA">
        <w:rPr>
          <w:bCs/>
          <w:color w:val="000000"/>
          <w:sz w:val="20"/>
          <w:szCs w:val="20"/>
        </w:rPr>
        <w:t xml:space="preserve"> dem Deutschen Industrie- und Handelskammertag gemeinsam mit anderen Ständigen Vertretungen und Außenhandels-organisationen organisiert wird. </w:t>
      </w:r>
    </w:p>
    <w:p w:rsidR="00C905FA" w:rsidRDefault="00C905FA" w:rsidP="00E40D37">
      <w:pPr>
        <w:spacing w:line="280" w:lineRule="exact"/>
        <w:jc w:val="both"/>
        <w:rPr>
          <w:bCs/>
          <w:color w:val="000000"/>
          <w:sz w:val="20"/>
          <w:szCs w:val="20"/>
        </w:rPr>
      </w:pPr>
    </w:p>
    <w:p w:rsidR="00C905FA" w:rsidRPr="00C905FA" w:rsidRDefault="00C905FA" w:rsidP="00CE124D">
      <w:pPr>
        <w:spacing w:line="280" w:lineRule="exact"/>
        <w:jc w:val="both"/>
        <w:rPr>
          <w:bCs/>
          <w:color w:val="000000"/>
          <w:sz w:val="20"/>
          <w:szCs w:val="20"/>
          <w:lang w:val="de-AT"/>
        </w:rPr>
      </w:pPr>
      <w:r w:rsidRPr="00C905FA">
        <w:rPr>
          <w:bCs/>
          <w:color w:val="000000"/>
          <w:sz w:val="20"/>
          <w:szCs w:val="20"/>
          <w:lang w:val="de-AT"/>
        </w:rPr>
        <w:t xml:space="preserve">Im Rahmen der </w:t>
      </w:r>
      <w:r w:rsidRPr="00C905FA">
        <w:rPr>
          <w:b/>
          <w:bCs/>
          <w:color w:val="000000"/>
          <w:sz w:val="20"/>
          <w:szCs w:val="20"/>
          <w:lang w:val="de-AT"/>
        </w:rPr>
        <w:t>EU-Außenhilfeprogramme</w:t>
      </w:r>
      <w:r w:rsidRPr="00C905FA">
        <w:rPr>
          <w:bCs/>
          <w:color w:val="000000"/>
          <w:sz w:val="20"/>
          <w:szCs w:val="20"/>
          <w:lang w:val="de-AT"/>
        </w:rPr>
        <w:t xml:space="preserve"> sind für den Zeitraum 2014-2020 </w:t>
      </w:r>
      <w:r w:rsidRPr="00C905FA">
        <w:rPr>
          <w:b/>
          <w:bCs/>
          <w:color w:val="000000"/>
          <w:sz w:val="20"/>
          <w:szCs w:val="20"/>
          <w:lang w:val="de-AT"/>
        </w:rPr>
        <w:t>rund 1,7 Milliarden Euro für die Entwicklung und Förderung des Wassersektors in Drittländern</w:t>
      </w:r>
      <w:r w:rsidRPr="00C905FA">
        <w:rPr>
          <w:bCs/>
          <w:color w:val="000000"/>
          <w:sz w:val="20"/>
          <w:szCs w:val="20"/>
          <w:lang w:val="de-AT"/>
        </w:rPr>
        <w:t xml:space="preserve"> vorgesehen, was </w:t>
      </w:r>
      <w:r w:rsidRPr="00C905FA">
        <w:rPr>
          <w:b/>
          <w:bCs/>
          <w:color w:val="000000"/>
          <w:sz w:val="20"/>
          <w:szCs w:val="20"/>
          <w:lang w:val="de-AT"/>
        </w:rPr>
        <w:t>Geschäftschancen</w:t>
      </w:r>
      <w:r w:rsidRPr="00C905FA">
        <w:rPr>
          <w:bCs/>
          <w:color w:val="000000"/>
          <w:sz w:val="20"/>
          <w:szCs w:val="20"/>
          <w:lang w:val="de-AT"/>
        </w:rPr>
        <w:t xml:space="preserve"> für in diesem Sektor tätige </w:t>
      </w:r>
      <w:r w:rsidR="00CE124D">
        <w:rPr>
          <w:bCs/>
          <w:color w:val="000000"/>
          <w:sz w:val="20"/>
          <w:szCs w:val="20"/>
          <w:lang w:val="de-AT"/>
        </w:rPr>
        <w:t>österreichische</w:t>
      </w:r>
      <w:r w:rsidRPr="00C905FA">
        <w:rPr>
          <w:bCs/>
          <w:color w:val="000000"/>
          <w:sz w:val="20"/>
          <w:szCs w:val="20"/>
          <w:lang w:val="de-AT"/>
        </w:rPr>
        <w:t xml:space="preserve"> Unternehmen eröffnet</w:t>
      </w:r>
      <w:proofErr w:type="gramStart"/>
      <w:r w:rsidRPr="00C905FA">
        <w:rPr>
          <w:bCs/>
          <w:color w:val="000000"/>
          <w:sz w:val="20"/>
          <w:szCs w:val="20"/>
          <w:lang w:val="de-AT"/>
        </w:rPr>
        <w:t xml:space="preserve">.  </w:t>
      </w:r>
      <w:proofErr w:type="gramEnd"/>
      <w:r w:rsidRPr="00C905FA">
        <w:rPr>
          <w:bCs/>
          <w:color w:val="000000"/>
          <w:sz w:val="20"/>
          <w:szCs w:val="20"/>
          <w:lang w:val="de-AT"/>
        </w:rPr>
        <w:t xml:space="preserve">Am Vormittag des </w:t>
      </w:r>
      <w:proofErr w:type="spellStart"/>
      <w:r w:rsidRPr="00C905FA">
        <w:rPr>
          <w:bCs/>
          <w:color w:val="000000"/>
          <w:sz w:val="20"/>
          <w:szCs w:val="20"/>
          <w:lang w:val="de-AT"/>
        </w:rPr>
        <w:t>Sektorseminars</w:t>
      </w:r>
      <w:proofErr w:type="spellEnd"/>
      <w:r w:rsidRPr="00C905FA">
        <w:rPr>
          <w:bCs/>
          <w:color w:val="000000"/>
          <w:sz w:val="20"/>
          <w:szCs w:val="20"/>
          <w:lang w:val="de-AT"/>
        </w:rPr>
        <w:t xml:space="preserve"> informieren Vertreter der </w:t>
      </w:r>
      <w:r w:rsidRPr="00C905FA">
        <w:rPr>
          <w:b/>
          <w:bCs/>
          <w:color w:val="000000"/>
          <w:sz w:val="20"/>
          <w:szCs w:val="20"/>
          <w:lang w:val="de-AT"/>
        </w:rPr>
        <w:t>Europäischen Kommission</w:t>
      </w:r>
      <w:r w:rsidRPr="00C905FA">
        <w:rPr>
          <w:bCs/>
          <w:color w:val="000000"/>
          <w:sz w:val="20"/>
          <w:szCs w:val="20"/>
          <w:lang w:val="de-AT"/>
        </w:rPr>
        <w:t xml:space="preserve"> </w:t>
      </w:r>
      <w:r w:rsidRPr="00C905FA">
        <w:rPr>
          <w:b/>
          <w:bCs/>
          <w:color w:val="000000"/>
          <w:sz w:val="20"/>
          <w:szCs w:val="20"/>
          <w:lang w:val="de-AT"/>
        </w:rPr>
        <w:t>und anderer Institutionen</w:t>
      </w:r>
      <w:r w:rsidRPr="00C905FA">
        <w:rPr>
          <w:bCs/>
          <w:color w:val="000000"/>
          <w:sz w:val="20"/>
          <w:szCs w:val="20"/>
          <w:lang w:val="de-AT"/>
        </w:rPr>
        <w:t xml:space="preserve">, </w:t>
      </w:r>
      <w:r w:rsidRPr="00C905FA">
        <w:rPr>
          <w:b/>
          <w:bCs/>
          <w:color w:val="000000"/>
          <w:sz w:val="20"/>
          <w:szCs w:val="20"/>
          <w:lang w:val="de-AT"/>
        </w:rPr>
        <w:t xml:space="preserve">wie beispielsweise der EIB bzw. der EBRD </w:t>
      </w:r>
      <w:r w:rsidRPr="00C905FA">
        <w:rPr>
          <w:bCs/>
          <w:color w:val="000000"/>
          <w:sz w:val="20"/>
          <w:szCs w:val="20"/>
          <w:lang w:val="de-AT"/>
        </w:rPr>
        <w:t xml:space="preserve">über Möglichkeiten im Rahmen der verschiedenen EU-Außenhilfeprogramme. Am Nachmittag findet eine Firmenbörse statt, bei der die Teilnehmer Kontakte mit potenziellen </w:t>
      </w:r>
      <w:r w:rsidRPr="00C905FA">
        <w:rPr>
          <w:b/>
          <w:bCs/>
          <w:color w:val="000000"/>
          <w:sz w:val="20"/>
          <w:szCs w:val="20"/>
          <w:lang w:val="de-AT"/>
        </w:rPr>
        <w:t>Kooperationspartnern</w:t>
      </w:r>
      <w:r w:rsidRPr="00C905FA">
        <w:rPr>
          <w:bCs/>
          <w:color w:val="000000"/>
          <w:sz w:val="20"/>
          <w:szCs w:val="20"/>
          <w:lang w:val="de-AT"/>
        </w:rPr>
        <w:t xml:space="preserve"> für künftige Ausschreibungen knüpfen können. Darüber hinaus wird es auch Gelegenheit geben, sich direkt mit den Vertretern der Europäischen Union und der Europäischen Investitionsbank auszutauschen.</w:t>
      </w:r>
    </w:p>
    <w:p w:rsidR="00C905FA" w:rsidRDefault="00C905FA" w:rsidP="00E40D37">
      <w:pPr>
        <w:spacing w:line="280" w:lineRule="exact"/>
        <w:jc w:val="both"/>
        <w:rPr>
          <w:bCs/>
          <w:color w:val="000000"/>
          <w:sz w:val="20"/>
          <w:szCs w:val="20"/>
          <w:lang w:val="de-AT"/>
        </w:rPr>
      </w:pPr>
    </w:p>
    <w:p w:rsidR="00C905FA" w:rsidRPr="00C905FA" w:rsidRDefault="00C905FA" w:rsidP="00C905FA">
      <w:pPr>
        <w:spacing w:line="280" w:lineRule="exact"/>
        <w:jc w:val="both"/>
        <w:rPr>
          <w:bCs/>
          <w:color w:val="000000"/>
          <w:sz w:val="20"/>
          <w:szCs w:val="20"/>
        </w:rPr>
      </w:pPr>
      <w:r w:rsidRPr="00C905FA">
        <w:rPr>
          <w:b/>
          <w:bCs/>
          <w:color w:val="000000"/>
          <w:sz w:val="20"/>
          <w:szCs w:val="20"/>
        </w:rPr>
        <w:t>Zielgruppe sind</w:t>
      </w:r>
      <w:r w:rsidRPr="00C905FA">
        <w:rPr>
          <w:bCs/>
          <w:color w:val="000000"/>
          <w:sz w:val="20"/>
          <w:szCs w:val="20"/>
        </w:rPr>
        <w:t xml:space="preserve"> </w:t>
      </w:r>
      <w:r w:rsidRPr="00C905FA">
        <w:rPr>
          <w:b/>
          <w:bCs/>
          <w:color w:val="000000"/>
          <w:sz w:val="20"/>
          <w:szCs w:val="20"/>
        </w:rPr>
        <w:t>Konsulenten, Unternehmen und Investoren</w:t>
      </w:r>
      <w:r w:rsidRPr="00C905FA">
        <w:rPr>
          <w:bCs/>
          <w:color w:val="000000"/>
          <w:sz w:val="20"/>
          <w:szCs w:val="20"/>
        </w:rPr>
        <w:t>, die in folgenden Sektoren tätig sind:</w:t>
      </w:r>
    </w:p>
    <w:p w:rsidR="00C905FA" w:rsidRPr="00C905FA" w:rsidRDefault="00C905FA" w:rsidP="00C905FA">
      <w:pPr>
        <w:spacing w:line="280" w:lineRule="exact"/>
        <w:jc w:val="both"/>
        <w:rPr>
          <w:bCs/>
          <w:color w:val="000000"/>
          <w:sz w:val="20"/>
          <w:szCs w:val="20"/>
        </w:rPr>
      </w:pPr>
    </w:p>
    <w:p w:rsidR="00C905FA" w:rsidRDefault="00C905FA" w:rsidP="00C905FA">
      <w:pPr>
        <w:tabs>
          <w:tab w:val="num" w:pos="900"/>
        </w:tabs>
        <w:spacing w:line="280" w:lineRule="exact"/>
        <w:jc w:val="both"/>
        <w:rPr>
          <w:bCs/>
          <w:color w:val="000000"/>
          <w:sz w:val="20"/>
          <w:szCs w:val="20"/>
        </w:rPr>
        <w:sectPr w:rsidR="00C905FA" w:rsidSect="0090701C">
          <w:headerReference w:type="default" r:id="rId10"/>
          <w:footerReference w:type="default" r:id="rId11"/>
          <w:pgSz w:w="11906" w:h="16838" w:code="9"/>
          <w:pgMar w:top="850" w:right="1022" w:bottom="1138" w:left="907" w:header="142" w:footer="493" w:gutter="0"/>
          <w:cols w:space="708"/>
          <w:titlePg/>
          <w:docGrid w:linePitch="360"/>
        </w:sectPr>
      </w:pP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900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lastRenderedPageBreak/>
        <w:t>Wasserversorgung - Trinkwasser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900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Kommunale Abwasseraufbereitung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900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Industrielle Abwasseraufbereitung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900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Klärschlammaufbereitung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900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Meeresverschmutzung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900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Bewässerung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900"/>
          <w:tab w:val="num" w:pos="1361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Informationssysteme zur Gewässerbewirtschaftung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900"/>
          <w:tab w:val="num" w:pos="1361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lastRenderedPageBreak/>
        <w:t>Städtische Wasserversorgung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1361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Ländliche Wasserversorgung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1361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Flussbettausbau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1361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Abwasser / Kanalisation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1361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Klimawandel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1361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Sanitäre Einrichtungen</w:t>
      </w:r>
    </w:p>
    <w:p w:rsidR="00C905FA" w:rsidRPr="00C905FA" w:rsidRDefault="00C905FA" w:rsidP="00C905FA">
      <w:pPr>
        <w:pStyle w:val="Listenabsatz"/>
        <w:numPr>
          <w:ilvl w:val="0"/>
          <w:numId w:val="14"/>
        </w:numPr>
        <w:tabs>
          <w:tab w:val="num" w:pos="1361"/>
        </w:tabs>
        <w:spacing w:line="280" w:lineRule="exact"/>
        <w:rPr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>Städtische und ländliche Wasserdienstleistungen</w:t>
      </w:r>
    </w:p>
    <w:p w:rsidR="00C905FA" w:rsidRDefault="00C905FA" w:rsidP="00C905FA">
      <w:pPr>
        <w:spacing w:line="280" w:lineRule="exact"/>
        <w:jc w:val="both"/>
        <w:rPr>
          <w:bCs/>
          <w:color w:val="000000"/>
          <w:sz w:val="20"/>
          <w:szCs w:val="20"/>
        </w:rPr>
        <w:sectPr w:rsidR="00C905FA" w:rsidSect="00C905FA">
          <w:type w:val="continuous"/>
          <w:pgSz w:w="11906" w:h="16838" w:code="9"/>
          <w:pgMar w:top="850" w:right="1022" w:bottom="1138" w:left="907" w:header="142" w:footer="493" w:gutter="0"/>
          <w:cols w:num="2" w:space="708"/>
          <w:titlePg/>
          <w:docGrid w:linePitch="360"/>
        </w:sectPr>
      </w:pPr>
    </w:p>
    <w:p w:rsidR="00C905FA" w:rsidRDefault="00C905FA" w:rsidP="00C905FA">
      <w:pPr>
        <w:spacing w:line="280" w:lineRule="exact"/>
        <w:jc w:val="both"/>
        <w:rPr>
          <w:bCs/>
          <w:color w:val="000000"/>
          <w:sz w:val="20"/>
          <w:szCs w:val="20"/>
        </w:rPr>
      </w:pPr>
    </w:p>
    <w:p w:rsidR="00C905FA" w:rsidRPr="00C905FA" w:rsidRDefault="00C905FA" w:rsidP="00CE124D">
      <w:pPr>
        <w:spacing w:line="280" w:lineRule="exact"/>
        <w:jc w:val="both"/>
        <w:rPr>
          <w:b/>
          <w:bCs/>
          <w:color w:val="000000"/>
          <w:sz w:val="20"/>
          <w:szCs w:val="20"/>
        </w:rPr>
      </w:pPr>
      <w:r w:rsidRPr="00C905FA">
        <w:rPr>
          <w:bCs/>
          <w:color w:val="000000"/>
          <w:sz w:val="20"/>
          <w:szCs w:val="20"/>
        </w:rPr>
        <w:t xml:space="preserve">Die </w:t>
      </w:r>
      <w:r w:rsidRPr="00C905FA">
        <w:rPr>
          <w:b/>
          <w:bCs/>
          <w:color w:val="000000"/>
          <w:sz w:val="20"/>
          <w:szCs w:val="20"/>
        </w:rPr>
        <w:t>Teilnahmegebühr</w:t>
      </w:r>
      <w:r w:rsidRPr="00C905FA">
        <w:rPr>
          <w:bCs/>
          <w:color w:val="000000"/>
          <w:sz w:val="20"/>
          <w:szCs w:val="20"/>
        </w:rPr>
        <w:t xml:space="preserve"> pro Person beträgt </w:t>
      </w:r>
      <w:r w:rsidRPr="00C905FA">
        <w:rPr>
          <w:b/>
          <w:bCs/>
          <w:color w:val="000000"/>
          <w:sz w:val="20"/>
          <w:szCs w:val="20"/>
        </w:rPr>
        <w:t xml:space="preserve">EUR 175,00 (exkl. </w:t>
      </w:r>
      <w:proofErr w:type="spellStart"/>
      <w:r w:rsidRPr="00C905FA">
        <w:rPr>
          <w:b/>
          <w:bCs/>
          <w:color w:val="000000"/>
          <w:sz w:val="20"/>
          <w:szCs w:val="20"/>
        </w:rPr>
        <w:t>Mwst</w:t>
      </w:r>
      <w:proofErr w:type="spellEnd"/>
      <w:r w:rsidRPr="00C905FA">
        <w:rPr>
          <w:bCs/>
          <w:color w:val="000000"/>
          <w:sz w:val="20"/>
          <w:szCs w:val="20"/>
          <w:lang w:val="de-AT"/>
        </w:rPr>
        <w:t>, inkl. Erfrischungsgetränken, Mittagsbuffet sowie Seminarunterlagen</w:t>
      </w:r>
      <w:r w:rsidRPr="00274A8C">
        <w:rPr>
          <w:color w:val="000000"/>
          <w:sz w:val="20"/>
          <w:szCs w:val="20"/>
        </w:rPr>
        <w:t>)</w:t>
      </w:r>
      <w:r w:rsidRPr="00C905FA">
        <w:rPr>
          <w:bCs/>
          <w:color w:val="000000"/>
          <w:sz w:val="20"/>
          <w:szCs w:val="20"/>
        </w:rPr>
        <w:t xml:space="preserve">, die </w:t>
      </w:r>
      <w:r w:rsidRPr="00C905FA">
        <w:rPr>
          <w:b/>
          <w:bCs/>
          <w:color w:val="000000"/>
          <w:sz w:val="20"/>
          <w:szCs w:val="20"/>
        </w:rPr>
        <w:t>Vortragssprache</w:t>
      </w:r>
      <w:r w:rsidRPr="00C905FA">
        <w:rPr>
          <w:bCs/>
          <w:color w:val="000000"/>
          <w:sz w:val="20"/>
          <w:szCs w:val="20"/>
        </w:rPr>
        <w:t xml:space="preserve"> ist </w:t>
      </w:r>
      <w:r w:rsidRPr="00C905FA">
        <w:rPr>
          <w:b/>
          <w:bCs/>
          <w:color w:val="000000"/>
          <w:sz w:val="20"/>
          <w:szCs w:val="20"/>
        </w:rPr>
        <w:t>Englisch</w:t>
      </w:r>
      <w:r w:rsidRPr="00C905FA">
        <w:rPr>
          <w:bCs/>
          <w:color w:val="000000"/>
          <w:sz w:val="20"/>
          <w:szCs w:val="20"/>
        </w:rPr>
        <w:t xml:space="preserve">. </w:t>
      </w:r>
      <w:r w:rsidRPr="00C905FA">
        <w:rPr>
          <w:b/>
          <w:bCs/>
          <w:color w:val="000000"/>
          <w:sz w:val="20"/>
          <w:szCs w:val="20"/>
        </w:rPr>
        <w:t xml:space="preserve">Anmeldeschluss ist der 21. Oktober 2016. </w:t>
      </w:r>
      <w:r w:rsidRPr="00C905FA">
        <w:rPr>
          <w:bCs/>
          <w:color w:val="000000"/>
          <w:sz w:val="20"/>
          <w:szCs w:val="20"/>
        </w:rPr>
        <w:t xml:space="preserve">Die </w:t>
      </w:r>
      <w:hyperlink r:id="rId12" w:history="1">
        <w:r w:rsidRPr="00C905FA">
          <w:rPr>
            <w:rStyle w:val="Hyperlink"/>
            <w:b/>
            <w:color w:val="000000" w:themeColor="text1"/>
            <w:sz w:val="20"/>
            <w:szCs w:val="20"/>
          </w:rPr>
          <w:t>Anmeldung</w:t>
        </w:r>
      </w:hyperlink>
      <w:r w:rsidRPr="00C905FA">
        <w:rPr>
          <w:bCs/>
          <w:color w:val="000000" w:themeColor="text1"/>
          <w:sz w:val="20"/>
          <w:szCs w:val="20"/>
        </w:rPr>
        <w:t xml:space="preserve"> </w:t>
      </w:r>
      <w:r w:rsidRPr="00C905FA">
        <w:rPr>
          <w:bCs/>
          <w:color w:val="000000"/>
          <w:sz w:val="20"/>
          <w:szCs w:val="20"/>
        </w:rPr>
        <w:t xml:space="preserve">ist </w:t>
      </w:r>
      <w:r w:rsidR="00F523F8">
        <w:rPr>
          <w:bCs/>
          <w:color w:val="000000"/>
          <w:sz w:val="20"/>
          <w:szCs w:val="20"/>
        </w:rPr>
        <w:t xml:space="preserve">ab </w:t>
      </w:r>
      <w:r w:rsidR="00CE124D">
        <w:rPr>
          <w:bCs/>
          <w:color w:val="000000"/>
          <w:sz w:val="20"/>
          <w:szCs w:val="20"/>
        </w:rPr>
        <w:t>nächster Woche</w:t>
      </w:r>
      <w:r w:rsidR="00F523F8">
        <w:rPr>
          <w:bCs/>
          <w:color w:val="000000"/>
          <w:sz w:val="20"/>
          <w:szCs w:val="20"/>
        </w:rPr>
        <w:t xml:space="preserve"> </w:t>
      </w:r>
      <w:r w:rsidRPr="00C905FA">
        <w:rPr>
          <w:bCs/>
          <w:color w:val="000000"/>
          <w:sz w:val="20"/>
          <w:szCs w:val="20"/>
        </w:rPr>
        <w:t xml:space="preserve">über die </w:t>
      </w:r>
      <w:hyperlink r:id="rId13" w:history="1">
        <w:r w:rsidRPr="00C905FA">
          <w:rPr>
            <w:rStyle w:val="Hyperlink"/>
            <w:b/>
            <w:color w:val="000000" w:themeColor="text1"/>
            <w:sz w:val="20"/>
            <w:szCs w:val="20"/>
          </w:rPr>
          <w:t xml:space="preserve">Website des </w:t>
        </w:r>
        <w:proofErr w:type="spellStart"/>
        <w:r w:rsidRPr="00C905FA">
          <w:rPr>
            <w:rStyle w:val="Hyperlink"/>
            <w:b/>
            <w:color w:val="000000" w:themeColor="text1"/>
            <w:sz w:val="20"/>
            <w:szCs w:val="20"/>
          </w:rPr>
          <w:t>Sektorseminars</w:t>
        </w:r>
        <w:proofErr w:type="spellEnd"/>
      </w:hyperlink>
      <w:r w:rsidRPr="00C905FA">
        <w:rPr>
          <w:bCs/>
          <w:color w:val="000000"/>
          <w:sz w:val="20"/>
          <w:szCs w:val="20"/>
        </w:rPr>
        <w:t xml:space="preserve"> möglich, auf der Sie auch nähere Informationen</w:t>
      </w:r>
      <w:proofErr w:type="gramStart"/>
      <w:r w:rsidRPr="00C905FA">
        <w:rPr>
          <w:bCs/>
          <w:color w:val="000000"/>
          <w:sz w:val="20"/>
          <w:szCs w:val="20"/>
        </w:rPr>
        <w:t>  zum</w:t>
      </w:r>
      <w:proofErr w:type="gramEnd"/>
      <w:r w:rsidRPr="00C905FA">
        <w:rPr>
          <w:bCs/>
          <w:color w:val="000000"/>
          <w:sz w:val="20"/>
          <w:szCs w:val="20"/>
        </w:rPr>
        <w:t xml:space="preserve"> Veranstaltungsort sowie das vorläufige </w:t>
      </w:r>
      <w:r w:rsidRPr="00C905FA">
        <w:rPr>
          <w:b/>
          <w:bCs/>
          <w:color w:val="000000"/>
          <w:sz w:val="20"/>
          <w:szCs w:val="20"/>
        </w:rPr>
        <w:t>Programm</w:t>
      </w:r>
      <w:r w:rsidRPr="00C905FA">
        <w:rPr>
          <w:bCs/>
          <w:color w:val="000000"/>
          <w:sz w:val="20"/>
          <w:szCs w:val="20"/>
        </w:rPr>
        <w:t xml:space="preserve"> finden</w:t>
      </w:r>
      <w:r w:rsidRPr="00C905FA">
        <w:rPr>
          <w:b/>
          <w:bCs/>
          <w:color w:val="000000"/>
          <w:sz w:val="20"/>
          <w:szCs w:val="20"/>
        </w:rPr>
        <w:t xml:space="preserve">. </w:t>
      </w:r>
    </w:p>
    <w:p w:rsidR="00C905FA" w:rsidRPr="00C905FA" w:rsidRDefault="00C905FA" w:rsidP="00C905FA">
      <w:pPr>
        <w:spacing w:line="280" w:lineRule="exact"/>
        <w:jc w:val="both"/>
        <w:rPr>
          <w:b/>
          <w:bCs/>
          <w:color w:val="000000"/>
          <w:sz w:val="20"/>
          <w:szCs w:val="20"/>
        </w:rPr>
      </w:pPr>
    </w:p>
    <w:p w:rsidR="00C905FA" w:rsidRPr="00C905FA" w:rsidRDefault="00C905FA" w:rsidP="00C905FA">
      <w:pPr>
        <w:spacing w:line="280" w:lineRule="exact"/>
        <w:jc w:val="both"/>
        <w:rPr>
          <w:b/>
          <w:bCs/>
          <w:color w:val="000000"/>
          <w:sz w:val="20"/>
          <w:szCs w:val="20"/>
          <w:lang w:val="de-AT"/>
        </w:rPr>
      </w:pPr>
      <w:r w:rsidRPr="00C905FA">
        <w:rPr>
          <w:b/>
          <w:bCs/>
          <w:color w:val="000000"/>
          <w:sz w:val="20"/>
          <w:szCs w:val="20"/>
          <w:lang w:val="de-AT"/>
        </w:rPr>
        <w:t>Wir freuen uns auf Ihre Teilnahme!</w:t>
      </w:r>
    </w:p>
    <w:p w:rsidR="00C905FA" w:rsidRPr="00C905FA" w:rsidRDefault="00C905FA" w:rsidP="00C905FA">
      <w:pPr>
        <w:spacing w:line="280" w:lineRule="exact"/>
        <w:jc w:val="right"/>
        <w:rPr>
          <w:b/>
          <w:bCs/>
          <w:color w:val="000000"/>
          <w:sz w:val="20"/>
          <w:szCs w:val="20"/>
          <w:u w:val="single"/>
          <w:lang w:val="de-AT"/>
        </w:rPr>
      </w:pPr>
      <w:r w:rsidRPr="00C905FA">
        <w:rPr>
          <w:bCs/>
          <w:color w:val="000000"/>
          <w:sz w:val="20"/>
          <w:szCs w:val="20"/>
          <w:lang w:val="de-AT"/>
        </w:rPr>
        <w:t xml:space="preserve">Ansprechpartner: </w:t>
      </w:r>
      <w:hyperlink r:id="rId14" w:history="1">
        <w:r w:rsidRPr="00C905FA">
          <w:rPr>
            <w:rStyle w:val="Hyperlink"/>
            <w:b/>
            <w:color w:val="000000" w:themeColor="text1"/>
            <w:sz w:val="20"/>
            <w:szCs w:val="20"/>
            <w:lang w:val="de-AT"/>
          </w:rPr>
          <w:t>Martin Schmid</w:t>
        </w:r>
      </w:hyperlink>
    </w:p>
    <w:p w:rsidR="00C905FA" w:rsidRDefault="00C905FA" w:rsidP="00C905FA">
      <w:pPr>
        <w:spacing w:line="280" w:lineRule="exact"/>
        <w:jc w:val="center"/>
        <w:rPr>
          <w:bCs/>
          <w:color w:val="000000" w:themeColor="text1"/>
          <w:sz w:val="18"/>
          <w:szCs w:val="18"/>
        </w:rPr>
      </w:pPr>
    </w:p>
    <w:p w:rsidR="00C905FA" w:rsidRPr="00C905FA" w:rsidRDefault="006859D3" w:rsidP="00C905FA">
      <w:pPr>
        <w:spacing w:line="280" w:lineRule="exact"/>
        <w:jc w:val="center"/>
        <w:rPr>
          <w:b/>
          <w:bCs/>
          <w:color w:val="000000" w:themeColor="text1"/>
          <w:sz w:val="18"/>
          <w:szCs w:val="18"/>
        </w:rPr>
      </w:pPr>
      <w:hyperlink w:anchor="Titelseite" w:history="1">
        <w:r w:rsidR="00C905FA" w:rsidRPr="00C905FA">
          <w:rPr>
            <w:rStyle w:val="Hyperlink"/>
            <w:b/>
            <w:bCs/>
            <w:color w:val="000000" w:themeColor="text1"/>
            <w:sz w:val="18"/>
            <w:szCs w:val="18"/>
            <w:u w:val="none"/>
          </w:rPr>
          <w:t>Inhaltsverzeichnis</w:t>
        </w:r>
      </w:hyperlink>
    </w:p>
    <w:p w:rsidR="00C905FA" w:rsidRPr="00C905FA" w:rsidRDefault="00C905FA" w:rsidP="00E40D37">
      <w:pPr>
        <w:spacing w:line="280" w:lineRule="exact"/>
        <w:jc w:val="both"/>
        <w:rPr>
          <w:bCs/>
          <w:color w:val="000000"/>
          <w:sz w:val="20"/>
          <w:szCs w:val="20"/>
          <w:lang w:val="de-AT"/>
        </w:rPr>
      </w:pPr>
    </w:p>
    <w:sectPr w:rsidR="00C905FA" w:rsidRPr="00C905FA" w:rsidSect="00C905FA">
      <w:type w:val="continuous"/>
      <w:pgSz w:w="11906" w:h="16838" w:code="9"/>
      <w:pgMar w:top="850" w:right="1022" w:bottom="1138" w:left="907" w:header="142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9D3" w:rsidRDefault="006859D3" w:rsidP="001449FF">
      <w:r>
        <w:separator/>
      </w:r>
    </w:p>
  </w:endnote>
  <w:endnote w:type="continuationSeparator" w:id="0">
    <w:p w:rsidR="006859D3" w:rsidRDefault="006859D3" w:rsidP="0014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6E3" w:rsidRPr="004362D2" w:rsidRDefault="00B5084C" w:rsidP="004362D2">
    <w:pPr>
      <w:tabs>
        <w:tab w:val="left" w:pos="0"/>
        <w:tab w:val="center" w:pos="4536"/>
      </w:tabs>
      <w:ind w:right="-284"/>
      <w:rPr>
        <w:color w:val="000000"/>
        <w:sz w:val="18"/>
        <w:szCs w:val="18"/>
        <w:highlight w:val="lightGray"/>
      </w:rPr>
    </w:pPr>
    <w:r>
      <w:rPr>
        <w:noProof/>
        <w:sz w:val="18"/>
        <w:szCs w:val="18"/>
        <w:lang w:val="de-AT" w:eastAsia="de-AT"/>
      </w:rPr>
      <w:drawing>
        <wp:anchor distT="0" distB="0" distL="114300" distR="114300" simplePos="0" relativeHeight="251657728" behindDoc="1" locked="0" layoutInCell="1" allowOverlap="1" wp14:anchorId="21DC5B1E" wp14:editId="1DA05E13">
          <wp:simplePos x="0" y="0"/>
          <wp:positionH relativeFrom="column">
            <wp:posOffset>5615940</wp:posOffset>
          </wp:positionH>
          <wp:positionV relativeFrom="paragraph">
            <wp:posOffset>-111125</wp:posOffset>
          </wp:positionV>
          <wp:extent cx="971550" cy="365760"/>
          <wp:effectExtent l="0" t="0" r="0" b="0"/>
          <wp:wrapNone/>
          <wp:docPr id="25" name="Grafik 7" descr="MiniWKO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MiniWKO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B31" w:rsidRPr="004362D2">
      <w:rPr>
        <w:sz w:val="18"/>
        <w:szCs w:val="18"/>
      </w:rPr>
      <w:fldChar w:fldCharType="begin"/>
    </w:r>
    <w:r w:rsidR="009C46E3" w:rsidRPr="004362D2">
      <w:rPr>
        <w:sz w:val="18"/>
        <w:szCs w:val="18"/>
      </w:rPr>
      <w:instrText xml:space="preserve"> PAGE   \* MERGEFORMAT </w:instrText>
    </w:r>
    <w:r w:rsidR="00710B31" w:rsidRPr="004362D2">
      <w:rPr>
        <w:sz w:val="18"/>
        <w:szCs w:val="18"/>
      </w:rPr>
      <w:fldChar w:fldCharType="separate"/>
    </w:r>
    <w:r w:rsidR="00C905FA">
      <w:rPr>
        <w:noProof/>
        <w:sz w:val="18"/>
        <w:szCs w:val="18"/>
      </w:rPr>
      <w:t>2</w:t>
    </w:r>
    <w:r w:rsidR="00710B31" w:rsidRPr="004362D2">
      <w:rPr>
        <w:sz w:val="18"/>
        <w:szCs w:val="18"/>
      </w:rPr>
      <w:fldChar w:fldCharType="end"/>
    </w:r>
    <w:r w:rsidR="004362D2" w:rsidRPr="004362D2">
      <w:rPr>
        <w:sz w:val="18"/>
        <w:szCs w:val="18"/>
      </w:rPr>
      <w:t xml:space="preserve"> </w:t>
    </w:r>
    <w:r w:rsidR="004362D2" w:rsidRPr="004362D2">
      <w:rPr>
        <w:sz w:val="18"/>
        <w:szCs w:val="18"/>
      </w:rPr>
      <w:tab/>
    </w:r>
    <w:r w:rsidR="004362D2" w:rsidRPr="004362D2">
      <w:rPr>
        <w:color w:val="000000"/>
        <w:sz w:val="18"/>
        <w:szCs w:val="18"/>
        <w:highlight w:val="lightGray"/>
      </w:rPr>
      <w:fldChar w:fldCharType="begin"/>
    </w:r>
    <w:r w:rsidR="004362D2" w:rsidRPr="004362D2">
      <w:rPr>
        <w:color w:val="000000"/>
        <w:sz w:val="18"/>
        <w:szCs w:val="18"/>
        <w:highlight w:val="lightGray"/>
      </w:rPr>
      <w:instrText xml:space="preserve"> DATE  \@ "dd|MM|yyyy"  \* MERGEFORMAT </w:instrText>
    </w:r>
    <w:r w:rsidR="004362D2" w:rsidRPr="004362D2">
      <w:rPr>
        <w:color w:val="000000"/>
        <w:sz w:val="18"/>
        <w:szCs w:val="18"/>
        <w:highlight w:val="lightGray"/>
      </w:rPr>
      <w:fldChar w:fldCharType="separate"/>
    </w:r>
    <w:r w:rsidR="00E06848" w:rsidRPr="00E06848">
      <w:rPr>
        <w:noProof/>
        <w:color w:val="000000"/>
        <w:sz w:val="18"/>
        <w:szCs w:val="18"/>
      </w:rPr>
      <w:t>29|09|2016</w:t>
    </w:r>
    <w:r w:rsidR="004362D2" w:rsidRPr="004362D2">
      <w:rPr>
        <w:color w:val="000000"/>
        <w:sz w:val="18"/>
        <w:szCs w:val="18"/>
        <w:highlight w:val="lightGra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9D3" w:rsidRDefault="006859D3" w:rsidP="001449FF">
      <w:r>
        <w:separator/>
      </w:r>
    </w:p>
  </w:footnote>
  <w:footnote w:type="continuationSeparator" w:id="0">
    <w:p w:rsidR="006859D3" w:rsidRDefault="006859D3" w:rsidP="00144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6E3" w:rsidRPr="0037615B" w:rsidRDefault="009C46E3" w:rsidP="0037615B">
    <w:pPr>
      <w:pStyle w:val="Kopfzeile"/>
      <w:tabs>
        <w:tab w:val="clear" w:pos="4680"/>
        <w:tab w:val="clear" w:pos="9360"/>
      </w:tabs>
      <w:jc w:val="right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j0115864"/>
      </v:shape>
    </w:pict>
  </w:numPicBullet>
  <w:abstractNum w:abstractNumId="0">
    <w:nsid w:val="0605101F"/>
    <w:multiLevelType w:val="hybridMultilevel"/>
    <w:tmpl w:val="4C06F894"/>
    <w:lvl w:ilvl="0" w:tplc="1B6AFF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E76B762">
      <w:numFmt w:val="bullet"/>
      <w:lvlText w:val="-"/>
      <w:lvlJc w:val="left"/>
      <w:pPr>
        <w:ind w:left="1605" w:hanging="525"/>
      </w:pPr>
      <w:rPr>
        <w:rFonts w:ascii="Trebuchet MS" w:eastAsia="Times New Roman" w:hAnsi="Trebuchet MS" w:cs="Times New Roman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3747C"/>
    <w:multiLevelType w:val="hybridMultilevel"/>
    <w:tmpl w:val="4FA4C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27356"/>
    <w:multiLevelType w:val="hybridMultilevel"/>
    <w:tmpl w:val="D0967F46"/>
    <w:lvl w:ilvl="0" w:tplc="706AFCBC">
      <w:start w:val="1"/>
      <w:numFmt w:val="bullet"/>
      <w:lvlText w:val=""/>
      <w:lvlJc w:val="left"/>
      <w:pPr>
        <w:tabs>
          <w:tab w:val="num" w:pos="1361"/>
        </w:tabs>
        <w:ind w:left="1361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>
    <w:nsid w:val="1B2C2352"/>
    <w:multiLevelType w:val="hybridMultilevel"/>
    <w:tmpl w:val="77F8E4E0"/>
    <w:lvl w:ilvl="0" w:tplc="905A34DC">
      <w:start w:val="1"/>
      <w:numFmt w:val="bullet"/>
      <w:lvlText w:val="·"/>
      <w:lvlJc w:val="left"/>
      <w:pPr>
        <w:ind w:left="720" w:hanging="360"/>
      </w:pPr>
      <w:rPr>
        <w:rFonts w:ascii="Trebuchet MS" w:hAnsi="Trebuchet MS" w:hint="default"/>
        <w:color w:val="auto"/>
      </w:rPr>
    </w:lvl>
    <w:lvl w:ilvl="1" w:tplc="FE76B762">
      <w:numFmt w:val="bullet"/>
      <w:lvlText w:val="-"/>
      <w:lvlJc w:val="left"/>
      <w:pPr>
        <w:ind w:left="1605" w:hanging="525"/>
      </w:pPr>
      <w:rPr>
        <w:rFonts w:ascii="Trebuchet MS" w:eastAsia="Times New Roman" w:hAnsi="Trebuchet MS" w:cs="Times New Roman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945CFD"/>
    <w:multiLevelType w:val="hybridMultilevel"/>
    <w:tmpl w:val="63820E3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3E06F2"/>
    <w:multiLevelType w:val="hybridMultilevel"/>
    <w:tmpl w:val="1F94DA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706717E"/>
    <w:multiLevelType w:val="hybridMultilevel"/>
    <w:tmpl w:val="96ACEF4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8761D53"/>
    <w:multiLevelType w:val="hybridMultilevel"/>
    <w:tmpl w:val="5B369CC6"/>
    <w:lvl w:ilvl="0" w:tplc="1AAC9BB2">
      <w:start w:val="1"/>
      <w:numFmt w:val="bullet"/>
      <w:lvlText w:val="∙"/>
      <w:lvlJc w:val="left"/>
      <w:pPr>
        <w:ind w:left="720" w:hanging="36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F51FD8"/>
    <w:multiLevelType w:val="hybridMultilevel"/>
    <w:tmpl w:val="A530D4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90B5291"/>
    <w:multiLevelType w:val="hybridMultilevel"/>
    <w:tmpl w:val="991A1A1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A537551"/>
    <w:multiLevelType w:val="hybridMultilevel"/>
    <w:tmpl w:val="CA360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6B762">
      <w:numFmt w:val="bullet"/>
      <w:lvlText w:val="-"/>
      <w:lvlJc w:val="left"/>
      <w:pPr>
        <w:ind w:left="1605" w:hanging="525"/>
      </w:pPr>
      <w:rPr>
        <w:rFonts w:ascii="Trebuchet MS" w:eastAsia="Times New Roman" w:hAnsi="Trebuchet MS" w:cs="Times New Roman" w:hint="default"/>
      </w:r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E21897"/>
    <w:multiLevelType w:val="hybridMultilevel"/>
    <w:tmpl w:val="1172963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B556FDD"/>
    <w:multiLevelType w:val="hybridMultilevel"/>
    <w:tmpl w:val="7F3214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3A"/>
    <w:rsid w:val="00001B95"/>
    <w:rsid w:val="00005FC2"/>
    <w:rsid w:val="00007515"/>
    <w:rsid w:val="00016252"/>
    <w:rsid w:val="0001740F"/>
    <w:rsid w:val="0002655B"/>
    <w:rsid w:val="00043EFC"/>
    <w:rsid w:val="00046643"/>
    <w:rsid w:val="00047FE0"/>
    <w:rsid w:val="00066B2A"/>
    <w:rsid w:val="0006730F"/>
    <w:rsid w:val="00083083"/>
    <w:rsid w:val="00086284"/>
    <w:rsid w:val="000869A0"/>
    <w:rsid w:val="00090B89"/>
    <w:rsid w:val="00094F33"/>
    <w:rsid w:val="000A09AB"/>
    <w:rsid w:val="000A0DC8"/>
    <w:rsid w:val="000B3149"/>
    <w:rsid w:val="000B39A3"/>
    <w:rsid w:val="000B55FB"/>
    <w:rsid w:val="000C5970"/>
    <w:rsid w:val="000D2F04"/>
    <w:rsid w:val="000E0496"/>
    <w:rsid w:val="000E4EA2"/>
    <w:rsid w:val="000E7888"/>
    <w:rsid w:val="000E7BED"/>
    <w:rsid w:val="00112C9A"/>
    <w:rsid w:val="00133C9E"/>
    <w:rsid w:val="00144621"/>
    <w:rsid w:val="001449FF"/>
    <w:rsid w:val="001607F6"/>
    <w:rsid w:val="001B55C0"/>
    <w:rsid w:val="001D393E"/>
    <w:rsid w:val="001E13F3"/>
    <w:rsid w:val="001E2A68"/>
    <w:rsid w:val="00201BF9"/>
    <w:rsid w:val="0021601A"/>
    <w:rsid w:val="00216710"/>
    <w:rsid w:val="00224E7E"/>
    <w:rsid w:val="002365BF"/>
    <w:rsid w:val="00243636"/>
    <w:rsid w:val="00252D57"/>
    <w:rsid w:val="00253749"/>
    <w:rsid w:val="00265A1E"/>
    <w:rsid w:val="00273109"/>
    <w:rsid w:val="00274A8C"/>
    <w:rsid w:val="002816AD"/>
    <w:rsid w:val="00282010"/>
    <w:rsid w:val="00286922"/>
    <w:rsid w:val="002A39FD"/>
    <w:rsid w:val="002A61DA"/>
    <w:rsid w:val="002B48D3"/>
    <w:rsid w:val="002C4816"/>
    <w:rsid w:val="002D6617"/>
    <w:rsid w:val="003074B5"/>
    <w:rsid w:val="00310CD4"/>
    <w:rsid w:val="00324E5A"/>
    <w:rsid w:val="00332959"/>
    <w:rsid w:val="00336BAA"/>
    <w:rsid w:val="00351049"/>
    <w:rsid w:val="003538C5"/>
    <w:rsid w:val="00356EB8"/>
    <w:rsid w:val="00361B1C"/>
    <w:rsid w:val="00370522"/>
    <w:rsid w:val="00373929"/>
    <w:rsid w:val="0037615B"/>
    <w:rsid w:val="003A0CFF"/>
    <w:rsid w:val="003E5842"/>
    <w:rsid w:val="003E78FE"/>
    <w:rsid w:val="003F61AC"/>
    <w:rsid w:val="003F6937"/>
    <w:rsid w:val="003F7D58"/>
    <w:rsid w:val="00402EB6"/>
    <w:rsid w:val="004042D7"/>
    <w:rsid w:val="00404B5C"/>
    <w:rsid w:val="00406EE1"/>
    <w:rsid w:val="00417283"/>
    <w:rsid w:val="00432C1A"/>
    <w:rsid w:val="00433403"/>
    <w:rsid w:val="004362D2"/>
    <w:rsid w:val="0044392E"/>
    <w:rsid w:val="004471AD"/>
    <w:rsid w:val="00453776"/>
    <w:rsid w:val="00454A53"/>
    <w:rsid w:val="004635DA"/>
    <w:rsid w:val="00477DA5"/>
    <w:rsid w:val="00484D62"/>
    <w:rsid w:val="00485266"/>
    <w:rsid w:val="0048701A"/>
    <w:rsid w:val="004A5ED8"/>
    <w:rsid w:val="004B4BA7"/>
    <w:rsid w:val="004B6E16"/>
    <w:rsid w:val="004C10ED"/>
    <w:rsid w:val="004D39E7"/>
    <w:rsid w:val="004D3EB3"/>
    <w:rsid w:val="004D60C7"/>
    <w:rsid w:val="004E0838"/>
    <w:rsid w:val="004E25B9"/>
    <w:rsid w:val="004E6C77"/>
    <w:rsid w:val="004F03BB"/>
    <w:rsid w:val="00512A4A"/>
    <w:rsid w:val="0053127C"/>
    <w:rsid w:val="005418FB"/>
    <w:rsid w:val="00541C39"/>
    <w:rsid w:val="00573B30"/>
    <w:rsid w:val="00596D08"/>
    <w:rsid w:val="005A39C2"/>
    <w:rsid w:val="005A64FE"/>
    <w:rsid w:val="005C56B5"/>
    <w:rsid w:val="005E1CEC"/>
    <w:rsid w:val="005F0432"/>
    <w:rsid w:val="005F1A02"/>
    <w:rsid w:val="005F3F0F"/>
    <w:rsid w:val="005F43B1"/>
    <w:rsid w:val="005F5021"/>
    <w:rsid w:val="005F6620"/>
    <w:rsid w:val="00607538"/>
    <w:rsid w:val="00615439"/>
    <w:rsid w:val="0062248A"/>
    <w:rsid w:val="00622EBE"/>
    <w:rsid w:val="00635F2C"/>
    <w:rsid w:val="00637904"/>
    <w:rsid w:val="00642938"/>
    <w:rsid w:val="00644DB6"/>
    <w:rsid w:val="00651D6C"/>
    <w:rsid w:val="006747A4"/>
    <w:rsid w:val="006859D3"/>
    <w:rsid w:val="00693058"/>
    <w:rsid w:val="00694DD6"/>
    <w:rsid w:val="0069549A"/>
    <w:rsid w:val="006A4C54"/>
    <w:rsid w:val="006B51C5"/>
    <w:rsid w:val="006E58AE"/>
    <w:rsid w:val="006E6E4F"/>
    <w:rsid w:val="006F1D3A"/>
    <w:rsid w:val="006F2249"/>
    <w:rsid w:val="00704A57"/>
    <w:rsid w:val="00707A38"/>
    <w:rsid w:val="00710B31"/>
    <w:rsid w:val="00711265"/>
    <w:rsid w:val="00717E6F"/>
    <w:rsid w:val="007248F5"/>
    <w:rsid w:val="00742174"/>
    <w:rsid w:val="00750BBA"/>
    <w:rsid w:val="007737C3"/>
    <w:rsid w:val="00774204"/>
    <w:rsid w:val="00786930"/>
    <w:rsid w:val="007952CD"/>
    <w:rsid w:val="007A4807"/>
    <w:rsid w:val="007A7642"/>
    <w:rsid w:val="007C08C9"/>
    <w:rsid w:val="007C08FB"/>
    <w:rsid w:val="007D7032"/>
    <w:rsid w:val="007E78B4"/>
    <w:rsid w:val="007F1034"/>
    <w:rsid w:val="007F26F9"/>
    <w:rsid w:val="007F62A3"/>
    <w:rsid w:val="00802238"/>
    <w:rsid w:val="00804105"/>
    <w:rsid w:val="008118E4"/>
    <w:rsid w:val="00831CA6"/>
    <w:rsid w:val="0084665A"/>
    <w:rsid w:val="008531F8"/>
    <w:rsid w:val="0087599D"/>
    <w:rsid w:val="0088447F"/>
    <w:rsid w:val="008851E9"/>
    <w:rsid w:val="008A75C3"/>
    <w:rsid w:val="008C6AEA"/>
    <w:rsid w:val="008C740F"/>
    <w:rsid w:val="008D291F"/>
    <w:rsid w:val="008D3F3A"/>
    <w:rsid w:val="008E0CE2"/>
    <w:rsid w:val="008F4AAA"/>
    <w:rsid w:val="008F6E03"/>
    <w:rsid w:val="008F7986"/>
    <w:rsid w:val="0090701C"/>
    <w:rsid w:val="00914C14"/>
    <w:rsid w:val="009228CA"/>
    <w:rsid w:val="00925F69"/>
    <w:rsid w:val="00935A30"/>
    <w:rsid w:val="00944B89"/>
    <w:rsid w:val="00954406"/>
    <w:rsid w:val="009639F5"/>
    <w:rsid w:val="0097599B"/>
    <w:rsid w:val="009825C7"/>
    <w:rsid w:val="009832EE"/>
    <w:rsid w:val="00993A5D"/>
    <w:rsid w:val="009966FC"/>
    <w:rsid w:val="00997674"/>
    <w:rsid w:val="009A1924"/>
    <w:rsid w:val="009A22AF"/>
    <w:rsid w:val="009A6F39"/>
    <w:rsid w:val="009B4C8B"/>
    <w:rsid w:val="009B7741"/>
    <w:rsid w:val="009C3A0C"/>
    <w:rsid w:val="009C46E3"/>
    <w:rsid w:val="009D05DA"/>
    <w:rsid w:val="009F3D2B"/>
    <w:rsid w:val="009F46CC"/>
    <w:rsid w:val="009F72D1"/>
    <w:rsid w:val="00A27290"/>
    <w:rsid w:val="00A30CAE"/>
    <w:rsid w:val="00A33BC8"/>
    <w:rsid w:val="00A460B2"/>
    <w:rsid w:val="00A46934"/>
    <w:rsid w:val="00A54DA8"/>
    <w:rsid w:val="00A6317B"/>
    <w:rsid w:val="00A756F7"/>
    <w:rsid w:val="00A83367"/>
    <w:rsid w:val="00A87A2C"/>
    <w:rsid w:val="00AA4270"/>
    <w:rsid w:val="00AC203E"/>
    <w:rsid w:val="00AD1BF3"/>
    <w:rsid w:val="00AD2480"/>
    <w:rsid w:val="00AF089A"/>
    <w:rsid w:val="00B02937"/>
    <w:rsid w:val="00B152FD"/>
    <w:rsid w:val="00B15329"/>
    <w:rsid w:val="00B1645C"/>
    <w:rsid w:val="00B21CFA"/>
    <w:rsid w:val="00B33A25"/>
    <w:rsid w:val="00B458F2"/>
    <w:rsid w:val="00B5084C"/>
    <w:rsid w:val="00B72EC7"/>
    <w:rsid w:val="00B97811"/>
    <w:rsid w:val="00BB7EB6"/>
    <w:rsid w:val="00BC378A"/>
    <w:rsid w:val="00BC756F"/>
    <w:rsid w:val="00BC7A34"/>
    <w:rsid w:val="00BD7875"/>
    <w:rsid w:val="00BE58E2"/>
    <w:rsid w:val="00C02955"/>
    <w:rsid w:val="00C16933"/>
    <w:rsid w:val="00C17B1C"/>
    <w:rsid w:val="00C3077C"/>
    <w:rsid w:val="00C30A3D"/>
    <w:rsid w:val="00C375E5"/>
    <w:rsid w:val="00C520E9"/>
    <w:rsid w:val="00C52B0A"/>
    <w:rsid w:val="00C905FA"/>
    <w:rsid w:val="00C92DA1"/>
    <w:rsid w:val="00CC2F4C"/>
    <w:rsid w:val="00CC7669"/>
    <w:rsid w:val="00CD4C88"/>
    <w:rsid w:val="00CE124D"/>
    <w:rsid w:val="00CE7C3A"/>
    <w:rsid w:val="00CF1AAD"/>
    <w:rsid w:val="00D0000E"/>
    <w:rsid w:val="00D0701A"/>
    <w:rsid w:val="00D07367"/>
    <w:rsid w:val="00D40D26"/>
    <w:rsid w:val="00D463CC"/>
    <w:rsid w:val="00D60648"/>
    <w:rsid w:val="00D63F94"/>
    <w:rsid w:val="00D66CC9"/>
    <w:rsid w:val="00D77FDE"/>
    <w:rsid w:val="00D82673"/>
    <w:rsid w:val="00D9170F"/>
    <w:rsid w:val="00D97621"/>
    <w:rsid w:val="00DA7C9E"/>
    <w:rsid w:val="00DA7E55"/>
    <w:rsid w:val="00DB63D0"/>
    <w:rsid w:val="00DC5279"/>
    <w:rsid w:val="00DD2C8E"/>
    <w:rsid w:val="00DD6AF3"/>
    <w:rsid w:val="00DD6B47"/>
    <w:rsid w:val="00DE15E4"/>
    <w:rsid w:val="00DF0067"/>
    <w:rsid w:val="00DF54D5"/>
    <w:rsid w:val="00E02B83"/>
    <w:rsid w:val="00E04558"/>
    <w:rsid w:val="00E06848"/>
    <w:rsid w:val="00E11E94"/>
    <w:rsid w:val="00E12E92"/>
    <w:rsid w:val="00E22244"/>
    <w:rsid w:val="00E26E13"/>
    <w:rsid w:val="00E32E89"/>
    <w:rsid w:val="00E34C89"/>
    <w:rsid w:val="00E40D37"/>
    <w:rsid w:val="00E468B6"/>
    <w:rsid w:val="00E53D68"/>
    <w:rsid w:val="00E55B53"/>
    <w:rsid w:val="00E67BAB"/>
    <w:rsid w:val="00E76CBD"/>
    <w:rsid w:val="00E8430D"/>
    <w:rsid w:val="00E86745"/>
    <w:rsid w:val="00E92573"/>
    <w:rsid w:val="00EA18E4"/>
    <w:rsid w:val="00EA1E20"/>
    <w:rsid w:val="00EA319A"/>
    <w:rsid w:val="00EA3E38"/>
    <w:rsid w:val="00EA5195"/>
    <w:rsid w:val="00EA7AEF"/>
    <w:rsid w:val="00EB11E7"/>
    <w:rsid w:val="00EB4B47"/>
    <w:rsid w:val="00ED02D3"/>
    <w:rsid w:val="00ED2E6B"/>
    <w:rsid w:val="00EE5A14"/>
    <w:rsid w:val="00EF671D"/>
    <w:rsid w:val="00F03C31"/>
    <w:rsid w:val="00F2555F"/>
    <w:rsid w:val="00F430C6"/>
    <w:rsid w:val="00F51B46"/>
    <w:rsid w:val="00F523F8"/>
    <w:rsid w:val="00F8266C"/>
    <w:rsid w:val="00F85C84"/>
    <w:rsid w:val="00F909FC"/>
    <w:rsid w:val="00FA2D42"/>
    <w:rsid w:val="00FA436E"/>
    <w:rsid w:val="00FB3D7C"/>
    <w:rsid w:val="00FB6040"/>
    <w:rsid w:val="00FC2D12"/>
    <w:rsid w:val="00FC6CE7"/>
    <w:rsid w:val="00FD3D63"/>
    <w:rsid w:val="00FD4DFD"/>
    <w:rsid w:val="00FD62D0"/>
    <w:rsid w:val="00FD77AB"/>
    <w:rsid w:val="00FE00A2"/>
    <w:rsid w:val="00FE277D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0701A"/>
    <w:rPr>
      <w:rFonts w:ascii="Trebuchet MS" w:hAnsi="Trebuchet MS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27290"/>
    <w:pPr>
      <w:spacing w:before="120" w:after="120" w:line="280" w:lineRule="exact"/>
      <w:jc w:val="both"/>
      <w:outlineLvl w:val="0"/>
    </w:pPr>
    <w:rPr>
      <w:b/>
      <w:bCs/>
      <w:noProof/>
      <w:color w:val="000000"/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8C740F"/>
    <w:rPr>
      <w:color w:val="0033CC"/>
      <w:u w:val="single"/>
    </w:rPr>
  </w:style>
  <w:style w:type="paragraph" w:styleId="Textkrper2">
    <w:name w:val="Body Text 2"/>
    <w:basedOn w:val="Standard"/>
    <w:link w:val="Textkrper2Zchn"/>
    <w:rsid w:val="008C740F"/>
    <w:pPr>
      <w:pBdr>
        <w:top w:val="single" w:sz="4" w:space="1" w:color="auto"/>
      </w:pBdr>
      <w:overflowPunct w:val="0"/>
      <w:autoSpaceDE w:val="0"/>
      <w:autoSpaceDN w:val="0"/>
      <w:adjustRightInd w:val="0"/>
      <w:jc w:val="both"/>
      <w:textAlignment w:val="baseline"/>
    </w:pPr>
    <w:rPr>
      <w:rFonts w:ascii="Optima" w:hAnsi="Optima"/>
      <w:b/>
      <w:bCs/>
      <w:sz w:val="24"/>
      <w:szCs w:val="20"/>
    </w:rPr>
  </w:style>
  <w:style w:type="character" w:customStyle="1" w:styleId="Textkrper2Zchn">
    <w:name w:val="Textkörper 2 Zchn"/>
    <w:link w:val="Textkrper2"/>
    <w:rsid w:val="008C740F"/>
    <w:rPr>
      <w:rFonts w:ascii="Optima" w:hAnsi="Optima"/>
      <w:b/>
      <w:bCs/>
      <w:sz w:val="24"/>
      <w:lang w:val="de-DE" w:eastAsia="de-DE"/>
    </w:rPr>
  </w:style>
  <w:style w:type="character" w:styleId="Hervorhebung">
    <w:name w:val="Emphasis"/>
    <w:qFormat/>
    <w:rsid w:val="008C740F"/>
    <w:rPr>
      <w:i/>
      <w:iCs/>
    </w:rPr>
  </w:style>
  <w:style w:type="paragraph" w:styleId="Listenabsatz">
    <w:name w:val="List Paragraph"/>
    <w:basedOn w:val="Standard"/>
    <w:uiPriority w:val="34"/>
    <w:qFormat/>
    <w:rsid w:val="00B21C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4635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635DA"/>
    <w:rPr>
      <w:rFonts w:ascii="Tahoma" w:hAnsi="Tahoma" w:cs="Tahoma"/>
      <w:sz w:val="16"/>
      <w:szCs w:val="16"/>
      <w:lang w:val="de-DE" w:eastAsia="de-DE"/>
    </w:rPr>
  </w:style>
  <w:style w:type="paragraph" w:styleId="Kopfzeile">
    <w:name w:val="header"/>
    <w:basedOn w:val="Standard"/>
    <w:link w:val="KopfzeileZchn"/>
    <w:rsid w:val="001449F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rsid w:val="001449FF"/>
    <w:rPr>
      <w:rFonts w:ascii="Trebuchet MS" w:hAnsi="Trebuchet MS"/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rsid w:val="001449F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rsid w:val="001449FF"/>
    <w:rPr>
      <w:rFonts w:ascii="Trebuchet MS" w:hAnsi="Trebuchet MS"/>
      <w:sz w:val="22"/>
      <w:szCs w:val="22"/>
      <w:lang w:val="de-DE" w:eastAsia="de-DE"/>
    </w:rPr>
  </w:style>
  <w:style w:type="table" w:customStyle="1" w:styleId="Tabellengitternetz">
    <w:name w:val="Tabellengitternetz"/>
    <w:basedOn w:val="NormaleTabelle"/>
    <w:rsid w:val="00694D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ett">
    <w:name w:val="Strong"/>
    <w:uiPriority w:val="22"/>
    <w:qFormat/>
    <w:rsid w:val="007C08FB"/>
    <w:rPr>
      <w:rFonts w:ascii="inherit" w:hAnsi="inherit" w:hint="default"/>
      <w:b/>
      <w:bCs/>
      <w:bdr w:val="none" w:sz="0" w:space="0" w:color="auto" w:frame="1"/>
      <w:vertAlign w:val="baseline"/>
    </w:rPr>
  </w:style>
  <w:style w:type="paragraph" w:styleId="StandardWeb">
    <w:name w:val="Normal (Web)"/>
    <w:basedOn w:val="Standard"/>
    <w:unhideWhenUsed/>
    <w:rsid w:val="007C08F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iret1">
    <w:name w:val="tiret1"/>
    <w:basedOn w:val="Standard"/>
    <w:rsid w:val="0001740F"/>
    <w:pPr>
      <w:snapToGrid w:val="0"/>
      <w:spacing w:after="40"/>
      <w:ind w:left="284" w:hanging="284"/>
      <w:jc w:val="both"/>
    </w:pPr>
    <w:rPr>
      <w:rFonts w:ascii="Arial" w:eastAsia="Calibri" w:hAnsi="Arial" w:cs="Arial"/>
      <w:lang w:val="en-US" w:eastAsia="en-US"/>
    </w:rPr>
  </w:style>
  <w:style w:type="character" w:styleId="SchwacheHervorhebung">
    <w:name w:val="Subtle Emphasis"/>
    <w:uiPriority w:val="19"/>
    <w:qFormat/>
    <w:rsid w:val="0037615B"/>
    <w:rPr>
      <w:i/>
      <w:iCs/>
      <w:color w:val="808080"/>
    </w:rPr>
  </w:style>
  <w:style w:type="paragraph" w:customStyle="1" w:styleId="Default">
    <w:name w:val="Default"/>
    <w:basedOn w:val="Standard"/>
    <w:rsid w:val="00A6317B"/>
    <w:pPr>
      <w:autoSpaceDE w:val="0"/>
      <w:autoSpaceDN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longtext1">
    <w:name w:val="long_text1"/>
    <w:basedOn w:val="Absatz-Standardschriftart"/>
    <w:rsid w:val="00243636"/>
  </w:style>
  <w:style w:type="paragraph" w:styleId="berarbeitung">
    <w:name w:val="Revision"/>
    <w:hidden/>
    <w:uiPriority w:val="99"/>
    <w:semiHidden/>
    <w:rsid w:val="00750BBA"/>
    <w:rPr>
      <w:rFonts w:ascii="Trebuchet MS" w:hAnsi="Trebuchet MS"/>
      <w:sz w:val="22"/>
      <w:szCs w:val="22"/>
      <w:lang w:val="de-DE" w:eastAsia="de-DE"/>
    </w:rPr>
  </w:style>
  <w:style w:type="character" w:styleId="BesuchterHyperlink">
    <w:name w:val="FollowedHyperlink"/>
    <w:rsid w:val="00EA3E38"/>
    <w:rPr>
      <w:color w:val="800080"/>
      <w:u w:val="single"/>
    </w:rPr>
  </w:style>
  <w:style w:type="character" w:customStyle="1" w:styleId="berschrift1Zchn">
    <w:name w:val="Überschrift 1 Zchn"/>
    <w:link w:val="berschrift1"/>
    <w:rsid w:val="00A27290"/>
    <w:rPr>
      <w:rFonts w:ascii="Trebuchet MS" w:hAnsi="Trebuchet MS"/>
      <w:b/>
      <w:bCs/>
      <w:noProof/>
      <w:color w:val="000000"/>
      <w:sz w:val="24"/>
      <w:szCs w:val="24"/>
      <w:lang w:val="de-DE"/>
    </w:rPr>
  </w:style>
  <w:style w:type="table" w:styleId="Tabellenraster">
    <w:name w:val="Table Grid"/>
    <w:basedOn w:val="NormaleTabelle"/>
    <w:rsid w:val="00083083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0701A"/>
    <w:rPr>
      <w:rFonts w:ascii="Trebuchet MS" w:hAnsi="Trebuchet MS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27290"/>
    <w:pPr>
      <w:spacing w:before="120" w:after="120" w:line="280" w:lineRule="exact"/>
      <w:jc w:val="both"/>
      <w:outlineLvl w:val="0"/>
    </w:pPr>
    <w:rPr>
      <w:b/>
      <w:bCs/>
      <w:noProof/>
      <w:color w:val="000000"/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8C740F"/>
    <w:rPr>
      <w:color w:val="0033CC"/>
      <w:u w:val="single"/>
    </w:rPr>
  </w:style>
  <w:style w:type="paragraph" w:styleId="Textkrper2">
    <w:name w:val="Body Text 2"/>
    <w:basedOn w:val="Standard"/>
    <w:link w:val="Textkrper2Zchn"/>
    <w:rsid w:val="008C740F"/>
    <w:pPr>
      <w:pBdr>
        <w:top w:val="single" w:sz="4" w:space="1" w:color="auto"/>
      </w:pBdr>
      <w:overflowPunct w:val="0"/>
      <w:autoSpaceDE w:val="0"/>
      <w:autoSpaceDN w:val="0"/>
      <w:adjustRightInd w:val="0"/>
      <w:jc w:val="both"/>
      <w:textAlignment w:val="baseline"/>
    </w:pPr>
    <w:rPr>
      <w:rFonts w:ascii="Optima" w:hAnsi="Optima"/>
      <w:b/>
      <w:bCs/>
      <w:sz w:val="24"/>
      <w:szCs w:val="20"/>
    </w:rPr>
  </w:style>
  <w:style w:type="character" w:customStyle="1" w:styleId="Textkrper2Zchn">
    <w:name w:val="Textkörper 2 Zchn"/>
    <w:link w:val="Textkrper2"/>
    <w:rsid w:val="008C740F"/>
    <w:rPr>
      <w:rFonts w:ascii="Optima" w:hAnsi="Optima"/>
      <w:b/>
      <w:bCs/>
      <w:sz w:val="24"/>
      <w:lang w:val="de-DE" w:eastAsia="de-DE"/>
    </w:rPr>
  </w:style>
  <w:style w:type="character" w:styleId="Hervorhebung">
    <w:name w:val="Emphasis"/>
    <w:qFormat/>
    <w:rsid w:val="008C740F"/>
    <w:rPr>
      <w:i/>
      <w:iCs/>
    </w:rPr>
  </w:style>
  <w:style w:type="paragraph" w:styleId="Listenabsatz">
    <w:name w:val="List Paragraph"/>
    <w:basedOn w:val="Standard"/>
    <w:uiPriority w:val="34"/>
    <w:qFormat/>
    <w:rsid w:val="00B21C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4635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635DA"/>
    <w:rPr>
      <w:rFonts w:ascii="Tahoma" w:hAnsi="Tahoma" w:cs="Tahoma"/>
      <w:sz w:val="16"/>
      <w:szCs w:val="16"/>
      <w:lang w:val="de-DE" w:eastAsia="de-DE"/>
    </w:rPr>
  </w:style>
  <w:style w:type="paragraph" w:styleId="Kopfzeile">
    <w:name w:val="header"/>
    <w:basedOn w:val="Standard"/>
    <w:link w:val="KopfzeileZchn"/>
    <w:rsid w:val="001449F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rsid w:val="001449FF"/>
    <w:rPr>
      <w:rFonts w:ascii="Trebuchet MS" w:hAnsi="Trebuchet MS"/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rsid w:val="001449F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rsid w:val="001449FF"/>
    <w:rPr>
      <w:rFonts w:ascii="Trebuchet MS" w:hAnsi="Trebuchet MS"/>
      <w:sz w:val="22"/>
      <w:szCs w:val="22"/>
      <w:lang w:val="de-DE" w:eastAsia="de-DE"/>
    </w:rPr>
  </w:style>
  <w:style w:type="table" w:customStyle="1" w:styleId="Tabellengitternetz">
    <w:name w:val="Tabellengitternetz"/>
    <w:basedOn w:val="NormaleTabelle"/>
    <w:rsid w:val="00694D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ett">
    <w:name w:val="Strong"/>
    <w:uiPriority w:val="22"/>
    <w:qFormat/>
    <w:rsid w:val="007C08FB"/>
    <w:rPr>
      <w:rFonts w:ascii="inherit" w:hAnsi="inherit" w:hint="default"/>
      <w:b/>
      <w:bCs/>
      <w:bdr w:val="none" w:sz="0" w:space="0" w:color="auto" w:frame="1"/>
      <w:vertAlign w:val="baseline"/>
    </w:rPr>
  </w:style>
  <w:style w:type="paragraph" w:styleId="StandardWeb">
    <w:name w:val="Normal (Web)"/>
    <w:basedOn w:val="Standard"/>
    <w:unhideWhenUsed/>
    <w:rsid w:val="007C08FB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iret1">
    <w:name w:val="tiret1"/>
    <w:basedOn w:val="Standard"/>
    <w:rsid w:val="0001740F"/>
    <w:pPr>
      <w:snapToGrid w:val="0"/>
      <w:spacing w:after="40"/>
      <w:ind w:left="284" w:hanging="284"/>
      <w:jc w:val="both"/>
    </w:pPr>
    <w:rPr>
      <w:rFonts w:ascii="Arial" w:eastAsia="Calibri" w:hAnsi="Arial" w:cs="Arial"/>
      <w:lang w:val="en-US" w:eastAsia="en-US"/>
    </w:rPr>
  </w:style>
  <w:style w:type="character" w:styleId="SchwacheHervorhebung">
    <w:name w:val="Subtle Emphasis"/>
    <w:uiPriority w:val="19"/>
    <w:qFormat/>
    <w:rsid w:val="0037615B"/>
    <w:rPr>
      <w:i/>
      <w:iCs/>
      <w:color w:val="808080"/>
    </w:rPr>
  </w:style>
  <w:style w:type="paragraph" w:customStyle="1" w:styleId="Default">
    <w:name w:val="Default"/>
    <w:basedOn w:val="Standard"/>
    <w:rsid w:val="00A6317B"/>
    <w:pPr>
      <w:autoSpaceDE w:val="0"/>
      <w:autoSpaceDN w:val="0"/>
    </w:pPr>
    <w:rPr>
      <w:rFonts w:eastAsia="Calibri"/>
      <w:color w:val="000000"/>
      <w:sz w:val="24"/>
      <w:szCs w:val="24"/>
      <w:lang w:val="en-US" w:eastAsia="en-US"/>
    </w:rPr>
  </w:style>
  <w:style w:type="character" w:customStyle="1" w:styleId="longtext1">
    <w:name w:val="long_text1"/>
    <w:basedOn w:val="Absatz-Standardschriftart"/>
    <w:rsid w:val="00243636"/>
  </w:style>
  <w:style w:type="paragraph" w:styleId="berarbeitung">
    <w:name w:val="Revision"/>
    <w:hidden/>
    <w:uiPriority w:val="99"/>
    <w:semiHidden/>
    <w:rsid w:val="00750BBA"/>
    <w:rPr>
      <w:rFonts w:ascii="Trebuchet MS" w:hAnsi="Trebuchet MS"/>
      <w:sz w:val="22"/>
      <w:szCs w:val="22"/>
      <w:lang w:val="de-DE" w:eastAsia="de-DE"/>
    </w:rPr>
  </w:style>
  <w:style w:type="character" w:styleId="BesuchterHyperlink">
    <w:name w:val="FollowedHyperlink"/>
    <w:rsid w:val="00EA3E38"/>
    <w:rPr>
      <w:color w:val="800080"/>
      <w:u w:val="single"/>
    </w:rPr>
  </w:style>
  <w:style w:type="character" w:customStyle="1" w:styleId="berschrift1Zchn">
    <w:name w:val="Überschrift 1 Zchn"/>
    <w:link w:val="berschrift1"/>
    <w:rsid w:val="00A27290"/>
    <w:rPr>
      <w:rFonts w:ascii="Trebuchet MS" w:hAnsi="Trebuchet MS"/>
      <w:b/>
      <w:bCs/>
      <w:noProof/>
      <w:color w:val="000000"/>
      <w:sz w:val="24"/>
      <w:szCs w:val="24"/>
      <w:lang w:val="de-DE"/>
    </w:rPr>
  </w:style>
  <w:style w:type="table" w:styleId="Tabellenraster">
    <w:name w:val="Table Grid"/>
    <w:basedOn w:val="NormaleTabelle"/>
    <w:rsid w:val="00083083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ectorseminars.eu/index.ph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ectorseminars.eu/registration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mailto:martin.schmid@eu.austria.b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portal.wko.at/wk/startseite_dst.wk?AngID=1&amp;DstID=55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574EA-10DA-4594-8237-39ECD43F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WKOe</Company>
  <LinksUpToDate>false</LinksUpToDate>
  <CharactersWithSpaces>2477</CharactersWithSpaces>
  <SharedDoc>false</SharedDoc>
  <HLinks>
    <vt:vector size="186" baseType="variant">
      <vt:variant>
        <vt:i4>7536765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786480</vt:i4>
      </vt:variant>
      <vt:variant>
        <vt:i4>48</vt:i4>
      </vt:variant>
      <vt:variant>
        <vt:i4>0</vt:i4>
      </vt:variant>
      <vt:variant>
        <vt:i4>5</vt:i4>
      </vt:variant>
      <vt:variant>
        <vt:lpwstr>http://portal.wko.at/wk/kontakt_person.wk?AngID=1&amp;JobID=28858&amp;DstID=272</vt:lpwstr>
      </vt:variant>
      <vt:variant>
        <vt:lpwstr/>
      </vt:variant>
      <vt:variant>
        <vt:i4>7536765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7536765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Titelseite</vt:lpwstr>
      </vt:variant>
      <vt:variant>
        <vt:i4>786480</vt:i4>
      </vt:variant>
      <vt:variant>
        <vt:i4>18</vt:i4>
      </vt:variant>
      <vt:variant>
        <vt:i4>0</vt:i4>
      </vt:variant>
      <vt:variant>
        <vt:i4>5</vt:i4>
      </vt:variant>
      <vt:variant>
        <vt:lpwstr>http://portal.wko.at/wk/kontakt_person.wk?AngID=1&amp;JobID=28858&amp;DstID=272</vt:lpwstr>
      </vt:variant>
      <vt:variant>
        <vt:lpwstr/>
      </vt:variant>
      <vt:variant>
        <vt:i4>9764872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EuGHFälle</vt:lpwstr>
      </vt:variant>
      <vt:variant>
        <vt:i4>8126570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TagungenRat</vt:lpwstr>
      </vt:variant>
      <vt:variant>
        <vt:i4>7274592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Plenum</vt:lpwstr>
      </vt:variant>
      <vt:variant>
        <vt:i4>7733496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AusschüsseParlament</vt:lpwstr>
      </vt:variant>
      <vt:variant>
        <vt:i4>983051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SitzungKommisson</vt:lpwstr>
      </vt:variant>
      <vt:variant>
        <vt:i4>4391010</vt:i4>
      </vt:variant>
      <vt:variant>
        <vt:i4>6</vt:i4>
      </vt:variant>
      <vt:variant>
        <vt:i4>0</vt:i4>
      </vt:variant>
      <vt:variant>
        <vt:i4>5</vt:i4>
      </vt:variant>
      <vt:variant>
        <vt:lpwstr>mailto:eu@eu.austria.%20be</vt:lpwstr>
      </vt:variant>
      <vt:variant>
        <vt:lpwstr/>
      </vt:variant>
      <vt:variant>
        <vt:i4>2490384</vt:i4>
      </vt:variant>
      <vt:variant>
        <vt:i4>3</vt:i4>
      </vt:variant>
      <vt:variant>
        <vt:i4>0</vt:i4>
      </vt:variant>
      <vt:variant>
        <vt:i4>5</vt:i4>
      </vt:variant>
      <vt:variant>
        <vt:lpwstr>mailto:Franziska.Annerl@eu.austria.be</vt:lpwstr>
      </vt:variant>
      <vt:variant>
        <vt:lpwstr/>
      </vt:variant>
      <vt:variant>
        <vt:i4>524381</vt:i4>
      </vt:variant>
      <vt:variant>
        <vt:i4>0</vt:i4>
      </vt:variant>
      <vt:variant>
        <vt:i4>0</vt:i4>
      </vt:variant>
      <vt:variant>
        <vt:i4>5</vt:i4>
      </vt:variant>
      <vt:variant>
        <vt:lpwstr>http://wko.at/eu</vt:lpwstr>
      </vt:variant>
      <vt:variant>
        <vt:lpwstr/>
      </vt:variant>
      <vt:variant>
        <vt:i4>2097231</vt:i4>
      </vt:variant>
      <vt:variant>
        <vt:i4>-1</vt:i4>
      </vt:variant>
      <vt:variant>
        <vt:i4>2049</vt:i4>
      </vt:variant>
      <vt:variant>
        <vt:i4>4</vt:i4>
      </vt:variant>
      <vt:variant>
        <vt:lpwstr>http://portal.wko.at/wk/startseite_dst.wk?AngID=1&amp;DstID=558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Thiemer Petra, EUBruessel</dc:creator>
  <cp:lastModifiedBy>Richter Rosa, WKÖ EU</cp:lastModifiedBy>
  <cp:revision>2</cp:revision>
  <cp:lastPrinted>2016-08-05T06:42:00Z</cp:lastPrinted>
  <dcterms:created xsi:type="dcterms:W3CDTF">2016-09-29T07:57:00Z</dcterms:created>
  <dcterms:modified xsi:type="dcterms:W3CDTF">2016-09-29T07:57:00Z</dcterms:modified>
</cp:coreProperties>
</file>