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5CFD3" w14:textId="77777777" w:rsidR="001F374D" w:rsidRDefault="001F374D"/>
    <w:p w14:paraId="27829803" w14:textId="77777777" w:rsidR="001F374D" w:rsidRDefault="001F374D"/>
    <w:p w14:paraId="2C1707BC" w14:textId="4BA66782" w:rsidR="009C4C3A" w:rsidRPr="009C4C3A" w:rsidRDefault="009C4C3A" w:rsidP="009C4C3A">
      <w:pPr>
        <w:spacing w:before="100" w:beforeAutospacing="1" w:after="100" w:afterAutospacing="1" w:line="276" w:lineRule="auto"/>
        <w:contextualSpacing/>
        <w:rPr>
          <w:rFonts w:ascii="PalatinoLinotype" w:eastAsiaTheme="minorHAnsi" w:hAnsi="PalatinoLinotype" w:cs="PalatinoLinotype"/>
          <w:b/>
          <w:sz w:val="28"/>
          <w:szCs w:val="28"/>
          <w:lang w:eastAsia="en-US"/>
        </w:rPr>
      </w:pPr>
      <w:r w:rsidRPr="009C4C3A">
        <w:rPr>
          <w:rFonts w:ascii="PalatinoLinotype" w:eastAsiaTheme="minorHAnsi" w:hAnsi="PalatinoLinotype" w:cs="PalatinoLinotype"/>
          <w:b/>
          <w:sz w:val="28"/>
          <w:szCs w:val="28"/>
          <w:lang w:eastAsia="en-US"/>
        </w:rPr>
        <w:t>Registrierkassenpflicht</w:t>
      </w:r>
    </w:p>
    <w:p w14:paraId="0A907A96" w14:textId="77777777" w:rsidR="009C4C3A" w:rsidRPr="009C4C3A" w:rsidRDefault="009C4C3A" w:rsidP="009C4C3A">
      <w:pPr>
        <w:spacing w:before="100" w:beforeAutospacing="1" w:after="100" w:afterAutospacing="1" w:line="276" w:lineRule="auto"/>
        <w:contextualSpacing/>
        <w:rPr>
          <w:rFonts w:ascii="PalatinoLinotype" w:eastAsiaTheme="minorHAnsi" w:hAnsi="PalatinoLinotype" w:cs="PalatinoLinotype"/>
          <w:sz w:val="24"/>
          <w:szCs w:val="24"/>
          <w:lang w:eastAsia="en-US"/>
        </w:rPr>
      </w:pPr>
    </w:p>
    <w:p w14:paraId="63BB8450" w14:textId="77777777" w:rsidR="009C4C3A" w:rsidRPr="009C4C3A" w:rsidRDefault="009C4C3A" w:rsidP="009C4C3A">
      <w:pPr>
        <w:spacing w:before="100" w:beforeAutospacing="1" w:after="100" w:afterAutospacing="1" w:line="276" w:lineRule="auto"/>
        <w:contextualSpacing/>
        <w:jc w:val="both"/>
        <w:rPr>
          <w:rFonts w:ascii="PalatinoLinotype" w:eastAsiaTheme="minorHAnsi" w:hAnsi="PalatinoLinotype" w:cs="PalatinoLinotype"/>
          <w:sz w:val="18"/>
          <w:szCs w:val="18"/>
          <w:lang w:eastAsia="en-US"/>
        </w:rPr>
      </w:pPr>
      <w:r w:rsidRPr="009C4C3A">
        <w:rPr>
          <w:rFonts w:ascii="PalatinoLinotype" w:eastAsiaTheme="minorHAnsi" w:hAnsi="PalatinoLinotype" w:cs="PalatinoLinotype"/>
          <w:sz w:val="18"/>
          <w:szCs w:val="18"/>
          <w:lang w:eastAsia="en-US"/>
        </w:rPr>
        <w:t>Ab 1. 1. 2016 sind Bareingänge sowohl für Buchführungs</w:t>
      </w:r>
      <w:r w:rsidRPr="009C4C3A">
        <w:rPr>
          <w:rFonts w:ascii="PalatinoLinotype" w:eastAsiaTheme="minorHAnsi" w:hAnsi="PalatinoLinotype" w:cs="PalatinoLinotype"/>
          <w:sz w:val="18"/>
          <w:szCs w:val="18"/>
          <w:lang w:eastAsia="en-US"/>
        </w:rPr>
        <w:softHyphen/>
        <w:t>pflichtige (</w:t>
      </w:r>
      <w:proofErr w:type="spellStart"/>
      <w:r w:rsidRPr="009C4C3A">
        <w:rPr>
          <w:rFonts w:ascii="PalatinoLinotype" w:eastAsiaTheme="minorHAnsi" w:hAnsi="PalatinoLinotype" w:cs="PalatinoLinotype"/>
          <w:sz w:val="18"/>
          <w:szCs w:val="18"/>
          <w:lang w:eastAsia="en-US"/>
        </w:rPr>
        <w:t>Bilanzierer</w:t>
      </w:r>
      <w:proofErr w:type="spellEnd"/>
      <w:r w:rsidRPr="009C4C3A">
        <w:rPr>
          <w:rFonts w:ascii="PalatinoLinotype" w:eastAsiaTheme="minorHAnsi" w:hAnsi="PalatinoLinotype" w:cs="PalatinoLinotype"/>
          <w:sz w:val="18"/>
          <w:szCs w:val="18"/>
          <w:lang w:eastAsia="en-US"/>
        </w:rPr>
        <w:t>) als auch für Einnahmen-Ausgaben-Rechner täglich einzeln aufzuzeichnen. Wenn die Jahresumsätze des jeweiligen Betriebs 15.000 Euro überschreiten und gleichzeitig die Barumsätze über 7.500 Euro liegen, ist zudem verpflichtend eine elektronische Registrierkasse zu verwenden. Die bloße Einzelaufzeichnungs</w:t>
      </w:r>
      <w:r w:rsidRPr="009C4C3A">
        <w:rPr>
          <w:rFonts w:ascii="PalatinoLinotype" w:eastAsiaTheme="minorHAnsi" w:hAnsi="PalatinoLinotype" w:cs="PalatinoLinotype"/>
          <w:sz w:val="18"/>
          <w:szCs w:val="18"/>
          <w:lang w:eastAsia="en-US"/>
        </w:rPr>
        <w:softHyphen/>
        <w:t>pflicht für Barumsätze (ohne Registrierkasse) gilt jedoch auch unter diesen Umsatzgrenzen. Gleichzeitig wurde die Belegerteilungs</w:t>
      </w:r>
      <w:r w:rsidRPr="009C4C3A">
        <w:rPr>
          <w:rFonts w:ascii="PalatinoLinotype" w:eastAsiaTheme="minorHAnsi" w:hAnsi="PalatinoLinotype" w:cs="PalatinoLinotype"/>
          <w:sz w:val="18"/>
          <w:szCs w:val="18"/>
          <w:lang w:eastAsia="en-US"/>
        </w:rPr>
        <w:softHyphen/>
        <w:t>pflicht bei Barumsätzen eingeführt, wobei ein Beleg vom Leistungsempfänger bis außerhalb der Geschäftsräumlichkeiten mitzunehmen ist.</w:t>
      </w:r>
    </w:p>
    <w:p w14:paraId="2BCFD744" w14:textId="77777777" w:rsidR="009C4C3A" w:rsidRPr="009C4C3A" w:rsidRDefault="009C4C3A" w:rsidP="009C4C3A">
      <w:pPr>
        <w:spacing w:before="100" w:beforeAutospacing="1" w:after="100" w:afterAutospacing="1" w:line="276" w:lineRule="auto"/>
        <w:contextualSpacing/>
        <w:jc w:val="both"/>
        <w:rPr>
          <w:rFonts w:ascii="PalatinoLinotype" w:eastAsiaTheme="minorHAnsi" w:hAnsi="PalatinoLinotype" w:cs="PalatinoLinotype"/>
          <w:sz w:val="24"/>
          <w:szCs w:val="24"/>
          <w:lang w:eastAsia="en-US"/>
        </w:rPr>
      </w:pPr>
    </w:p>
    <w:p w14:paraId="5F821C40" w14:textId="77777777" w:rsidR="009C4C3A" w:rsidRPr="009C4C3A" w:rsidRDefault="009C4C3A" w:rsidP="009C4C3A">
      <w:pPr>
        <w:spacing w:before="100" w:beforeAutospacing="1" w:after="100" w:afterAutospacing="1" w:line="276" w:lineRule="auto"/>
        <w:contextualSpacing/>
        <w:jc w:val="both"/>
        <w:rPr>
          <w:rFonts w:ascii="PalatinoLinotype" w:eastAsiaTheme="minorHAnsi" w:hAnsi="PalatinoLinotype" w:cs="PalatinoLinotype"/>
          <w:sz w:val="24"/>
          <w:szCs w:val="24"/>
          <w:lang w:eastAsia="en-US"/>
        </w:rPr>
      </w:pPr>
      <w:r w:rsidRPr="009C4C3A">
        <w:rPr>
          <w:rFonts w:ascii="PalatinoLinotype" w:eastAsiaTheme="minorHAnsi" w:hAnsi="PalatinoLinotype" w:cs="PalatinoLinotype"/>
          <w:sz w:val="24"/>
          <w:szCs w:val="24"/>
          <w:lang w:eastAsia="en-US"/>
        </w:rPr>
        <w:t>Begriff Barumsatz</w:t>
      </w:r>
    </w:p>
    <w:p w14:paraId="1D82A735" w14:textId="77777777" w:rsidR="009C4C3A" w:rsidRPr="009C4C3A" w:rsidRDefault="009C4C3A" w:rsidP="009C4C3A">
      <w:pPr>
        <w:spacing w:before="100" w:beforeAutospacing="1" w:after="100" w:afterAutospacing="1" w:line="276" w:lineRule="auto"/>
        <w:contextualSpacing/>
        <w:jc w:val="both"/>
        <w:rPr>
          <w:rFonts w:ascii="PalatinoLinotype" w:eastAsiaTheme="minorHAnsi" w:hAnsi="PalatinoLinotype" w:cs="PalatinoLinotype"/>
          <w:sz w:val="18"/>
          <w:szCs w:val="18"/>
          <w:lang w:eastAsia="en-US"/>
        </w:rPr>
      </w:pPr>
      <w:r w:rsidRPr="009C4C3A">
        <w:rPr>
          <w:rFonts w:ascii="PalatinoLinotype" w:eastAsiaTheme="minorHAnsi" w:hAnsi="PalatinoLinotype" w:cs="PalatinoLinotype"/>
          <w:sz w:val="18"/>
          <w:szCs w:val="18"/>
          <w:lang w:eastAsia="en-US"/>
        </w:rPr>
        <w:t>Als Barumsätze gelten neben Zahlungen mit physischem Bargeld auch Zahlungen mit Bankomatk</w:t>
      </w:r>
      <w:r w:rsidRPr="009C4C3A">
        <w:rPr>
          <w:rFonts w:ascii="PalatinoLinotype" w:eastAsiaTheme="minorHAnsi" w:hAnsi="PalatinoLinotype" w:cs="PalatinoLinotype"/>
          <w:sz w:val="18"/>
          <w:szCs w:val="18"/>
          <w:lang w:eastAsia="en-US"/>
        </w:rPr>
        <w:softHyphen/>
        <w:t>arte und Kreditk</w:t>
      </w:r>
      <w:r w:rsidRPr="009C4C3A">
        <w:rPr>
          <w:rFonts w:ascii="PalatinoLinotype" w:eastAsiaTheme="minorHAnsi" w:hAnsi="PalatinoLinotype" w:cs="PalatinoLinotype"/>
          <w:sz w:val="18"/>
          <w:szCs w:val="18"/>
          <w:lang w:eastAsia="en-US"/>
        </w:rPr>
        <w:softHyphen/>
        <w:t>arte (bzw. ähnliche elektronische Zahlungsformen) sowie Barschecks und von Unternehmen ausge</w:t>
      </w:r>
      <w:r w:rsidRPr="009C4C3A">
        <w:rPr>
          <w:rFonts w:ascii="PalatinoLinotype" w:eastAsiaTheme="minorHAnsi" w:hAnsi="PalatinoLinotype" w:cs="PalatinoLinotype"/>
          <w:sz w:val="18"/>
          <w:szCs w:val="18"/>
          <w:lang w:eastAsia="en-US"/>
        </w:rPr>
        <w:softHyphen/>
        <w:t>gebene Gutscheine/Bons/Geschenkmünzen und dergleichen.</w:t>
      </w:r>
    </w:p>
    <w:p w14:paraId="38555B92" w14:textId="77777777" w:rsidR="009C4C3A" w:rsidRPr="009C4C3A" w:rsidRDefault="009C4C3A" w:rsidP="009C4C3A">
      <w:pPr>
        <w:spacing w:before="100" w:beforeAutospacing="1" w:after="100" w:afterAutospacing="1" w:line="276" w:lineRule="auto"/>
        <w:contextualSpacing/>
        <w:jc w:val="both"/>
        <w:rPr>
          <w:rFonts w:ascii="PalatinoLinotype" w:eastAsiaTheme="minorHAnsi" w:hAnsi="PalatinoLinotype" w:cs="PalatinoLinotype"/>
          <w:sz w:val="24"/>
          <w:szCs w:val="24"/>
          <w:lang w:eastAsia="en-US"/>
        </w:rPr>
      </w:pPr>
    </w:p>
    <w:p w14:paraId="3DA6B62C" w14:textId="77777777" w:rsidR="009C4C3A" w:rsidRPr="009C4C3A" w:rsidRDefault="009C4C3A" w:rsidP="009C4C3A">
      <w:pPr>
        <w:spacing w:before="100" w:beforeAutospacing="1" w:after="100" w:afterAutospacing="1" w:line="276" w:lineRule="auto"/>
        <w:contextualSpacing/>
        <w:jc w:val="both"/>
        <w:rPr>
          <w:rFonts w:ascii="PalatinoLinotype" w:eastAsiaTheme="minorHAnsi" w:hAnsi="PalatinoLinotype" w:cs="PalatinoLinotype"/>
          <w:sz w:val="24"/>
          <w:szCs w:val="24"/>
          <w:lang w:eastAsia="en-US"/>
        </w:rPr>
      </w:pPr>
      <w:r w:rsidRPr="009C4C3A">
        <w:rPr>
          <w:rFonts w:ascii="PalatinoLinotype" w:eastAsiaTheme="minorHAnsi" w:hAnsi="PalatinoLinotype" w:cs="PalatinoLinotype"/>
          <w:sz w:val="24"/>
          <w:szCs w:val="24"/>
          <w:lang w:eastAsia="en-US"/>
        </w:rPr>
        <w:t>Inkrafttreten</w:t>
      </w:r>
    </w:p>
    <w:p w14:paraId="3FA7906C" w14:textId="77777777" w:rsidR="009C4C3A" w:rsidRPr="009C4C3A" w:rsidRDefault="009C4C3A" w:rsidP="009C4C3A">
      <w:pPr>
        <w:spacing w:before="100" w:beforeAutospacing="1" w:after="100" w:afterAutospacing="1" w:line="276" w:lineRule="auto"/>
        <w:contextualSpacing/>
        <w:jc w:val="both"/>
        <w:rPr>
          <w:rFonts w:ascii="PalatinoLinotype" w:eastAsiaTheme="minorHAnsi" w:hAnsi="PalatinoLinotype" w:cs="PalatinoLinotype"/>
          <w:sz w:val="24"/>
          <w:szCs w:val="24"/>
          <w:lang w:eastAsia="en-US"/>
        </w:rPr>
      </w:pPr>
      <w:r w:rsidRPr="009C4C3A">
        <w:rPr>
          <w:rFonts w:ascii="PalatinoLinotype" w:eastAsiaTheme="minorHAnsi" w:hAnsi="PalatinoLinotype" w:cs="PalatinoLinotype"/>
          <w:sz w:val="18"/>
          <w:szCs w:val="18"/>
          <w:lang w:eastAsia="en-US"/>
        </w:rPr>
        <w:t>Grundsätzlich gelten die neuen Bestimmungen zur Registrierkassen</w:t>
      </w:r>
      <w:r w:rsidRPr="009C4C3A">
        <w:rPr>
          <w:rFonts w:ascii="PalatinoLinotype" w:eastAsiaTheme="minorHAnsi" w:hAnsi="PalatinoLinotype" w:cs="PalatinoLinotype"/>
          <w:sz w:val="18"/>
          <w:szCs w:val="18"/>
          <w:lang w:eastAsia="en-US"/>
        </w:rPr>
        <w:softHyphen/>
        <w:t>pflicht erst ab 1. 1. 2016 (</w:t>
      </w:r>
      <w:hyperlink r:id="rId8" w:history="1">
        <w:r w:rsidRPr="009C4C3A">
          <w:rPr>
            <w:rFonts w:ascii="PalatinoLinotype" w:eastAsiaTheme="minorHAnsi" w:hAnsi="PalatinoLinotype" w:cs="PalatinoLinotype"/>
            <w:sz w:val="18"/>
            <w:szCs w:val="18"/>
            <w:lang w:eastAsia="en-US"/>
          </w:rPr>
          <w:t xml:space="preserve">§ 323 </w:t>
        </w:r>
        <w:proofErr w:type="spellStart"/>
        <w:r w:rsidRPr="009C4C3A">
          <w:rPr>
            <w:rFonts w:ascii="PalatinoLinotype" w:eastAsiaTheme="minorHAnsi" w:hAnsi="PalatinoLinotype" w:cs="PalatinoLinotype"/>
            <w:sz w:val="18"/>
            <w:szCs w:val="18"/>
            <w:lang w:eastAsia="en-US"/>
          </w:rPr>
          <w:t>Abs</w:t>
        </w:r>
        <w:proofErr w:type="spellEnd"/>
        <w:r w:rsidRPr="009C4C3A">
          <w:rPr>
            <w:rFonts w:ascii="PalatinoLinotype" w:eastAsiaTheme="minorHAnsi" w:hAnsi="PalatinoLinotype" w:cs="PalatinoLinotype"/>
            <w:sz w:val="18"/>
            <w:szCs w:val="18"/>
            <w:lang w:eastAsia="en-US"/>
          </w:rPr>
          <w:t> 45 BAO)</w:t>
        </w:r>
      </w:hyperlink>
      <w:r w:rsidRPr="009C4C3A">
        <w:rPr>
          <w:rFonts w:ascii="PalatinoLinotype" w:eastAsiaTheme="minorHAnsi" w:hAnsi="PalatinoLinotype" w:cs="PalatinoLinotype"/>
          <w:sz w:val="18"/>
          <w:szCs w:val="18"/>
          <w:lang w:eastAsia="en-US"/>
        </w:rPr>
        <w:t>, wenn die Umsatzgrenzen 2015 überschritten wurden. Ab 1. 1. 2017 ist die Registrierkasse zusätzlich mit einer elektronischen Sicherheitseinrichtung auszustatten.</w:t>
      </w:r>
      <w:r w:rsidRPr="009C4C3A">
        <w:rPr>
          <w:rFonts w:ascii="PalatinoLinotype" w:eastAsiaTheme="minorHAnsi" w:hAnsi="PalatinoLinotype" w:cs="PalatinoLinotype"/>
          <w:sz w:val="24"/>
          <w:szCs w:val="24"/>
          <w:lang w:eastAsia="en-US"/>
        </w:rPr>
        <w:t xml:space="preserve"> </w:t>
      </w:r>
    </w:p>
    <w:p w14:paraId="1A5C624B" w14:textId="77777777" w:rsidR="009C4C3A" w:rsidRPr="009C4C3A" w:rsidRDefault="009C4C3A" w:rsidP="009C4C3A">
      <w:pPr>
        <w:spacing w:before="100" w:beforeAutospacing="1" w:after="100" w:afterAutospacing="1" w:line="276" w:lineRule="auto"/>
        <w:contextualSpacing/>
        <w:jc w:val="both"/>
        <w:rPr>
          <w:rFonts w:ascii="PalatinoLinotype" w:eastAsiaTheme="minorHAnsi" w:hAnsi="PalatinoLinotype" w:cs="PalatinoLinotype"/>
          <w:sz w:val="24"/>
          <w:szCs w:val="24"/>
          <w:lang w:eastAsia="en-US"/>
        </w:rPr>
      </w:pPr>
    </w:p>
    <w:p w14:paraId="65338FAA" w14:textId="77777777" w:rsidR="009C4C3A" w:rsidRPr="009C4C3A" w:rsidRDefault="009C4C3A" w:rsidP="009C4C3A">
      <w:pPr>
        <w:spacing w:before="100" w:beforeAutospacing="1" w:after="100" w:afterAutospacing="1" w:line="276" w:lineRule="auto"/>
        <w:contextualSpacing/>
        <w:jc w:val="both"/>
        <w:rPr>
          <w:rFonts w:ascii="PalatinoLinotype" w:eastAsiaTheme="minorHAnsi" w:hAnsi="PalatinoLinotype" w:cs="PalatinoLinotype"/>
          <w:sz w:val="24"/>
          <w:szCs w:val="24"/>
          <w:lang w:eastAsia="en-US"/>
        </w:rPr>
      </w:pPr>
      <w:r w:rsidRPr="009C4C3A">
        <w:rPr>
          <w:rFonts w:ascii="PalatinoLinotype" w:eastAsiaTheme="minorHAnsi" w:hAnsi="PalatinoLinotype" w:cs="PalatinoLinotype"/>
          <w:sz w:val="24"/>
          <w:szCs w:val="24"/>
          <w:lang w:eastAsia="en-US"/>
        </w:rPr>
        <w:t>Ausnahmen von der Registrierkassenpflicht</w:t>
      </w:r>
    </w:p>
    <w:p w14:paraId="061B6459" w14:textId="77777777" w:rsidR="009C4C3A" w:rsidRPr="009C4C3A" w:rsidRDefault="009C4C3A" w:rsidP="009C4C3A">
      <w:pPr>
        <w:spacing w:before="100" w:beforeAutospacing="1" w:after="100" w:afterAutospacing="1" w:line="276" w:lineRule="auto"/>
        <w:contextualSpacing/>
        <w:jc w:val="both"/>
        <w:rPr>
          <w:rFonts w:ascii="PalatinoLinotype" w:eastAsiaTheme="minorHAnsi" w:hAnsi="PalatinoLinotype" w:cs="PalatinoLinotype"/>
          <w:sz w:val="18"/>
          <w:szCs w:val="18"/>
          <w:lang w:eastAsia="en-US"/>
        </w:rPr>
      </w:pPr>
      <w:r w:rsidRPr="009C4C3A">
        <w:rPr>
          <w:rFonts w:ascii="PalatinoLinotype" w:eastAsiaTheme="minorHAnsi" w:hAnsi="PalatinoLinotype" w:cs="PalatinoLinotype"/>
          <w:sz w:val="18"/>
          <w:szCs w:val="18"/>
          <w:lang w:eastAsia="en-US"/>
        </w:rPr>
        <w:t>Der Gesetzgeber hat einige Ausnahmen von der Registrierkassen</w:t>
      </w:r>
      <w:r w:rsidRPr="009C4C3A">
        <w:rPr>
          <w:rFonts w:ascii="PalatinoLinotype" w:eastAsiaTheme="minorHAnsi" w:hAnsi="PalatinoLinotype" w:cs="PalatinoLinotype"/>
          <w:sz w:val="18"/>
          <w:szCs w:val="18"/>
          <w:lang w:eastAsia="en-US"/>
        </w:rPr>
        <w:softHyphen/>
        <w:t>pflicht geschaffen. So unterliegen nach der „Kalte-Hände-Regel“ Betriebe, die ihre Umsätze außerhalb von Gebäuden erzielen (</w:t>
      </w:r>
      <w:proofErr w:type="spellStart"/>
      <w:r w:rsidRPr="009C4C3A">
        <w:rPr>
          <w:rFonts w:ascii="PalatinoLinotype" w:eastAsiaTheme="minorHAnsi" w:hAnsi="PalatinoLinotype" w:cs="PalatinoLinotype"/>
          <w:sz w:val="18"/>
          <w:szCs w:val="18"/>
          <w:lang w:eastAsia="en-US"/>
        </w:rPr>
        <w:t>zB</w:t>
      </w:r>
      <w:proofErr w:type="spellEnd"/>
      <w:r w:rsidRPr="009C4C3A">
        <w:rPr>
          <w:rFonts w:ascii="PalatinoLinotype" w:eastAsiaTheme="minorHAnsi" w:hAnsi="PalatinoLinotype" w:cs="PalatinoLinotype"/>
          <w:sz w:val="18"/>
          <w:szCs w:val="18"/>
          <w:lang w:eastAsia="en-US"/>
        </w:rPr>
        <w:t xml:space="preserve"> Maronibrater, Christbaumhändler etc.), mit Jahresumsätzen von bis zu 30.000 Euro nicht der Registrierkassenpflicht, sondern Barumsätze können nach wie vor durch Kassasturz ermittelt werden. Auch für gemeinnützige Rechtsträger (</w:t>
      </w:r>
      <w:hyperlink r:id="rId9" w:history="1">
        <w:r w:rsidRPr="009C4C3A">
          <w:rPr>
            <w:rFonts w:ascii="PalatinoLinotype" w:eastAsiaTheme="minorHAnsi" w:hAnsi="PalatinoLinotype" w:cs="PalatinoLinotype"/>
            <w:sz w:val="18"/>
            <w:szCs w:val="18"/>
            <w:lang w:eastAsia="en-US"/>
          </w:rPr>
          <w:t xml:space="preserve">§ 45 </w:t>
        </w:r>
        <w:proofErr w:type="spellStart"/>
        <w:r w:rsidRPr="009C4C3A">
          <w:rPr>
            <w:rFonts w:ascii="PalatinoLinotype" w:eastAsiaTheme="minorHAnsi" w:hAnsi="PalatinoLinotype" w:cs="PalatinoLinotype"/>
            <w:sz w:val="18"/>
            <w:szCs w:val="18"/>
            <w:lang w:eastAsia="en-US"/>
          </w:rPr>
          <w:t>Abs</w:t>
        </w:r>
        <w:proofErr w:type="spellEnd"/>
        <w:r w:rsidRPr="009C4C3A">
          <w:rPr>
            <w:rFonts w:ascii="PalatinoLinotype" w:eastAsiaTheme="minorHAnsi" w:hAnsi="PalatinoLinotype" w:cs="PalatinoLinotype"/>
            <w:sz w:val="18"/>
            <w:szCs w:val="18"/>
            <w:lang w:eastAsia="en-US"/>
          </w:rPr>
          <w:t> 1 und 2 BAO)</w:t>
        </w:r>
      </w:hyperlink>
      <w:r w:rsidRPr="009C4C3A">
        <w:rPr>
          <w:rFonts w:ascii="PalatinoLinotype" w:eastAsiaTheme="minorHAnsi" w:hAnsi="PalatinoLinotype" w:cs="PalatinoLinotype"/>
          <w:sz w:val="18"/>
          <w:szCs w:val="18"/>
          <w:lang w:eastAsia="en-US"/>
        </w:rPr>
        <w:t>, Waren- und Dienst</w:t>
      </w:r>
      <w:r w:rsidRPr="009C4C3A">
        <w:rPr>
          <w:rFonts w:ascii="PalatinoLinotype" w:eastAsiaTheme="minorHAnsi" w:hAnsi="PalatinoLinotype" w:cs="PalatinoLinotype"/>
          <w:sz w:val="18"/>
          <w:szCs w:val="18"/>
          <w:lang w:eastAsia="en-US"/>
        </w:rPr>
        <w:softHyphen/>
        <w:t xml:space="preserve">leistungsautomaten sowie für Online-Shops bestehen Ausnahmen. </w:t>
      </w:r>
    </w:p>
    <w:p w14:paraId="63E559E9" w14:textId="77777777" w:rsidR="009C4C3A" w:rsidRPr="009C4C3A" w:rsidRDefault="009C4C3A" w:rsidP="009C4C3A">
      <w:pPr>
        <w:spacing w:before="100" w:beforeAutospacing="1" w:after="100" w:afterAutospacing="1" w:line="276" w:lineRule="auto"/>
        <w:contextualSpacing/>
        <w:jc w:val="both"/>
        <w:rPr>
          <w:rFonts w:ascii="PalatinoLinotype" w:eastAsiaTheme="minorHAnsi" w:hAnsi="PalatinoLinotype" w:cs="PalatinoLinotype"/>
          <w:sz w:val="24"/>
          <w:szCs w:val="24"/>
          <w:lang w:eastAsia="en-US"/>
        </w:rPr>
      </w:pPr>
    </w:p>
    <w:p w14:paraId="70B72698" w14:textId="77777777" w:rsidR="009C4C3A" w:rsidRPr="009C4C3A" w:rsidRDefault="009C4C3A" w:rsidP="009C4C3A">
      <w:pPr>
        <w:spacing w:before="100" w:beforeAutospacing="1" w:after="100" w:afterAutospacing="1" w:line="276" w:lineRule="auto"/>
        <w:contextualSpacing/>
        <w:jc w:val="both"/>
        <w:rPr>
          <w:rFonts w:ascii="PalatinoLinotype" w:eastAsiaTheme="minorHAnsi" w:hAnsi="PalatinoLinotype" w:cs="PalatinoLinotype"/>
          <w:sz w:val="24"/>
          <w:szCs w:val="24"/>
          <w:lang w:eastAsia="en-US"/>
        </w:rPr>
      </w:pPr>
      <w:r w:rsidRPr="009C4C3A">
        <w:rPr>
          <w:rFonts w:ascii="PalatinoLinotype" w:eastAsiaTheme="minorHAnsi" w:hAnsi="PalatinoLinotype" w:cs="PalatinoLinotype"/>
          <w:sz w:val="24"/>
          <w:szCs w:val="24"/>
          <w:lang w:eastAsia="en-US"/>
        </w:rPr>
        <w:t>Erleichterungen</w:t>
      </w:r>
    </w:p>
    <w:p w14:paraId="3D508516" w14:textId="77777777" w:rsidR="009C4C3A" w:rsidRPr="009C4C3A" w:rsidRDefault="009C4C3A" w:rsidP="009C4C3A">
      <w:pPr>
        <w:spacing w:before="100" w:beforeAutospacing="1" w:after="100" w:afterAutospacing="1" w:line="276" w:lineRule="auto"/>
        <w:contextualSpacing/>
        <w:jc w:val="both"/>
        <w:rPr>
          <w:rFonts w:ascii="PalatinoLinotype" w:eastAsiaTheme="minorHAnsi" w:hAnsi="PalatinoLinotype" w:cs="PalatinoLinotype"/>
          <w:sz w:val="18"/>
          <w:szCs w:val="18"/>
          <w:lang w:eastAsia="en-US"/>
        </w:rPr>
      </w:pPr>
      <w:r w:rsidRPr="009C4C3A">
        <w:rPr>
          <w:rFonts w:ascii="PalatinoLinotype" w:eastAsiaTheme="minorHAnsi" w:hAnsi="PalatinoLinotype" w:cs="PalatinoLinotype"/>
          <w:sz w:val="18"/>
          <w:szCs w:val="18"/>
          <w:lang w:eastAsia="en-US"/>
        </w:rPr>
        <w:t>Darüber hinaus wurden Erleichterungen bei der zeitlichen Erfassung von Barumsätzen für „mobile Unternehmer“ (Friseure, Ärzte, Masseure, Installateure, Tierärzte, Maler etc. auf Hausbesuchen) eingeführt, die ihre Leistungen außerhalb ihrer Betriebsstätte erbringen. Hier hat die nachträgliche Erfassung in der Registrierkasse nach der Rückkehr in die Betriebsstätte  ohne unnötigen Aufschub zu erfolgen. Die Umsätze sind in der Registrierkasse jedoch einzeln und nicht als einheitlicher Sammelumsatz zu erfassen. Darüber hinaus ist jedem Kunden verpflichtend für jeden Einzelumsatz ein Beleg auszufolgen und von diesem eine Durchschrift aufzubewahren.</w:t>
      </w:r>
    </w:p>
    <w:p w14:paraId="550E7E2C" w14:textId="77777777" w:rsidR="009C4C3A" w:rsidRPr="009C4C3A" w:rsidRDefault="009C4C3A" w:rsidP="009C4C3A">
      <w:pPr>
        <w:spacing w:before="100" w:beforeAutospacing="1" w:after="100" w:afterAutospacing="1" w:line="276" w:lineRule="auto"/>
        <w:contextualSpacing/>
        <w:jc w:val="both"/>
        <w:rPr>
          <w:rFonts w:ascii="PalatinoLinotype" w:eastAsiaTheme="minorHAnsi" w:hAnsi="PalatinoLinotype" w:cs="PalatinoLinotype"/>
          <w:sz w:val="24"/>
          <w:szCs w:val="24"/>
          <w:lang w:eastAsia="en-US"/>
        </w:rPr>
      </w:pPr>
    </w:p>
    <w:p w14:paraId="280B4E61" w14:textId="77777777" w:rsidR="009C4C3A" w:rsidRPr="009C4C3A" w:rsidRDefault="009C4C3A" w:rsidP="009C4C3A">
      <w:pPr>
        <w:spacing w:before="100" w:beforeAutospacing="1" w:after="100" w:afterAutospacing="1" w:line="276" w:lineRule="auto"/>
        <w:contextualSpacing/>
        <w:jc w:val="both"/>
        <w:rPr>
          <w:rFonts w:ascii="PalatinoLinotype" w:eastAsiaTheme="minorHAnsi" w:hAnsi="PalatinoLinotype" w:cs="PalatinoLinotype"/>
          <w:sz w:val="24"/>
          <w:szCs w:val="24"/>
          <w:lang w:eastAsia="en-US"/>
        </w:rPr>
      </w:pPr>
      <w:r w:rsidRPr="009C4C3A">
        <w:rPr>
          <w:rFonts w:ascii="PalatinoLinotype" w:eastAsiaTheme="minorHAnsi" w:hAnsi="PalatinoLinotype" w:cs="PalatinoLinotype"/>
          <w:sz w:val="24"/>
          <w:szCs w:val="24"/>
          <w:lang w:eastAsia="en-US"/>
        </w:rPr>
        <w:t>Gesetzliche Belegdaten</w:t>
      </w:r>
    </w:p>
    <w:p w14:paraId="54CAA465" w14:textId="77777777" w:rsidR="009C4C3A" w:rsidRPr="009C4C3A" w:rsidRDefault="009C4C3A" w:rsidP="009C4C3A">
      <w:pPr>
        <w:spacing w:before="100" w:beforeAutospacing="1" w:after="100" w:afterAutospacing="1" w:line="276" w:lineRule="auto"/>
        <w:contextualSpacing/>
        <w:jc w:val="both"/>
        <w:rPr>
          <w:rFonts w:ascii="PalatinoLinotype" w:eastAsiaTheme="minorHAnsi" w:hAnsi="PalatinoLinotype" w:cs="PalatinoLinotype"/>
          <w:sz w:val="18"/>
          <w:szCs w:val="18"/>
          <w:lang w:eastAsia="en-US"/>
        </w:rPr>
      </w:pPr>
      <w:r w:rsidRPr="009C4C3A">
        <w:rPr>
          <w:rFonts w:ascii="PalatinoLinotype" w:eastAsiaTheme="minorHAnsi" w:hAnsi="PalatinoLinotype" w:cs="PalatinoLinotype"/>
          <w:sz w:val="18"/>
          <w:szCs w:val="18"/>
          <w:lang w:eastAsia="en-US"/>
        </w:rPr>
        <w:t xml:space="preserve">Mit 1. 1. 2016 ist vorerst grundsätzlich die Verwendung einer Registrierkasse verpflichtend, welche die gesetzlichen Belegdaten nach </w:t>
      </w:r>
      <w:hyperlink r:id="rId10" w:history="1">
        <w:r w:rsidRPr="009C4C3A">
          <w:rPr>
            <w:rFonts w:ascii="PalatinoLinotype" w:eastAsiaTheme="minorHAnsi" w:hAnsi="PalatinoLinotype" w:cs="PalatinoLinotype"/>
            <w:sz w:val="18"/>
            <w:szCs w:val="18"/>
            <w:lang w:eastAsia="en-US"/>
          </w:rPr>
          <w:t xml:space="preserve">§ 132a </w:t>
        </w:r>
        <w:proofErr w:type="spellStart"/>
        <w:r w:rsidRPr="009C4C3A">
          <w:rPr>
            <w:rFonts w:ascii="PalatinoLinotype" w:eastAsiaTheme="minorHAnsi" w:hAnsi="PalatinoLinotype" w:cs="PalatinoLinotype"/>
            <w:sz w:val="18"/>
            <w:szCs w:val="18"/>
            <w:lang w:eastAsia="en-US"/>
          </w:rPr>
          <w:t>Abs</w:t>
        </w:r>
        <w:proofErr w:type="spellEnd"/>
        <w:r w:rsidRPr="009C4C3A">
          <w:rPr>
            <w:rFonts w:ascii="PalatinoLinotype" w:eastAsiaTheme="minorHAnsi" w:hAnsi="PalatinoLinotype" w:cs="PalatinoLinotype"/>
            <w:sz w:val="18"/>
            <w:szCs w:val="18"/>
            <w:lang w:eastAsia="en-US"/>
          </w:rPr>
          <w:t xml:space="preserve"> 3 BAO </w:t>
        </w:r>
      </w:hyperlink>
      <w:r w:rsidRPr="009C4C3A">
        <w:rPr>
          <w:rFonts w:ascii="PalatinoLinotype" w:eastAsiaTheme="minorHAnsi" w:hAnsi="PalatinoLinotype" w:cs="PalatinoLinotype"/>
          <w:sz w:val="18"/>
          <w:szCs w:val="18"/>
          <w:lang w:eastAsia="en-US"/>
        </w:rPr>
        <w:t xml:space="preserve">in einem elektronischen Datenprotokoll erfasst und speichert. Die Belegdaten des </w:t>
      </w:r>
      <w:hyperlink r:id="rId11" w:history="1">
        <w:r w:rsidRPr="009C4C3A">
          <w:rPr>
            <w:rFonts w:ascii="PalatinoLinotype" w:eastAsiaTheme="minorHAnsi" w:hAnsi="PalatinoLinotype" w:cs="PalatinoLinotype"/>
            <w:sz w:val="18"/>
            <w:szCs w:val="18"/>
            <w:lang w:eastAsia="en-US"/>
          </w:rPr>
          <w:t xml:space="preserve">§ 132a BAO </w:t>
        </w:r>
      </w:hyperlink>
      <w:r w:rsidRPr="009C4C3A">
        <w:rPr>
          <w:rFonts w:ascii="PalatinoLinotype" w:eastAsiaTheme="minorHAnsi" w:hAnsi="PalatinoLinotype" w:cs="PalatinoLinotype"/>
          <w:sz w:val="18"/>
          <w:szCs w:val="18"/>
          <w:lang w:eastAsia="en-US"/>
        </w:rPr>
        <w:t xml:space="preserve">umfassen </w:t>
      </w:r>
    </w:p>
    <w:p w14:paraId="7E126B07" w14:textId="77777777" w:rsidR="009C4C3A" w:rsidRDefault="009C4C3A" w:rsidP="009C4C3A">
      <w:pPr>
        <w:numPr>
          <w:ilvl w:val="0"/>
          <w:numId w:val="2"/>
        </w:numPr>
        <w:spacing w:before="100" w:beforeAutospacing="1" w:after="100" w:afterAutospacing="1" w:line="276" w:lineRule="auto"/>
        <w:contextualSpacing/>
        <w:jc w:val="both"/>
        <w:rPr>
          <w:rFonts w:ascii="PalatinoLinotype" w:eastAsiaTheme="minorHAnsi" w:hAnsi="PalatinoLinotype" w:cs="PalatinoLinotype"/>
          <w:sz w:val="18"/>
          <w:szCs w:val="18"/>
          <w:lang w:eastAsia="en-US"/>
        </w:rPr>
      </w:pPr>
      <w:r w:rsidRPr="009C4C3A">
        <w:rPr>
          <w:rFonts w:ascii="PalatinoLinotype" w:eastAsiaTheme="minorHAnsi" w:hAnsi="PalatinoLinotype" w:cs="PalatinoLinotype"/>
          <w:sz w:val="18"/>
          <w:szCs w:val="18"/>
          <w:lang w:eastAsia="en-US"/>
        </w:rPr>
        <w:t>die Bezeichnung des leistenden Unternehmers,</w:t>
      </w:r>
    </w:p>
    <w:p w14:paraId="5CEE1733" w14:textId="77777777" w:rsidR="009C4C3A" w:rsidRDefault="009C4C3A" w:rsidP="009C4C3A">
      <w:pPr>
        <w:numPr>
          <w:ilvl w:val="0"/>
          <w:numId w:val="2"/>
        </w:numPr>
        <w:spacing w:before="100" w:beforeAutospacing="1" w:after="100" w:afterAutospacing="1" w:line="276" w:lineRule="auto"/>
        <w:contextualSpacing/>
        <w:jc w:val="both"/>
        <w:rPr>
          <w:rFonts w:ascii="PalatinoLinotype" w:eastAsiaTheme="minorHAnsi" w:hAnsi="PalatinoLinotype" w:cs="PalatinoLinotype"/>
          <w:sz w:val="18"/>
          <w:szCs w:val="18"/>
          <w:lang w:eastAsia="en-US"/>
        </w:rPr>
      </w:pPr>
      <w:r w:rsidRPr="009C4C3A">
        <w:rPr>
          <w:rFonts w:ascii="PalatinoLinotype" w:eastAsiaTheme="minorHAnsi" w:hAnsi="PalatinoLinotype" w:cs="PalatinoLinotype"/>
          <w:sz w:val="18"/>
          <w:szCs w:val="18"/>
          <w:lang w:eastAsia="en-US"/>
        </w:rPr>
        <w:t>die fortlaufende Nummer des Geschäftsvorfalls,</w:t>
      </w:r>
    </w:p>
    <w:p w14:paraId="49BF9986" w14:textId="77777777" w:rsidR="009C4C3A" w:rsidRDefault="009C4C3A" w:rsidP="009C4C3A">
      <w:pPr>
        <w:numPr>
          <w:ilvl w:val="0"/>
          <w:numId w:val="2"/>
        </w:numPr>
        <w:spacing w:before="100" w:beforeAutospacing="1" w:after="100" w:afterAutospacing="1" w:line="276" w:lineRule="auto"/>
        <w:contextualSpacing/>
        <w:jc w:val="both"/>
        <w:rPr>
          <w:rFonts w:ascii="PalatinoLinotype" w:eastAsiaTheme="minorHAnsi" w:hAnsi="PalatinoLinotype" w:cs="PalatinoLinotype"/>
          <w:sz w:val="18"/>
          <w:szCs w:val="18"/>
          <w:lang w:eastAsia="en-US"/>
        </w:rPr>
      </w:pPr>
      <w:r w:rsidRPr="009C4C3A">
        <w:rPr>
          <w:rFonts w:ascii="PalatinoLinotype" w:eastAsiaTheme="minorHAnsi" w:hAnsi="PalatinoLinotype" w:cs="PalatinoLinotype"/>
          <w:sz w:val="18"/>
          <w:szCs w:val="18"/>
          <w:lang w:eastAsia="en-US"/>
        </w:rPr>
        <w:t>den Tag der Belegaus</w:t>
      </w:r>
      <w:r w:rsidRPr="009C4C3A">
        <w:rPr>
          <w:rFonts w:ascii="PalatinoLinotype" w:eastAsiaTheme="minorHAnsi" w:hAnsi="PalatinoLinotype" w:cs="PalatinoLinotype"/>
          <w:sz w:val="18"/>
          <w:szCs w:val="18"/>
          <w:lang w:eastAsia="en-US"/>
        </w:rPr>
        <w:softHyphen/>
        <w:t>stellung und</w:t>
      </w:r>
    </w:p>
    <w:p w14:paraId="5167220E" w14:textId="5671931A" w:rsidR="009C4C3A" w:rsidRPr="009C4C3A" w:rsidRDefault="009C4C3A" w:rsidP="009C4C3A">
      <w:pPr>
        <w:numPr>
          <w:ilvl w:val="0"/>
          <w:numId w:val="2"/>
        </w:numPr>
        <w:spacing w:before="100" w:beforeAutospacing="1" w:after="100" w:afterAutospacing="1" w:line="276" w:lineRule="auto"/>
        <w:contextualSpacing/>
        <w:jc w:val="both"/>
        <w:rPr>
          <w:rFonts w:ascii="PalatinoLinotype" w:eastAsiaTheme="minorHAnsi" w:hAnsi="PalatinoLinotype" w:cs="PalatinoLinotype"/>
          <w:sz w:val="18"/>
          <w:szCs w:val="18"/>
          <w:lang w:eastAsia="en-US"/>
        </w:rPr>
      </w:pPr>
      <w:r w:rsidRPr="009C4C3A">
        <w:rPr>
          <w:rFonts w:ascii="PalatinoLinotype" w:eastAsiaTheme="minorHAnsi" w:hAnsi="PalatinoLinotype" w:cs="PalatinoLinotype"/>
          <w:sz w:val="18"/>
          <w:szCs w:val="18"/>
          <w:lang w:eastAsia="en-US"/>
        </w:rPr>
        <w:t>die handelsübliche Leistungs- und Mengenbeschreibung.</w:t>
      </w:r>
    </w:p>
    <w:p w14:paraId="7C92443B" w14:textId="77777777" w:rsidR="009C4C3A" w:rsidRPr="009C4C3A" w:rsidRDefault="009C4C3A" w:rsidP="009C4C3A">
      <w:pPr>
        <w:spacing w:before="100" w:beforeAutospacing="1" w:after="100" w:afterAutospacing="1" w:line="276" w:lineRule="auto"/>
        <w:contextualSpacing/>
        <w:jc w:val="both"/>
        <w:rPr>
          <w:rFonts w:ascii="PalatinoLinotype" w:eastAsiaTheme="minorHAnsi" w:hAnsi="PalatinoLinotype" w:cs="PalatinoLinotype"/>
          <w:sz w:val="18"/>
          <w:szCs w:val="18"/>
          <w:lang w:eastAsia="en-US"/>
        </w:rPr>
      </w:pPr>
      <w:r w:rsidRPr="009C4C3A">
        <w:rPr>
          <w:rFonts w:ascii="PalatinoLinotype" w:eastAsiaTheme="minorHAnsi" w:hAnsi="PalatinoLinotype" w:cs="PalatinoLinotype"/>
          <w:sz w:val="18"/>
          <w:szCs w:val="18"/>
          <w:lang w:eastAsia="en-US"/>
        </w:rPr>
        <w:t>Diese Daten sind auch auf dem an den Kunden verpflichtend auszuhändigenden Beleg anzuführen.</w:t>
      </w:r>
    </w:p>
    <w:p w14:paraId="125080C6" w14:textId="77777777" w:rsidR="009C4C3A" w:rsidRPr="009C4C3A" w:rsidRDefault="009C4C3A" w:rsidP="009C4C3A">
      <w:pPr>
        <w:spacing w:before="100" w:beforeAutospacing="1" w:after="100" w:afterAutospacing="1" w:line="276" w:lineRule="auto"/>
        <w:contextualSpacing/>
        <w:jc w:val="both"/>
        <w:rPr>
          <w:rFonts w:ascii="PalatinoLinotype" w:eastAsiaTheme="minorHAnsi" w:hAnsi="PalatinoLinotype" w:cs="PalatinoLinotype"/>
          <w:sz w:val="24"/>
          <w:szCs w:val="24"/>
          <w:lang w:eastAsia="en-US"/>
        </w:rPr>
      </w:pPr>
    </w:p>
    <w:p w14:paraId="3568F0CA" w14:textId="77777777" w:rsidR="009C4C3A" w:rsidRPr="009C4C3A" w:rsidRDefault="009C4C3A" w:rsidP="009C4C3A">
      <w:pPr>
        <w:spacing w:before="100" w:beforeAutospacing="1" w:after="100" w:afterAutospacing="1" w:line="276" w:lineRule="auto"/>
        <w:contextualSpacing/>
        <w:jc w:val="both"/>
        <w:rPr>
          <w:rFonts w:ascii="PalatinoLinotype" w:eastAsiaTheme="minorHAnsi" w:hAnsi="PalatinoLinotype" w:cs="PalatinoLinotype"/>
          <w:sz w:val="24"/>
          <w:szCs w:val="24"/>
          <w:lang w:eastAsia="en-US"/>
        </w:rPr>
      </w:pPr>
      <w:r w:rsidRPr="009C4C3A">
        <w:rPr>
          <w:rFonts w:ascii="PalatinoLinotype" w:eastAsiaTheme="minorHAnsi" w:hAnsi="PalatinoLinotype" w:cs="PalatinoLinotype"/>
          <w:sz w:val="24"/>
          <w:szCs w:val="24"/>
          <w:lang w:eastAsia="en-US"/>
        </w:rPr>
        <w:t>Förderung der Anschaffungskosten</w:t>
      </w:r>
    </w:p>
    <w:p w14:paraId="15EA4C74" w14:textId="05345476" w:rsidR="009C4C3A" w:rsidRPr="009C4C3A" w:rsidRDefault="00D7065E" w:rsidP="009C4C3A">
      <w:pPr>
        <w:spacing w:before="100" w:beforeAutospacing="1" w:after="100" w:afterAutospacing="1" w:line="276" w:lineRule="auto"/>
        <w:contextualSpacing/>
        <w:jc w:val="both"/>
        <w:rPr>
          <w:rFonts w:ascii="PalatinoLinotype" w:eastAsiaTheme="minorHAnsi" w:hAnsi="PalatinoLinotype" w:cs="PalatinoLinotype"/>
          <w:sz w:val="18"/>
          <w:szCs w:val="18"/>
          <w:lang w:eastAsia="en-US"/>
        </w:rPr>
      </w:pPr>
      <w:r>
        <w:rPr>
          <w:rFonts w:ascii="PalatinoLinotype" w:eastAsiaTheme="minorHAnsi" w:hAnsi="PalatinoLinotype" w:cs="PalatinoLinotype"/>
          <w:sz w:val="18"/>
          <w:szCs w:val="18"/>
          <w:lang w:eastAsia="en-US"/>
        </w:rPr>
        <w:t>Für</w:t>
      </w:r>
      <w:r w:rsidR="009C4C3A" w:rsidRPr="009C4C3A">
        <w:rPr>
          <w:rFonts w:ascii="PalatinoLinotype" w:eastAsiaTheme="minorHAnsi" w:hAnsi="PalatinoLinotype" w:cs="PalatinoLinotype"/>
          <w:sz w:val="18"/>
          <w:szCs w:val="18"/>
          <w:lang w:eastAsia="en-US"/>
        </w:rPr>
        <w:t xml:space="preserve"> Anschaffung</w:t>
      </w:r>
      <w:r>
        <w:rPr>
          <w:rFonts w:ascii="PalatinoLinotype" w:eastAsiaTheme="minorHAnsi" w:hAnsi="PalatinoLinotype" w:cs="PalatinoLinotype"/>
          <w:sz w:val="18"/>
          <w:szCs w:val="18"/>
          <w:lang w:eastAsia="en-US"/>
        </w:rPr>
        <w:t>en</w:t>
      </w:r>
      <w:r w:rsidR="009C4C3A" w:rsidRPr="009C4C3A">
        <w:rPr>
          <w:rFonts w:ascii="PalatinoLinotype" w:eastAsiaTheme="minorHAnsi" w:hAnsi="PalatinoLinotype" w:cs="PalatinoLinotype"/>
          <w:sz w:val="18"/>
          <w:szCs w:val="18"/>
          <w:lang w:eastAsia="en-US"/>
        </w:rPr>
        <w:t>/Umrüstung</w:t>
      </w:r>
      <w:r>
        <w:rPr>
          <w:rFonts w:ascii="PalatinoLinotype" w:eastAsiaTheme="minorHAnsi" w:hAnsi="PalatinoLinotype" w:cs="PalatinoLinotype"/>
          <w:sz w:val="18"/>
          <w:szCs w:val="18"/>
          <w:lang w:eastAsia="en-US"/>
        </w:rPr>
        <w:t>en</w:t>
      </w:r>
      <w:bookmarkStart w:id="0" w:name="_GoBack"/>
      <w:bookmarkEnd w:id="0"/>
      <w:r>
        <w:rPr>
          <w:rFonts w:ascii="PalatinoLinotype" w:eastAsiaTheme="minorHAnsi" w:hAnsi="PalatinoLinotype" w:cs="PalatinoLinotype"/>
          <w:sz w:val="18"/>
          <w:szCs w:val="18"/>
          <w:lang w:eastAsia="en-US"/>
        </w:rPr>
        <w:t xml:space="preserve"> bis zum 31.3.2017</w:t>
      </w:r>
      <w:r w:rsidR="009C4C3A" w:rsidRPr="009C4C3A">
        <w:rPr>
          <w:rFonts w:ascii="PalatinoLinotype" w:eastAsiaTheme="minorHAnsi" w:hAnsi="PalatinoLinotype" w:cs="PalatinoLinotype"/>
          <w:sz w:val="18"/>
          <w:szCs w:val="18"/>
          <w:lang w:eastAsia="en-US"/>
        </w:rPr>
        <w:t xml:space="preserve"> kann eine Prämie von 200 Euro mit der jährlichen Steuererklärung beantragt werden. Außerdem besteht eine unbegrenzte Absetzbarkeit der Kosten im Jahr der Anschaffung.</w:t>
      </w:r>
    </w:p>
    <w:p w14:paraId="5883B42A" w14:textId="77777777" w:rsidR="009C4C3A" w:rsidRPr="009C4C3A" w:rsidRDefault="009C4C3A" w:rsidP="009C4C3A">
      <w:pPr>
        <w:spacing w:before="100" w:beforeAutospacing="1" w:after="100" w:afterAutospacing="1" w:line="276" w:lineRule="auto"/>
        <w:contextualSpacing/>
        <w:jc w:val="both"/>
        <w:rPr>
          <w:rFonts w:ascii="PalatinoLinotype" w:eastAsiaTheme="minorHAnsi" w:hAnsi="PalatinoLinotype" w:cs="PalatinoLinotype"/>
          <w:sz w:val="24"/>
          <w:szCs w:val="24"/>
          <w:lang w:eastAsia="en-US"/>
        </w:rPr>
      </w:pPr>
    </w:p>
    <w:p w14:paraId="4FA387AC" w14:textId="77777777" w:rsidR="009C4C3A" w:rsidRPr="009C4C3A" w:rsidRDefault="009C4C3A" w:rsidP="009C4C3A">
      <w:pPr>
        <w:spacing w:before="100" w:beforeAutospacing="1" w:after="100" w:afterAutospacing="1" w:line="276" w:lineRule="auto"/>
        <w:contextualSpacing/>
        <w:jc w:val="both"/>
        <w:rPr>
          <w:rFonts w:ascii="PalatinoLinotype" w:eastAsiaTheme="minorHAnsi" w:hAnsi="PalatinoLinotype" w:cs="PalatinoLinotype"/>
          <w:sz w:val="24"/>
          <w:szCs w:val="24"/>
          <w:lang w:eastAsia="en-US"/>
        </w:rPr>
      </w:pPr>
      <w:r w:rsidRPr="009C4C3A">
        <w:rPr>
          <w:rFonts w:ascii="PalatinoLinotype" w:eastAsiaTheme="minorHAnsi" w:hAnsi="PalatinoLinotype" w:cs="PalatinoLinotype"/>
          <w:sz w:val="24"/>
          <w:szCs w:val="24"/>
          <w:lang w:eastAsia="en-US"/>
        </w:rPr>
        <w:t>Strafbarkeit bei Nichtverwendung, Manipulation einer Registrierkasse und Abgabenhinterziehung</w:t>
      </w:r>
    </w:p>
    <w:p w14:paraId="4F98B836" w14:textId="77777777" w:rsidR="009C4C3A" w:rsidRPr="009C4C3A" w:rsidRDefault="009C4C3A" w:rsidP="009C4C3A">
      <w:pPr>
        <w:spacing w:before="100" w:beforeAutospacing="1" w:after="100" w:afterAutospacing="1" w:line="276" w:lineRule="auto"/>
        <w:contextualSpacing/>
        <w:jc w:val="both"/>
        <w:rPr>
          <w:rFonts w:ascii="PalatinoLinotype" w:eastAsiaTheme="minorHAnsi" w:hAnsi="PalatinoLinotype" w:cs="PalatinoLinotype"/>
          <w:sz w:val="18"/>
          <w:szCs w:val="18"/>
          <w:lang w:eastAsia="en-US"/>
        </w:rPr>
      </w:pPr>
      <w:r w:rsidRPr="009C4C3A">
        <w:rPr>
          <w:rFonts w:ascii="PalatinoLinotype" w:eastAsiaTheme="minorHAnsi" w:hAnsi="PalatinoLinotype" w:cs="PalatinoLinotype"/>
          <w:sz w:val="18"/>
          <w:szCs w:val="18"/>
          <w:lang w:eastAsia="en-US"/>
        </w:rPr>
        <w:t xml:space="preserve">Die Nichtverwendung von Registrierkassen führt dazu, dass die in </w:t>
      </w:r>
      <w:hyperlink r:id="rId12" w:history="1">
        <w:r w:rsidRPr="009C4C3A">
          <w:rPr>
            <w:rFonts w:ascii="PalatinoLinotype" w:eastAsiaTheme="minorHAnsi" w:hAnsi="PalatinoLinotype" w:cs="PalatinoLinotype"/>
            <w:sz w:val="18"/>
            <w:szCs w:val="18"/>
            <w:lang w:eastAsia="en-US"/>
          </w:rPr>
          <w:t xml:space="preserve">§ 163 BAO </w:t>
        </w:r>
      </w:hyperlink>
      <w:r w:rsidRPr="009C4C3A">
        <w:rPr>
          <w:rFonts w:ascii="PalatinoLinotype" w:eastAsiaTheme="minorHAnsi" w:hAnsi="PalatinoLinotype" w:cs="PalatinoLinotype"/>
          <w:sz w:val="18"/>
          <w:szCs w:val="18"/>
          <w:lang w:eastAsia="en-US"/>
        </w:rPr>
        <w:t>normierte (gesetzliche) Vermutung der Ordnungsmäßigkeit der Bücher und Aufzeichnungen verloren geht und kann zu einer Schätzung der Besteuerungsgrundlagen nach § 184 BAO durch die Abgabenbehörde führen.</w:t>
      </w:r>
    </w:p>
    <w:p w14:paraId="7F6A7B25" w14:textId="77777777" w:rsidR="009C4C3A" w:rsidRDefault="009C4C3A" w:rsidP="009C4C3A">
      <w:pPr>
        <w:spacing w:before="100" w:beforeAutospacing="1" w:after="100" w:afterAutospacing="1" w:line="276" w:lineRule="auto"/>
        <w:contextualSpacing/>
        <w:jc w:val="both"/>
        <w:rPr>
          <w:rFonts w:ascii="PalatinoLinotype" w:eastAsiaTheme="minorHAnsi" w:hAnsi="PalatinoLinotype" w:cs="PalatinoLinotype"/>
          <w:sz w:val="18"/>
          <w:szCs w:val="18"/>
          <w:lang w:eastAsia="en-US"/>
        </w:rPr>
      </w:pPr>
    </w:p>
    <w:p w14:paraId="330331A7" w14:textId="77777777" w:rsidR="009C4C3A" w:rsidRDefault="009C4C3A" w:rsidP="009C4C3A">
      <w:pPr>
        <w:spacing w:before="100" w:beforeAutospacing="1" w:after="100" w:afterAutospacing="1" w:line="276" w:lineRule="auto"/>
        <w:contextualSpacing/>
        <w:jc w:val="both"/>
        <w:rPr>
          <w:rFonts w:ascii="PalatinoLinotype" w:eastAsiaTheme="minorHAnsi" w:hAnsi="PalatinoLinotype" w:cs="PalatinoLinotype"/>
          <w:sz w:val="18"/>
          <w:szCs w:val="18"/>
          <w:lang w:eastAsia="en-US"/>
        </w:rPr>
      </w:pPr>
    </w:p>
    <w:p w14:paraId="1C94AD36" w14:textId="77777777" w:rsidR="009C4C3A" w:rsidRDefault="009C4C3A" w:rsidP="009C4C3A">
      <w:pPr>
        <w:spacing w:before="100" w:beforeAutospacing="1" w:after="100" w:afterAutospacing="1" w:line="276" w:lineRule="auto"/>
        <w:contextualSpacing/>
        <w:jc w:val="both"/>
        <w:rPr>
          <w:rFonts w:ascii="PalatinoLinotype" w:eastAsiaTheme="minorHAnsi" w:hAnsi="PalatinoLinotype" w:cs="PalatinoLinotype"/>
          <w:sz w:val="18"/>
          <w:szCs w:val="18"/>
          <w:lang w:eastAsia="en-US"/>
        </w:rPr>
      </w:pPr>
    </w:p>
    <w:p w14:paraId="0EC5A66B" w14:textId="77777777" w:rsidR="009C4C3A" w:rsidRDefault="009C4C3A" w:rsidP="009C4C3A">
      <w:pPr>
        <w:spacing w:before="100" w:beforeAutospacing="1" w:after="100" w:afterAutospacing="1" w:line="276" w:lineRule="auto"/>
        <w:contextualSpacing/>
        <w:jc w:val="both"/>
        <w:rPr>
          <w:rFonts w:ascii="PalatinoLinotype" w:eastAsiaTheme="minorHAnsi" w:hAnsi="PalatinoLinotype" w:cs="PalatinoLinotype"/>
          <w:sz w:val="18"/>
          <w:szCs w:val="18"/>
          <w:lang w:eastAsia="en-US"/>
        </w:rPr>
      </w:pPr>
    </w:p>
    <w:p w14:paraId="4F8E1A62" w14:textId="77777777" w:rsidR="009C4C3A" w:rsidRDefault="009C4C3A" w:rsidP="009C4C3A">
      <w:pPr>
        <w:spacing w:before="100" w:beforeAutospacing="1" w:after="100" w:afterAutospacing="1" w:line="276" w:lineRule="auto"/>
        <w:contextualSpacing/>
        <w:jc w:val="both"/>
        <w:rPr>
          <w:rFonts w:ascii="PalatinoLinotype" w:eastAsiaTheme="minorHAnsi" w:hAnsi="PalatinoLinotype" w:cs="PalatinoLinotype"/>
          <w:sz w:val="18"/>
          <w:szCs w:val="18"/>
          <w:lang w:eastAsia="en-US"/>
        </w:rPr>
      </w:pPr>
    </w:p>
    <w:p w14:paraId="30DFCA95" w14:textId="77777777" w:rsidR="009C4C3A" w:rsidRPr="009C4C3A" w:rsidRDefault="009C4C3A" w:rsidP="009C4C3A">
      <w:pPr>
        <w:spacing w:before="100" w:beforeAutospacing="1" w:after="100" w:afterAutospacing="1" w:line="276" w:lineRule="auto"/>
        <w:contextualSpacing/>
        <w:jc w:val="both"/>
        <w:rPr>
          <w:rFonts w:ascii="PalatinoLinotype" w:eastAsiaTheme="minorHAnsi" w:hAnsi="PalatinoLinotype" w:cs="PalatinoLinotype"/>
          <w:sz w:val="18"/>
          <w:szCs w:val="18"/>
          <w:lang w:eastAsia="en-US"/>
        </w:rPr>
      </w:pPr>
      <w:r w:rsidRPr="009C4C3A">
        <w:rPr>
          <w:rFonts w:ascii="PalatinoLinotype" w:eastAsiaTheme="minorHAnsi" w:hAnsi="PalatinoLinotype" w:cs="PalatinoLinotype"/>
          <w:sz w:val="18"/>
          <w:szCs w:val="18"/>
          <w:lang w:eastAsia="en-US"/>
        </w:rPr>
        <w:t xml:space="preserve">Nach dem neu formulierten </w:t>
      </w:r>
      <w:hyperlink r:id="rId13" w:history="1">
        <w:r w:rsidRPr="009C4C3A">
          <w:rPr>
            <w:rFonts w:ascii="PalatinoLinotype" w:eastAsiaTheme="minorHAnsi" w:hAnsi="PalatinoLinotype" w:cs="PalatinoLinotype"/>
            <w:sz w:val="18"/>
            <w:szCs w:val="18"/>
            <w:lang w:eastAsia="en-US"/>
          </w:rPr>
          <w:t xml:space="preserve">§ 51 </w:t>
        </w:r>
        <w:proofErr w:type="spellStart"/>
        <w:r w:rsidRPr="009C4C3A">
          <w:rPr>
            <w:rFonts w:ascii="PalatinoLinotype" w:eastAsiaTheme="minorHAnsi" w:hAnsi="PalatinoLinotype" w:cs="PalatinoLinotype"/>
            <w:sz w:val="18"/>
            <w:szCs w:val="18"/>
            <w:lang w:eastAsia="en-US"/>
          </w:rPr>
          <w:t>Abs</w:t>
        </w:r>
        <w:proofErr w:type="spellEnd"/>
        <w:r w:rsidRPr="009C4C3A">
          <w:rPr>
            <w:rFonts w:ascii="PalatinoLinotype" w:eastAsiaTheme="minorHAnsi" w:hAnsi="PalatinoLinotype" w:cs="PalatinoLinotype"/>
            <w:sz w:val="18"/>
            <w:szCs w:val="18"/>
            <w:lang w:eastAsia="en-US"/>
          </w:rPr>
          <w:t xml:space="preserve"> 1 </w:t>
        </w:r>
        <w:proofErr w:type="spellStart"/>
        <w:r w:rsidRPr="009C4C3A">
          <w:rPr>
            <w:rFonts w:ascii="PalatinoLinotype" w:eastAsiaTheme="minorHAnsi" w:hAnsi="PalatinoLinotype" w:cs="PalatinoLinotype"/>
            <w:sz w:val="18"/>
            <w:szCs w:val="18"/>
            <w:lang w:eastAsia="en-US"/>
          </w:rPr>
          <w:t>lit</w:t>
        </w:r>
        <w:proofErr w:type="spellEnd"/>
        <w:r w:rsidRPr="009C4C3A">
          <w:rPr>
            <w:rFonts w:ascii="PalatinoLinotype" w:eastAsiaTheme="minorHAnsi" w:hAnsi="PalatinoLinotype" w:cs="PalatinoLinotype"/>
            <w:sz w:val="18"/>
            <w:szCs w:val="18"/>
            <w:lang w:eastAsia="en-US"/>
          </w:rPr>
          <w:t xml:space="preserve"> c </w:t>
        </w:r>
        <w:proofErr w:type="spellStart"/>
        <w:r w:rsidRPr="009C4C3A">
          <w:rPr>
            <w:rFonts w:ascii="PalatinoLinotype" w:eastAsiaTheme="minorHAnsi" w:hAnsi="PalatinoLinotype" w:cs="PalatinoLinotype"/>
            <w:sz w:val="18"/>
            <w:szCs w:val="18"/>
            <w:lang w:eastAsia="en-US"/>
          </w:rPr>
          <w:t>FinStrG</w:t>
        </w:r>
        <w:proofErr w:type="spellEnd"/>
        <w:r w:rsidRPr="009C4C3A">
          <w:rPr>
            <w:rFonts w:ascii="PalatinoLinotype" w:eastAsiaTheme="minorHAnsi" w:hAnsi="PalatinoLinotype" w:cs="PalatinoLinotype"/>
            <w:sz w:val="18"/>
            <w:szCs w:val="18"/>
            <w:lang w:eastAsia="en-US"/>
          </w:rPr>
          <w:t xml:space="preserve"> </w:t>
        </w:r>
      </w:hyperlink>
      <w:r w:rsidRPr="009C4C3A">
        <w:rPr>
          <w:rFonts w:ascii="PalatinoLinotype" w:eastAsiaTheme="minorHAnsi" w:hAnsi="PalatinoLinotype" w:cs="PalatinoLinotype"/>
          <w:sz w:val="18"/>
          <w:szCs w:val="18"/>
          <w:lang w:eastAsia="en-US"/>
        </w:rPr>
        <w:t>ist die vorsätzliche Verletzung der „Pflicht zur Einrichtung technischer Sicherheitsvorkehrungen“, also das Unterlassen der Verwendung einer Registrierkasse, als Finanz</w:t>
      </w:r>
      <w:r w:rsidRPr="009C4C3A">
        <w:rPr>
          <w:rFonts w:ascii="PalatinoLinotype" w:eastAsiaTheme="minorHAnsi" w:hAnsi="PalatinoLinotype" w:cs="PalatinoLinotype"/>
          <w:sz w:val="18"/>
          <w:szCs w:val="18"/>
          <w:lang w:eastAsia="en-US"/>
        </w:rPr>
        <w:softHyphen/>
        <w:t xml:space="preserve">ordnungswidrigkeit mit einer Geldstrafe von bis zu 5.000 Euro zu ahnden. </w:t>
      </w:r>
    </w:p>
    <w:p w14:paraId="58D745ED" w14:textId="77777777" w:rsidR="009C4C3A" w:rsidRPr="009C4C3A" w:rsidRDefault="009C4C3A" w:rsidP="009C4C3A">
      <w:pPr>
        <w:spacing w:before="100" w:beforeAutospacing="1" w:after="100" w:afterAutospacing="1" w:line="276" w:lineRule="auto"/>
        <w:contextualSpacing/>
        <w:jc w:val="both"/>
        <w:rPr>
          <w:rFonts w:ascii="PalatinoLinotype" w:eastAsiaTheme="minorHAnsi" w:hAnsi="PalatinoLinotype" w:cs="PalatinoLinotype"/>
          <w:sz w:val="18"/>
          <w:szCs w:val="18"/>
          <w:lang w:eastAsia="en-US"/>
        </w:rPr>
      </w:pPr>
    </w:p>
    <w:p w14:paraId="55A278D4" w14:textId="77777777" w:rsidR="009C4C3A" w:rsidRDefault="009C4C3A" w:rsidP="009C4C3A">
      <w:pPr>
        <w:spacing w:before="100" w:beforeAutospacing="1" w:after="100" w:afterAutospacing="1" w:line="276" w:lineRule="auto"/>
        <w:contextualSpacing/>
        <w:jc w:val="both"/>
        <w:rPr>
          <w:rFonts w:ascii="PalatinoLinotype" w:eastAsiaTheme="minorHAnsi" w:hAnsi="PalatinoLinotype" w:cs="PalatinoLinotype"/>
          <w:sz w:val="18"/>
          <w:szCs w:val="18"/>
          <w:lang w:eastAsia="en-US"/>
        </w:rPr>
      </w:pPr>
      <w:r w:rsidRPr="009C4C3A">
        <w:rPr>
          <w:rFonts w:ascii="PalatinoLinotype" w:eastAsiaTheme="minorHAnsi" w:hAnsi="PalatinoLinotype" w:cs="PalatinoLinotype"/>
          <w:sz w:val="18"/>
          <w:szCs w:val="18"/>
          <w:lang w:eastAsia="en-US"/>
        </w:rPr>
        <w:t xml:space="preserve">In </w:t>
      </w:r>
      <w:hyperlink r:id="rId14" w:history="1">
        <w:r w:rsidRPr="009C4C3A">
          <w:rPr>
            <w:rFonts w:ascii="PalatinoLinotype" w:eastAsiaTheme="minorHAnsi" w:hAnsi="PalatinoLinotype" w:cs="PalatinoLinotype"/>
            <w:sz w:val="18"/>
            <w:szCs w:val="18"/>
            <w:lang w:eastAsia="en-US"/>
          </w:rPr>
          <w:t xml:space="preserve">§ 51a </w:t>
        </w:r>
        <w:proofErr w:type="spellStart"/>
        <w:r w:rsidRPr="009C4C3A">
          <w:rPr>
            <w:rFonts w:ascii="PalatinoLinotype" w:eastAsiaTheme="minorHAnsi" w:hAnsi="PalatinoLinotype" w:cs="PalatinoLinotype"/>
            <w:sz w:val="18"/>
            <w:szCs w:val="18"/>
            <w:lang w:eastAsia="en-US"/>
          </w:rPr>
          <w:t>FinStrG</w:t>
        </w:r>
        <w:proofErr w:type="spellEnd"/>
        <w:r w:rsidRPr="009C4C3A">
          <w:rPr>
            <w:rFonts w:ascii="PalatinoLinotype" w:eastAsiaTheme="minorHAnsi" w:hAnsi="PalatinoLinotype" w:cs="PalatinoLinotype"/>
            <w:sz w:val="18"/>
            <w:szCs w:val="18"/>
            <w:lang w:eastAsia="en-US"/>
          </w:rPr>
          <w:t xml:space="preserve"> </w:t>
        </w:r>
      </w:hyperlink>
      <w:r w:rsidRPr="009C4C3A">
        <w:rPr>
          <w:rFonts w:ascii="PalatinoLinotype" w:eastAsiaTheme="minorHAnsi" w:hAnsi="PalatinoLinotype" w:cs="PalatinoLinotype"/>
          <w:sz w:val="18"/>
          <w:szCs w:val="18"/>
          <w:lang w:eastAsia="en-US"/>
        </w:rPr>
        <w:t>wurde eine neue Finanz</w:t>
      </w:r>
      <w:r w:rsidRPr="009C4C3A">
        <w:rPr>
          <w:rFonts w:ascii="PalatinoLinotype" w:eastAsiaTheme="minorHAnsi" w:hAnsi="PalatinoLinotype" w:cs="PalatinoLinotype"/>
          <w:sz w:val="18"/>
          <w:szCs w:val="18"/>
          <w:lang w:eastAsia="en-US"/>
        </w:rPr>
        <w:softHyphen/>
        <w:t xml:space="preserve">ordnungswidrigkeit eingeführt, mit der die vorsätzliche Manipulation von Registrierkassen (Veränderung, Löschung oder Unterdrückung von Daten automationsunterstützt geführter Aufzeichnungssysteme mithilfe eines Programms) mit bis zu 25.000 Euro bestraft wird. </w:t>
      </w:r>
    </w:p>
    <w:p w14:paraId="1996EE55" w14:textId="77777777" w:rsidR="009C4C3A" w:rsidRPr="009C4C3A" w:rsidRDefault="009C4C3A" w:rsidP="009C4C3A">
      <w:pPr>
        <w:spacing w:before="100" w:beforeAutospacing="1" w:after="100" w:afterAutospacing="1" w:line="276" w:lineRule="auto"/>
        <w:contextualSpacing/>
        <w:jc w:val="both"/>
        <w:rPr>
          <w:rFonts w:ascii="PalatinoLinotype" w:eastAsiaTheme="minorHAnsi" w:hAnsi="PalatinoLinotype" w:cs="PalatinoLinotype"/>
          <w:sz w:val="18"/>
          <w:szCs w:val="18"/>
          <w:lang w:eastAsia="en-US"/>
        </w:rPr>
      </w:pPr>
    </w:p>
    <w:p w14:paraId="55022DCA" w14:textId="77777777" w:rsidR="009C4C3A" w:rsidRPr="009C4C3A" w:rsidRDefault="009C4C3A" w:rsidP="009C4C3A">
      <w:pPr>
        <w:spacing w:before="100" w:beforeAutospacing="1" w:after="100" w:afterAutospacing="1" w:line="276" w:lineRule="auto"/>
        <w:contextualSpacing/>
        <w:jc w:val="both"/>
        <w:rPr>
          <w:rFonts w:ascii="PalatinoLinotype" w:eastAsiaTheme="minorHAnsi" w:hAnsi="PalatinoLinotype" w:cs="PalatinoLinotype"/>
          <w:sz w:val="18"/>
          <w:szCs w:val="18"/>
          <w:lang w:eastAsia="en-US"/>
        </w:rPr>
      </w:pPr>
      <w:r w:rsidRPr="009C4C3A">
        <w:rPr>
          <w:rFonts w:ascii="PalatinoLinotype" w:eastAsiaTheme="minorHAnsi" w:hAnsi="PalatinoLinotype" w:cs="PalatinoLinotype"/>
          <w:sz w:val="18"/>
          <w:szCs w:val="18"/>
          <w:lang w:eastAsia="en-US"/>
        </w:rPr>
        <w:t>Wird eine Registrierkasse nicht nur manipuliert, sondern werden damit gleichzeitig vorsätzlich Abgaben hinterzogen, ist der Tatbestand der Abgaben</w:t>
      </w:r>
      <w:r w:rsidRPr="009C4C3A">
        <w:rPr>
          <w:rFonts w:ascii="PalatinoLinotype" w:eastAsiaTheme="minorHAnsi" w:hAnsi="PalatinoLinotype" w:cs="PalatinoLinotype"/>
          <w:sz w:val="18"/>
          <w:szCs w:val="18"/>
          <w:lang w:eastAsia="en-US"/>
        </w:rPr>
        <w:softHyphen/>
        <w:t xml:space="preserve">hinterziehung ( </w:t>
      </w:r>
      <w:hyperlink r:id="rId15" w:history="1">
        <w:r w:rsidRPr="009C4C3A">
          <w:rPr>
            <w:rFonts w:ascii="PalatinoLinotype" w:eastAsiaTheme="minorHAnsi" w:hAnsi="PalatinoLinotype" w:cs="PalatinoLinotype"/>
            <w:sz w:val="18"/>
            <w:szCs w:val="18"/>
            <w:lang w:eastAsia="en-US"/>
          </w:rPr>
          <w:t xml:space="preserve">§ 33 </w:t>
        </w:r>
        <w:proofErr w:type="spellStart"/>
        <w:r w:rsidRPr="009C4C3A">
          <w:rPr>
            <w:rFonts w:ascii="PalatinoLinotype" w:eastAsiaTheme="minorHAnsi" w:hAnsi="PalatinoLinotype" w:cs="PalatinoLinotype"/>
            <w:sz w:val="18"/>
            <w:szCs w:val="18"/>
            <w:lang w:eastAsia="en-US"/>
          </w:rPr>
          <w:t>FinStrG</w:t>
        </w:r>
        <w:proofErr w:type="spellEnd"/>
        <w:r w:rsidRPr="009C4C3A">
          <w:rPr>
            <w:rFonts w:ascii="PalatinoLinotype" w:eastAsiaTheme="minorHAnsi" w:hAnsi="PalatinoLinotype" w:cs="PalatinoLinotype"/>
            <w:sz w:val="18"/>
            <w:szCs w:val="18"/>
            <w:lang w:eastAsia="en-US"/>
          </w:rPr>
          <w:t>)</w:t>
        </w:r>
      </w:hyperlink>
      <w:r w:rsidRPr="009C4C3A">
        <w:rPr>
          <w:rFonts w:ascii="PalatinoLinotype" w:eastAsiaTheme="minorHAnsi" w:hAnsi="PalatinoLinotype" w:cs="PalatinoLinotype"/>
          <w:sz w:val="18"/>
          <w:szCs w:val="18"/>
          <w:lang w:eastAsia="en-US"/>
        </w:rPr>
        <w:t xml:space="preserve"> erfüllt, der mit einer Geldstrafe von bis zu 200 % des Hinterziehungs</w:t>
      </w:r>
      <w:r w:rsidRPr="009C4C3A">
        <w:rPr>
          <w:rFonts w:ascii="PalatinoLinotype" w:eastAsiaTheme="minorHAnsi" w:hAnsi="PalatinoLinotype" w:cs="PalatinoLinotype"/>
          <w:sz w:val="18"/>
          <w:szCs w:val="18"/>
          <w:lang w:eastAsia="en-US"/>
        </w:rPr>
        <w:softHyphen/>
        <w:t>betrages geahndet wird (für eine zusätzliche Sanktionierung als Finanz</w:t>
      </w:r>
      <w:r w:rsidRPr="009C4C3A">
        <w:rPr>
          <w:rFonts w:ascii="PalatinoLinotype" w:eastAsiaTheme="minorHAnsi" w:hAnsi="PalatinoLinotype" w:cs="PalatinoLinotype"/>
          <w:sz w:val="18"/>
          <w:szCs w:val="18"/>
          <w:lang w:eastAsia="en-US"/>
        </w:rPr>
        <w:softHyphen/>
        <w:t>ordnungswidrigkeit bleibt in diesen Fällen kein Raum mehr).</w:t>
      </w:r>
    </w:p>
    <w:p w14:paraId="26154DEB" w14:textId="29B65751" w:rsidR="00E32244" w:rsidRPr="009C4C3A" w:rsidRDefault="00E32244" w:rsidP="009C4C3A">
      <w:pPr>
        <w:rPr>
          <w:rFonts w:ascii="PalatinoLinotype" w:eastAsiaTheme="minorHAnsi" w:hAnsi="PalatinoLinotype" w:cs="PalatinoLinotype"/>
          <w:sz w:val="24"/>
          <w:szCs w:val="24"/>
          <w:lang w:eastAsia="en-US"/>
        </w:rPr>
      </w:pPr>
    </w:p>
    <w:sectPr w:rsidR="00E32244" w:rsidRPr="009C4C3A">
      <w:headerReference w:type="default" r:id="rId16"/>
      <w:pgSz w:w="11906" w:h="16838"/>
      <w:pgMar w:top="907" w:right="707" w:bottom="907" w:left="102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81B4A" w14:textId="77777777" w:rsidR="001F374D" w:rsidRDefault="001F374D" w:rsidP="001F374D">
      <w:r>
        <w:separator/>
      </w:r>
    </w:p>
  </w:endnote>
  <w:endnote w:type="continuationSeparator" w:id="0">
    <w:p w14:paraId="2CA1B6D2" w14:textId="77777777" w:rsidR="001F374D" w:rsidRDefault="001F374D" w:rsidP="001F3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Linotype">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AFB4E" w14:textId="77777777" w:rsidR="001F374D" w:rsidRDefault="001F374D" w:rsidP="001F374D">
      <w:r>
        <w:separator/>
      </w:r>
    </w:p>
  </w:footnote>
  <w:footnote w:type="continuationSeparator" w:id="0">
    <w:p w14:paraId="338F0633" w14:textId="77777777" w:rsidR="001F374D" w:rsidRDefault="001F374D" w:rsidP="001F37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08F98" w14:textId="77777777" w:rsidR="001F374D" w:rsidRDefault="00D7065E">
    <w:pPr>
      <w:pStyle w:val="Kopfzeile"/>
    </w:pPr>
    <w:r>
      <w:rPr>
        <w:noProof/>
        <w:lang w:eastAsia="de-DE"/>
      </w:rPr>
      <w:pict w14:anchorId="40D668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2" o:spid="_x0000_s3073" type="#_x0000_t75" alt="Beschreibung: logo.png" style="position:absolute;margin-left:-11pt;margin-top:-17.8pt;width:117pt;height:45.55pt;z-index:25165926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v:imagedata r:id="rId1" o:title="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F3D12"/>
    <w:multiLevelType w:val="multilevel"/>
    <w:tmpl w:val="4DB6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6E74559"/>
    <w:multiLevelType w:val="hybridMultilevel"/>
    <w:tmpl w:val="406E4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o:shapelayout v:ext="edit">
      <o:idmap v:ext="edit" data="3"/>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55B7"/>
    <w:rsid w:val="001F374D"/>
    <w:rsid w:val="002F55B7"/>
    <w:rsid w:val="009C4C3A"/>
    <w:rsid w:val="00D52871"/>
    <w:rsid w:val="00D7065E"/>
    <w:rsid w:val="00E322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03F2AA1C"/>
  <w15:docId w15:val="{41C9541A-5858-46F3-91E4-C52957B3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eastAsia="de-AT"/>
    </w:rPr>
  </w:style>
  <w:style w:type="paragraph" w:styleId="berschrift1">
    <w:name w:val="heading 1"/>
    <w:basedOn w:val="Standard"/>
    <w:next w:val="Standard"/>
    <w:qFormat/>
    <w:pPr>
      <w:keepNext/>
      <w:outlineLvl w:val="0"/>
    </w:pPr>
    <w:rPr>
      <w:b/>
      <w:sz w:val="24"/>
    </w:rPr>
  </w:style>
  <w:style w:type="paragraph" w:styleId="berschrift2">
    <w:name w:val="heading 2"/>
    <w:basedOn w:val="Standard"/>
    <w:next w:val="Standard"/>
    <w:qFormat/>
    <w:pPr>
      <w:keepNext/>
      <w:jc w:val="center"/>
      <w:outlineLvl w:val="1"/>
    </w:pPr>
    <w:rPr>
      <w:b/>
      <w:sz w:val="24"/>
    </w:rPr>
  </w:style>
  <w:style w:type="paragraph" w:styleId="berschrift3">
    <w:name w:val="heading 3"/>
    <w:basedOn w:val="Standard"/>
    <w:next w:val="Standard"/>
    <w:qFormat/>
    <w:pPr>
      <w:keepNext/>
      <w:jc w:val="center"/>
      <w:outlineLvl w:val="2"/>
    </w:pPr>
    <w:rPr>
      <w:b/>
      <w:sz w:val="24"/>
      <w:u w:val="wav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F374D"/>
    <w:pPr>
      <w:tabs>
        <w:tab w:val="center" w:pos="4536"/>
        <w:tab w:val="right" w:pos="9072"/>
      </w:tabs>
    </w:pPr>
  </w:style>
  <w:style w:type="character" w:customStyle="1" w:styleId="KopfzeileZchn">
    <w:name w:val="Kopfzeile Zchn"/>
    <w:basedOn w:val="Absatz-Standardschriftart"/>
    <w:link w:val="Kopfzeile"/>
    <w:uiPriority w:val="99"/>
    <w:rsid w:val="001F374D"/>
    <w:rPr>
      <w:lang w:eastAsia="de-AT"/>
    </w:rPr>
  </w:style>
  <w:style w:type="paragraph" w:styleId="Fuzeile">
    <w:name w:val="footer"/>
    <w:basedOn w:val="Standard"/>
    <w:link w:val="FuzeileZchn"/>
    <w:uiPriority w:val="99"/>
    <w:unhideWhenUsed/>
    <w:rsid w:val="001F374D"/>
    <w:pPr>
      <w:tabs>
        <w:tab w:val="center" w:pos="4536"/>
        <w:tab w:val="right" w:pos="9072"/>
      </w:tabs>
    </w:pPr>
  </w:style>
  <w:style w:type="character" w:customStyle="1" w:styleId="FuzeileZchn">
    <w:name w:val="Fußzeile Zchn"/>
    <w:basedOn w:val="Absatz-Standardschriftart"/>
    <w:link w:val="Fuzeile"/>
    <w:uiPriority w:val="99"/>
    <w:rsid w:val="001F374D"/>
    <w:rPr>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deonline.at/document/p323bao1961/" TargetMode="External"/><Relationship Id="rId13" Type="http://schemas.openxmlformats.org/officeDocument/2006/relationships/hyperlink" Target="https://www.lindeonline.at/document/p51finstrg195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deonline.at/document/p163bao196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deonline.at/document/p132abao1961/" TargetMode="External"/><Relationship Id="rId5" Type="http://schemas.openxmlformats.org/officeDocument/2006/relationships/webSettings" Target="webSettings.xml"/><Relationship Id="rId15" Type="http://schemas.openxmlformats.org/officeDocument/2006/relationships/hyperlink" Target="https://www.lindeonline.at/document/p33finstrg1958/" TargetMode="External"/><Relationship Id="rId10" Type="http://schemas.openxmlformats.org/officeDocument/2006/relationships/hyperlink" Target="https://www.lindeonline.at/document/p132abao1961/" TargetMode="External"/><Relationship Id="rId4" Type="http://schemas.openxmlformats.org/officeDocument/2006/relationships/settings" Target="settings.xml"/><Relationship Id="rId9" Type="http://schemas.openxmlformats.org/officeDocument/2006/relationships/hyperlink" Target="https://www.lindeonline.at/document/p45bao1961/" TargetMode="External"/><Relationship Id="rId14" Type="http://schemas.openxmlformats.org/officeDocument/2006/relationships/hyperlink" Target="https://www.lindeonline.at/document/p51afinstrg195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999929 xmlns="http://www.datev.de/BSOffice/999929">f07b9904-eb0f-496e-81bf-300a29216992</BSO999929>
</file>

<file path=customXml/itemProps1.xml><?xml version="1.0" encoding="utf-8"?>
<ds:datastoreItem xmlns:ds="http://schemas.openxmlformats.org/officeDocument/2006/customXml" ds:itemID="{C417D3BF-2E75-48BF-96DC-520F067F9C3B}">
  <ds:schemaRefs>
    <ds:schemaRef ds:uri="http://www.datev.de/BSOffice/999929"/>
  </ds:schemaRefs>
</ds:datastoreItem>
</file>

<file path=docProps/app.xml><?xml version="1.0" encoding="utf-8"?>
<Properties xmlns="http://schemas.openxmlformats.org/officeDocument/2006/extended-properties" xmlns:vt="http://schemas.openxmlformats.org/officeDocument/2006/docPropsVTypes">
  <Template>744719D3</Template>
  <TotalTime>0</TotalTime>
  <Pages>2</Pages>
  <Words>705</Words>
  <Characters>4446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Steuerberatungskanzlei</Company>
  <LinksUpToDate>false</LinksUpToDate>
  <CharactersWithSpaces>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michlits</dc:creator>
  <cp:lastModifiedBy>Thaler, MSc. André | FM Steuerberatung GmbH</cp:lastModifiedBy>
  <cp:revision>5</cp:revision>
  <cp:lastPrinted>2001-11-06T07:30:00Z</cp:lastPrinted>
  <dcterms:created xsi:type="dcterms:W3CDTF">2013-06-19T16:36:00Z</dcterms:created>
  <dcterms:modified xsi:type="dcterms:W3CDTF">2018-01-17T10:42:00Z</dcterms:modified>
</cp:coreProperties>
</file>