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5CFD3" w14:textId="77777777" w:rsidR="001F374D" w:rsidRDefault="001F374D"/>
    <w:p w14:paraId="27829803" w14:textId="77777777" w:rsidR="001F374D" w:rsidRDefault="001F374D"/>
    <w:p w14:paraId="2C1707BC" w14:textId="10654945" w:rsidR="009C4C3A" w:rsidRPr="009C4C3A" w:rsidRDefault="00543186" w:rsidP="009C4C3A">
      <w:pPr>
        <w:spacing w:before="100" w:beforeAutospacing="1" w:after="100" w:afterAutospacing="1" w:line="276" w:lineRule="auto"/>
        <w:contextualSpacing/>
        <w:rPr>
          <w:rFonts w:ascii="PalatinoLinotype" w:eastAsiaTheme="minorHAnsi" w:hAnsi="PalatinoLinotype" w:cs="PalatinoLinotype"/>
          <w:b/>
          <w:sz w:val="28"/>
          <w:szCs w:val="28"/>
          <w:lang w:eastAsia="en-US"/>
        </w:rPr>
      </w:pPr>
      <w:r>
        <w:rPr>
          <w:rFonts w:ascii="PalatinoLinotype" w:eastAsiaTheme="minorHAnsi" w:hAnsi="PalatinoLinotype" w:cs="PalatinoLinotype"/>
          <w:b/>
          <w:sz w:val="28"/>
          <w:szCs w:val="28"/>
          <w:lang w:eastAsia="en-US"/>
        </w:rPr>
        <w:t>Registrierkasse - Abschlüsse</w:t>
      </w:r>
    </w:p>
    <w:p w14:paraId="0A907A96" w14:textId="77777777" w:rsidR="009C4C3A" w:rsidRPr="009C4C3A" w:rsidRDefault="009C4C3A" w:rsidP="00543186">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5D45E45E" w14:textId="77777777" w:rsidR="00543186" w:rsidRPr="00543186" w:rsidRDefault="00543186" w:rsidP="00543186">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543186">
        <w:rPr>
          <w:rFonts w:ascii="PalatinoLinotype" w:eastAsiaTheme="minorHAnsi" w:hAnsi="PalatinoLinotype" w:cs="PalatinoLinotype"/>
          <w:sz w:val="24"/>
          <w:szCs w:val="24"/>
          <w:lang w:eastAsia="en-US"/>
        </w:rPr>
        <w:t>Tagesabschluss</w:t>
      </w:r>
    </w:p>
    <w:p w14:paraId="5D56E242" w14:textId="77777777" w:rsidR="00543186" w:rsidRP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Die (immer noch geltende) Kassenrichtlinie sieht einen täglichen Tagesabschluss vor. Sobald die Kasse die Registrierkassensicherheitsverordnung (ab 1.4.2017) umsetzt, erfüllt sie automatisch auch die Kassenrichtlinie. Unabhängig davon ist ein Tagesabschluss notwendig, um täglich den Kassenstand kontrollieren zu können.</w:t>
      </w:r>
    </w:p>
    <w:p w14:paraId="6932DE55" w14:textId="77777777" w:rsidR="00543186" w:rsidRP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5F885358" w14:textId="77777777" w:rsidR="00543186" w:rsidRP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Anmerkung: Falls Sie vergessen haben, den Tagesabschluss zu drucken, haben Sie die Möglichkeit  diesen am nächsten Tag zu drucken, da immer der Tag, der nicht gedruckt wurde, zuerst gedruckt wird.</w:t>
      </w:r>
    </w:p>
    <w:p w14:paraId="0BF24976" w14:textId="77777777" w:rsidR="00543186" w:rsidRPr="00543186" w:rsidRDefault="00543186" w:rsidP="00543186">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68F8FC52" w14:textId="77777777" w:rsidR="00543186" w:rsidRPr="00543186" w:rsidRDefault="00543186" w:rsidP="00543186">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543186">
        <w:rPr>
          <w:rFonts w:ascii="PalatinoLinotype" w:eastAsiaTheme="minorHAnsi" w:hAnsi="PalatinoLinotype" w:cs="PalatinoLinotype"/>
          <w:sz w:val="24"/>
          <w:szCs w:val="24"/>
          <w:lang w:eastAsia="en-US"/>
        </w:rPr>
        <w:t>Monatsabschluss</w:t>
      </w:r>
    </w:p>
    <w:p w14:paraId="32F4C86E" w14:textId="47FD0CED" w:rsidR="00543186" w:rsidRP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 xml:space="preserve">Start-, Monats-, Jahres- und Schlussbelege dienen als zusätzliche Sicherheiten für die Gewährleistung der vollständigen Erfassung der Umsätze in der Registrierkasse. Diese Belege müssen daher ebenfalls signiert und damit in die Belegkette eingeflochten und 7 Jahre aufbewahrt werden. Laut </w:t>
      </w:r>
      <w:r>
        <w:rPr>
          <w:rFonts w:ascii="PalatinoLinotype" w:eastAsia="Calibri" w:hAnsi="PalatinoLinotype" w:cs="PalatinoLinotype"/>
          <w:sz w:val="18"/>
          <w:szCs w:val="18"/>
          <w:lang w:eastAsia="en-US"/>
        </w:rPr>
        <w:t>Registrierkassenverordnung (</w:t>
      </w:r>
      <w:r w:rsidRPr="00543186">
        <w:rPr>
          <w:rFonts w:ascii="PalatinoLinotype" w:eastAsia="Calibri" w:hAnsi="PalatinoLinotype" w:cs="PalatinoLinotype"/>
          <w:sz w:val="18"/>
          <w:szCs w:val="18"/>
          <w:lang w:eastAsia="en-US"/>
        </w:rPr>
        <w:t>RKSV</w:t>
      </w:r>
      <w:r>
        <w:rPr>
          <w:rFonts w:ascii="PalatinoLinotype" w:eastAsia="Calibri" w:hAnsi="PalatinoLinotype" w:cs="PalatinoLinotype"/>
          <w:sz w:val="18"/>
          <w:szCs w:val="18"/>
          <w:lang w:eastAsia="en-US"/>
        </w:rPr>
        <w:t>)</w:t>
      </w:r>
      <w:r w:rsidRPr="00543186">
        <w:rPr>
          <w:rFonts w:ascii="PalatinoLinotype" w:eastAsia="Calibri" w:hAnsi="PalatinoLinotype" w:cs="PalatinoLinotype"/>
          <w:sz w:val="18"/>
          <w:szCs w:val="18"/>
          <w:lang w:eastAsia="en-US"/>
        </w:rPr>
        <w:t xml:space="preserve"> muss verpflichtend jedes Monat ein Monatsabschluss durchgeführt werden. </w:t>
      </w:r>
    </w:p>
    <w:p w14:paraId="40C63918" w14:textId="77777777" w:rsidR="00543186" w:rsidRPr="00543186" w:rsidRDefault="00543186" w:rsidP="00543186">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0F8924DD" w14:textId="77777777" w:rsidR="00543186" w:rsidRPr="00543186" w:rsidRDefault="00543186" w:rsidP="00543186">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543186">
        <w:rPr>
          <w:rFonts w:ascii="PalatinoLinotype" w:eastAsiaTheme="minorHAnsi" w:hAnsi="PalatinoLinotype" w:cs="PalatinoLinotype"/>
          <w:sz w:val="24"/>
          <w:szCs w:val="24"/>
          <w:lang w:eastAsia="en-US"/>
        </w:rPr>
        <w:t>Jahresabschluss</w:t>
      </w:r>
    </w:p>
    <w:p w14:paraId="1B57EF48" w14:textId="20F3967E" w:rsidR="00543186" w:rsidRP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Mit Ablauf jedes Kalenderjahres ist der Monatsbeleg, der den Zählerstand zum Jahresende enthält, auszudrucken. Dieser Monatsabschluss des Dezembers stellt also gleichzeitig den Jahresbeleg dar. Dieser Beleg ist, wie Startbelege</w:t>
      </w:r>
      <w:r>
        <w:rPr>
          <w:rFonts w:ascii="PalatinoLinotype" w:eastAsia="Calibri" w:hAnsi="PalatinoLinotype" w:cs="PalatinoLinotype"/>
          <w:sz w:val="18"/>
          <w:szCs w:val="18"/>
          <w:lang w:eastAsia="en-US"/>
        </w:rPr>
        <w:t xml:space="preserve"> und Schlussbelege</w:t>
      </w:r>
      <w:r w:rsidRPr="00543186">
        <w:rPr>
          <w:rFonts w:ascii="PalatinoLinotype" w:eastAsia="Calibri" w:hAnsi="PalatinoLinotype" w:cs="PalatinoLinotype"/>
          <w:sz w:val="18"/>
          <w:szCs w:val="18"/>
          <w:lang w:eastAsia="en-US"/>
        </w:rPr>
        <w:t xml:space="preserve">, jedenfalls zu prüfen und gemäß § 132 BAO aufzubewahren. </w:t>
      </w:r>
    </w:p>
    <w:p w14:paraId="51E5B01F" w14:textId="77777777" w:rsid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17834B17" w14:textId="77777777" w:rsidR="00543186" w:rsidRP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 xml:space="preserve">Die Prüfung des Jahresbelegs kann mittels BMF App (anhand des QR Codes am ausgedruckten Beleg) oder auch über das Webservice von </w:t>
      </w:r>
      <w:proofErr w:type="spellStart"/>
      <w:r w:rsidRPr="00543186">
        <w:rPr>
          <w:rFonts w:ascii="PalatinoLinotype" w:eastAsia="Calibri" w:hAnsi="PalatinoLinotype" w:cs="PalatinoLinotype"/>
          <w:sz w:val="18"/>
          <w:szCs w:val="18"/>
          <w:lang w:eastAsia="en-US"/>
        </w:rPr>
        <w:t>FinanzOnline</w:t>
      </w:r>
      <w:proofErr w:type="spellEnd"/>
      <w:r w:rsidRPr="00543186">
        <w:rPr>
          <w:rFonts w:ascii="PalatinoLinotype" w:eastAsia="Calibri" w:hAnsi="PalatinoLinotype" w:cs="PalatinoLinotype"/>
          <w:sz w:val="18"/>
          <w:szCs w:val="18"/>
          <w:lang w:eastAsia="en-US"/>
        </w:rPr>
        <w:t xml:space="preserve"> durchgeführt werden. Zusätzlich gibt es noch folgende weitere Möglichkeiten:</w:t>
      </w:r>
    </w:p>
    <w:p w14:paraId="1B5CA8DC" w14:textId="7C16BF45" w:rsidR="00543186" w:rsidRDefault="00543186" w:rsidP="00543186">
      <w:pPr>
        <w:numPr>
          <w:ilvl w:val="0"/>
          <w:numId w:val="3"/>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Speichern des Belegs als XML</w:t>
      </w:r>
      <w:r>
        <w:rPr>
          <w:rFonts w:ascii="PalatinoLinotype" w:eastAsia="Calibri" w:hAnsi="PalatinoLinotype" w:cs="PalatinoLinotype"/>
          <w:sz w:val="18"/>
          <w:szCs w:val="18"/>
          <w:lang w:eastAsia="en-US"/>
        </w:rPr>
        <w:t xml:space="preserve"> Datei und Versenden per E-Mail</w:t>
      </w:r>
    </w:p>
    <w:p w14:paraId="30F9DA29" w14:textId="4CC6B27F" w:rsidR="00543186" w:rsidRDefault="00543186" w:rsidP="00543186">
      <w:pPr>
        <w:numPr>
          <w:ilvl w:val="0"/>
          <w:numId w:val="3"/>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Ausdruck des FON-RK1 Formulars und persönliche Abgabe inkl. Beleg beim zuständigen Finanzamt, wenn kein Internetzugang, kein Smartphone sowie keine Bevollmächtigung eines Steuerberater</w:t>
      </w:r>
    </w:p>
    <w:p w14:paraId="4181FC46" w14:textId="77777777" w:rsidR="00543186" w:rsidRPr="00543186" w:rsidRDefault="00543186" w:rsidP="00543186">
      <w:pPr>
        <w:spacing w:before="100" w:beforeAutospacing="1" w:after="100" w:afterAutospacing="1" w:line="276" w:lineRule="auto"/>
        <w:ind w:left="720"/>
        <w:contextualSpacing/>
        <w:jc w:val="both"/>
        <w:rPr>
          <w:rFonts w:ascii="PalatinoLinotype" w:eastAsia="Calibri" w:hAnsi="PalatinoLinotype" w:cs="PalatinoLinotype"/>
          <w:sz w:val="18"/>
          <w:szCs w:val="18"/>
          <w:lang w:eastAsia="en-US"/>
        </w:rPr>
      </w:pPr>
      <w:bookmarkStart w:id="0" w:name="_GoBack"/>
      <w:bookmarkEnd w:id="0"/>
    </w:p>
    <w:p w14:paraId="52BC0FA6" w14:textId="77777777" w:rsid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543186">
        <w:rPr>
          <w:rFonts w:ascii="PalatinoLinotype" w:eastAsia="Calibri" w:hAnsi="PalatinoLinotype" w:cs="PalatinoLinotype"/>
          <w:sz w:val="18"/>
          <w:szCs w:val="18"/>
          <w:lang w:eastAsia="en-US"/>
        </w:rPr>
        <w:t>Die Prüfung muss dabei spätestens bis zum 15. Februar des Folgejahres durchgeführt werden.</w:t>
      </w:r>
    </w:p>
    <w:p w14:paraId="1156DC83" w14:textId="77777777" w:rsidR="00543186" w:rsidRDefault="00543186" w:rsidP="00543186">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26154DEB" w14:textId="29B65751" w:rsidR="00E32244" w:rsidRPr="009C4C3A" w:rsidRDefault="00E32244" w:rsidP="009C4C3A">
      <w:pPr>
        <w:rPr>
          <w:rFonts w:ascii="PalatinoLinotype" w:eastAsiaTheme="minorHAnsi" w:hAnsi="PalatinoLinotype" w:cs="PalatinoLinotype"/>
          <w:sz w:val="24"/>
          <w:szCs w:val="24"/>
          <w:lang w:eastAsia="en-US"/>
        </w:rPr>
      </w:pPr>
    </w:p>
    <w:sectPr w:rsidR="00E32244" w:rsidRPr="009C4C3A">
      <w:headerReference w:type="default" r:id="rId8"/>
      <w:pgSz w:w="11906" w:h="16838"/>
      <w:pgMar w:top="907" w:right="707" w:bottom="907" w:left="10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1B4A" w14:textId="77777777" w:rsidR="001F374D" w:rsidRDefault="001F374D" w:rsidP="001F374D">
      <w:r>
        <w:separator/>
      </w:r>
    </w:p>
  </w:endnote>
  <w:endnote w:type="continuationSeparator" w:id="0">
    <w:p w14:paraId="2CA1B6D2" w14:textId="77777777" w:rsidR="001F374D" w:rsidRDefault="001F374D" w:rsidP="001F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AFB4E" w14:textId="77777777" w:rsidR="001F374D" w:rsidRDefault="001F374D" w:rsidP="001F374D">
      <w:r>
        <w:separator/>
      </w:r>
    </w:p>
  </w:footnote>
  <w:footnote w:type="continuationSeparator" w:id="0">
    <w:p w14:paraId="338F0633" w14:textId="77777777" w:rsidR="001F374D" w:rsidRDefault="001F374D" w:rsidP="001F3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8F98" w14:textId="77777777" w:rsidR="001F374D" w:rsidRDefault="00543186">
    <w:pPr>
      <w:pStyle w:val="Kopfzeile"/>
    </w:pPr>
    <w:r>
      <w:rPr>
        <w:noProof/>
        <w:lang w:eastAsia="de-DE"/>
      </w:rPr>
      <w:pict w14:anchorId="40D66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s3073" type="#_x0000_t75" alt="Beschreibung: logo.png" style="position:absolute;margin-left:-11pt;margin-top:-17.8pt;width:117pt;height:45.5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F3D12"/>
    <w:multiLevelType w:val="multilevel"/>
    <w:tmpl w:val="4DB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139AF"/>
    <w:multiLevelType w:val="hybridMultilevel"/>
    <w:tmpl w:val="78CE0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E74559"/>
    <w:multiLevelType w:val="hybridMultilevel"/>
    <w:tmpl w:val="406E4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55B7"/>
    <w:rsid w:val="001F374D"/>
    <w:rsid w:val="002F55B7"/>
    <w:rsid w:val="00543186"/>
    <w:rsid w:val="009C4C3A"/>
    <w:rsid w:val="00D52871"/>
    <w:rsid w:val="00E322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3F2AA1C"/>
  <w15:docId w15:val="{41C9541A-5858-46F3-91E4-C52957B3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eastAsia="de-AT"/>
    </w:rPr>
  </w:style>
  <w:style w:type="paragraph" w:styleId="berschrift1">
    <w:name w:val="heading 1"/>
    <w:basedOn w:val="Standard"/>
    <w:next w:val="Standard"/>
    <w:qFormat/>
    <w:pPr>
      <w:keepNext/>
      <w:outlineLvl w:val="0"/>
    </w:pPr>
    <w:rPr>
      <w:b/>
      <w:sz w:val="24"/>
    </w:rPr>
  </w:style>
  <w:style w:type="paragraph" w:styleId="berschrift2">
    <w:name w:val="heading 2"/>
    <w:basedOn w:val="Standard"/>
    <w:next w:val="Standard"/>
    <w:qFormat/>
    <w:pPr>
      <w:keepNext/>
      <w:jc w:val="center"/>
      <w:outlineLvl w:val="1"/>
    </w:pPr>
    <w:rPr>
      <w:b/>
      <w:sz w:val="24"/>
    </w:rPr>
  </w:style>
  <w:style w:type="paragraph" w:styleId="berschrift3">
    <w:name w:val="heading 3"/>
    <w:basedOn w:val="Standard"/>
    <w:next w:val="Standard"/>
    <w:qFormat/>
    <w:pPr>
      <w:keepNext/>
      <w:jc w:val="center"/>
      <w:outlineLvl w:val="2"/>
    </w:pPr>
    <w:rPr>
      <w:b/>
      <w:sz w:val="24"/>
      <w:u w:val="wav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374D"/>
    <w:pPr>
      <w:tabs>
        <w:tab w:val="center" w:pos="4536"/>
        <w:tab w:val="right" w:pos="9072"/>
      </w:tabs>
    </w:pPr>
  </w:style>
  <w:style w:type="character" w:customStyle="1" w:styleId="KopfzeileZchn">
    <w:name w:val="Kopfzeile Zchn"/>
    <w:basedOn w:val="Absatz-Standardschriftart"/>
    <w:link w:val="Kopfzeile"/>
    <w:uiPriority w:val="99"/>
    <w:rsid w:val="001F374D"/>
    <w:rPr>
      <w:lang w:eastAsia="de-AT"/>
    </w:rPr>
  </w:style>
  <w:style w:type="paragraph" w:styleId="Fuzeile">
    <w:name w:val="footer"/>
    <w:basedOn w:val="Standard"/>
    <w:link w:val="FuzeileZchn"/>
    <w:uiPriority w:val="99"/>
    <w:unhideWhenUsed/>
    <w:rsid w:val="001F374D"/>
    <w:pPr>
      <w:tabs>
        <w:tab w:val="center" w:pos="4536"/>
        <w:tab w:val="right" w:pos="9072"/>
      </w:tabs>
    </w:pPr>
  </w:style>
  <w:style w:type="character" w:customStyle="1" w:styleId="FuzeileZchn">
    <w:name w:val="Fußzeile Zchn"/>
    <w:basedOn w:val="Absatz-Standardschriftart"/>
    <w:link w:val="Fuzeile"/>
    <w:uiPriority w:val="99"/>
    <w:rsid w:val="001F374D"/>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999929 xmlns="http://www.datev.de/BSOffice/999929">f07b9904-eb0f-496e-81bf-300a29216992</BSO999929>
</file>

<file path=customXml/itemProps1.xml><?xml version="1.0" encoding="utf-8"?>
<ds:datastoreItem xmlns:ds="http://schemas.openxmlformats.org/officeDocument/2006/customXml" ds:itemID="{C417D3BF-2E75-48BF-96DC-520F067F9C3B}">
  <ds:schemaRefs>
    <ds:schemaRef ds:uri="http://www.datev.de/BSOffice/999929"/>
  </ds:schemaRefs>
</ds:datastoreItem>
</file>

<file path=docProps/app.xml><?xml version="1.0" encoding="utf-8"?>
<Properties xmlns="http://schemas.openxmlformats.org/officeDocument/2006/extended-properties" xmlns:vt="http://schemas.openxmlformats.org/officeDocument/2006/docPropsVTypes">
  <Template>42B45095</Template>
  <TotalTime>0</TotalTime>
  <Pages>1</Pages>
  <Words>254</Words>
  <Characters>1605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Steuerberatungskanzlei</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michlits</dc:creator>
  <cp:lastModifiedBy>Thaler, MSc. André | FM Steuerberatung GmbH</cp:lastModifiedBy>
  <cp:revision>5</cp:revision>
  <cp:lastPrinted>2001-11-06T07:30:00Z</cp:lastPrinted>
  <dcterms:created xsi:type="dcterms:W3CDTF">2013-06-19T16:36:00Z</dcterms:created>
  <dcterms:modified xsi:type="dcterms:W3CDTF">2018-01-17T07:53:00Z</dcterms:modified>
</cp:coreProperties>
</file>