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35D" w:rsidRPr="00E00777" w:rsidRDefault="0045535D" w:rsidP="0045535D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F6228" w:themeColor="accent3" w:themeShade="80"/>
          <w:kern w:val="36"/>
          <w:sz w:val="36"/>
          <w:szCs w:val="36"/>
          <w:lang w:eastAsia="de-AT"/>
        </w:rPr>
      </w:pPr>
      <w:bookmarkStart w:id="0" w:name="_GoBack"/>
      <w:bookmarkEnd w:id="0"/>
      <w:r w:rsidRPr="00E00777">
        <w:rPr>
          <w:rFonts w:ascii="Times New Roman" w:eastAsia="Times New Roman" w:hAnsi="Times New Roman" w:cs="Times New Roman"/>
          <w:b/>
          <w:bCs/>
          <w:color w:val="4F6228" w:themeColor="accent3" w:themeShade="80"/>
          <w:kern w:val="36"/>
          <w:sz w:val="36"/>
          <w:szCs w:val="36"/>
          <w:lang w:eastAsia="de-AT"/>
        </w:rPr>
        <w:t>Fortbildung für Bildungs- und BerufsberaterInnen</w:t>
      </w:r>
    </w:p>
    <w:p w:rsidR="0045535D" w:rsidRPr="00E00777" w:rsidRDefault="006A41BD" w:rsidP="0045535D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F6228" w:themeColor="accent3" w:themeShade="80"/>
          <w:kern w:val="36"/>
          <w:sz w:val="36"/>
          <w:szCs w:val="36"/>
          <w:lang w:eastAsia="de-AT"/>
        </w:rPr>
      </w:pPr>
      <w:r w:rsidRPr="00E00777">
        <w:rPr>
          <w:rFonts w:ascii="Times New Roman" w:eastAsia="Times New Roman" w:hAnsi="Times New Roman" w:cs="Times New Roman"/>
          <w:b/>
          <w:bCs/>
          <w:color w:val="4F6228" w:themeColor="accent3" w:themeShade="80"/>
          <w:kern w:val="36"/>
          <w:sz w:val="36"/>
          <w:szCs w:val="36"/>
          <w:lang w:eastAsia="de-AT"/>
        </w:rPr>
        <w:t xml:space="preserve"> „Beratung</w:t>
      </w:r>
      <w:r w:rsidR="0045535D" w:rsidRPr="00E00777">
        <w:rPr>
          <w:rFonts w:ascii="Times New Roman" w:eastAsia="Times New Roman" w:hAnsi="Times New Roman" w:cs="Times New Roman"/>
          <w:b/>
          <w:bCs/>
          <w:color w:val="4F6228" w:themeColor="accent3" w:themeShade="80"/>
          <w:kern w:val="36"/>
          <w:sz w:val="36"/>
          <w:szCs w:val="36"/>
          <w:lang w:eastAsia="de-AT"/>
        </w:rPr>
        <w:t xml:space="preserve"> im Gehen“</w:t>
      </w:r>
    </w:p>
    <w:p w:rsidR="0045535D" w:rsidRPr="00E00777" w:rsidRDefault="0045535D" w:rsidP="0045535D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F6228" w:themeColor="accent3" w:themeShade="80"/>
          <w:sz w:val="36"/>
          <w:szCs w:val="36"/>
          <w:lang w:eastAsia="de-AT"/>
        </w:rPr>
      </w:pPr>
      <w:r w:rsidRPr="00E00777">
        <w:rPr>
          <w:rFonts w:ascii="Times New Roman" w:eastAsia="Times New Roman" w:hAnsi="Times New Roman" w:cs="Times New Roman"/>
          <w:b/>
          <w:bCs/>
          <w:color w:val="4F6228" w:themeColor="accent3" w:themeShade="80"/>
          <w:sz w:val="36"/>
          <w:szCs w:val="36"/>
          <w:lang w:eastAsia="de-AT"/>
        </w:rPr>
        <w:t>Neue Wege der</w:t>
      </w:r>
      <w:r w:rsidR="00137F2D" w:rsidRPr="00E00777">
        <w:rPr>
          <w:rFonts w:ascii="Times New Roman" w:eastAsia="Times New Roman" w:hAnsi="Times New Roman" w:cs="Times New Roman"/>
          <w:b/>
          <w:bCs/>
          <w:color w:val="4F6228" w:themeColor="accent3" w:themeShade="80"/>
          <w:sz w:val="36"/>
          <w:szCs w:val="36"/>
          <w:lang w:eastAsia="de-AT"/>
        </w:rPr>
        <w:t xml:space="preserve"> Berufsorientierung für </w:t>
      </w:r>
      <w:proofErr w:type="spellStart"/>
      <w:r w:rsidR="00137F2D" w:rsidRPr="00E00777">
        <w:rPr>
          <w:rFonts w:ascii="Times New Roman" w:eastAsia="Times New Roman" w:hAnsi="Times New Roman" w:cs="Times New Roman"/>
          <w:b/>
          <w:bCs/>
          <w:color w:val="4F6228" w:themeColor="accent3" w:themeShade="80"/>
          <w:sz w:val="36"/>
          <w:szCs w:val="36"/>
          <w:lang w:eastAsia="de-AT"/>
        </w:rPr>
        <w:t>MigrantI</w:t>
      </w:r>
      <w:r w:rsidRPr="00E00777">
        <w:rPr>
          <w:rFonts w:ascii="Times New Roman" w:eastAsia="Times New Roman" w:hAnsi="Times New Roman" w:cs="Times New Roman"/>
          <w:b/>
          <w:bCs/>
          <w:color w:val="4F6228" w:themeColor="accent3" w:themeShade="80"/>
          <w:sz w:val="36"/>
          <w:szCs w:val="36"/>
          <w:lang w:eastAsia="de-AT"/>
        </w:rPr>
        <w:t>nnen</w:t>
      </w:r>
      <w:proofErr w:type="spellEnd"/>
    </w:p>
    <w:p w:rsidR="0045535D" w:rsidRPr="0045535D" w:rsidRDefault="0045535D" w:rsidP="0045535D">
      <w:pPr>
        <w:spacing w:after="4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45535D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de-AT"/>
        </w:rPr>
        <w:drawing>
          <wp:inline distT="0" distB="0" distL="0" distR="0" wp14:anchorId="56E84DB8" wp14:editId="28FA7DD0">
            <wp:extent cx="2905125" cy="20200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20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777" w:rsidRDefault="00E00777" w:rsidP="0045535D">
      <w:pPr>
        <w:spacing w:after="0" w:line="360" w:lineRule="auto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Die innovative Methode </w:t>
      </w:r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„</w:t>
      </w:r>
      <w:r w:rsidR="00F4256E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Beratung</w:t>
      </w:r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im Gehen“ ist bestens geeignet, um Ressourcen zu aktivieren, psychosoziale Einschränkungen zu überwinden und neue Blickwinkel zu eröffnen. </w:t>
      </w: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In dieser </w:t>
      </w:r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Fortbildung</w:t>
      </w: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werden</w:t>
      </w:r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sowohl theoretische Hintergründe als auch praktis</w:t>
      </w: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che Übungen vermittelt. </w:t>
      </w: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Um das Berufsspektrum von </w:t>
      </w:r>
      <w:proofErr w:type="spellStart"/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MigrantInnen</w:t>
      </w:r>
      <w:proofErr w:type="spellEnd"/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zu erweitern, bedarf es neben gesellschaftspolitischen Veränderungen auch neuer Denk- und Verhaltensmuster aller Betroff</w:t>
      </w: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>enen!</w:t>
      </w:r>
    </w:p>
    <w:p w:rsidR="00E00777" w:rsidRDefault="00E00777" w:rsidP="00E1756B">
      <w:pPr>
        <w:spacing w:line="240" w:lineRule="auto"/>
        <w:ind w:firstLine="708"/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</w:pPr>
    </w:p>
    <w:p w:rsidR="0045535D" w:rsidRPr="0024262D" w:rsidRDefault="0045535D" w:rsidP="00E1756B">
      <w:pPr>
        <w:spacing w:line="240" w:lineRule="auto"/>
        <w:ind w:firstLine="708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 w:rsidRPr="0024262D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>Zielgruppe:</w:t>
      </w:r>
      <w:r w:rsidR="00137F2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ab/>
        <w:t xml:space="preserve">Bildungs- und </w:t>
      </w:r>
      <w:proofErr w:type="spellStart"/>
      <w:r w:rsidR="00137F2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BerufsberaterI</w:t>
      </w: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nnen</w:t>
      </w:r>
      <w:proofErr w:type="spellEnd"/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, die mit </w:t>
      </w:r>
      <w:proofErr w:type="spellStart"/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MigrantInnen</w:t>
      </w:r>
      <w:proofErr w:type="spellEnd"/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arbeiten</w:t>
      </w:r>
    </w:p>
    <w:p w:rsidR="0045535D" w:rsidRPr="0024262D" w:rsidRDefault="0045535D" w:rsidP="00E1756B">
      <w:pPr>
        <w:spacing w:line="240" w:lineRule="auto"/>
        <w:ind w:firstLine="708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 w:rsidRPr="0024262D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>Zeit:</w:t>
      </w:r>
      <w:r w:rsidRPr="0024262D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ab/>
      </w:r>
      <w:r w:rsidRPr="0024262D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ab/>
      </w:r>
      <w:r w:rsidR="006A41B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23. </w:t>
      </w:r>
      <w:r w:rsidR="006A578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Oktober, </w:t>
      </w:r>
      <w:r w:rsidR="00990D16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2018, </w:t>
      </w:r>
      <w:r w:rsidR="003D3940">
        <w:rPr>
          <w:rFonts w:ascii="Times New Roman" w:eastAsia="Times New Roman" w:hAnsi="Times New Roman" w:cs="Times New Roman"/>
          <w:color w:val="1F497D" w:themeColor="text2"/>
          <w:lang w:eastAsia="de-AT"/>
        </w:rPr>
        <w:t>14.00-17.0</w:t>
      </w:r>
      <w:r w:rsidR="006A41B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0</w:t>
      </w:r>
    </w:p>
    <w:p w:rsidR="0045535D" w:rsidRPr="0024262D" w:rsidRDefault="0045535D" w:rsidP="00E1756B">
      <w:pPr>
        <w:spacing w:line="240" w:lineRule="auto"/>
        <w:ind w:firstLine="708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 w:rsidRPr="0024262D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 xml:space="preserve">Ort: </w:t>
      </w:r>
      <w:r w:rsidRPr="0024262D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ab/>
      </w:r>
      <w:r w:rsidRPr="0024262D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ab/>
      </w: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Peregrina – Bildungs-</w:t>
      </w:r>
      <w:proofErr w:type="spellStart"/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Beratungs</w:t>
      </w:r>
      <w:proofErr w:type="spellEnd"/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und Therapiezentrum für Immigrantinnen, </w:t>
      </w: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ab/>
      </w: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ab/>
      </w: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ab/>
      </w:r>
      <w:r w:rsidR="00E1756B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ab/>
      </w:r>
      <w:r w:rsidR="00E1756B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ab/>
      </w: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W</w:t>
      </w:r>
      <w:r w:rsidR="005C159E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ilhelm Weber Weg 1/Stiege 2, 111</w:t>
      </w: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0 Wien (U3 Station Enkplatz)</w:t>
      </w:r>
    </w:p>
    <w:p w:rsidR="0045535D" w:rsidRPr="0024262D" w:rsidRDefault="00E00777" w:rsidP="00E1756B">
      <w:pPr>
        <w:spacing w:after="120" w:line="240" w:lineRule="auto"/>
        <w:ind w:firstLine="708"/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</w:pPr>
      <w:r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>Inhalte und Methoden:</w:t>
      </w:r>
    </w:p>
    <w:p w:rsidR="0045535D" w:rsidRPr="0024262D" w:rsidRDefault="006A578D" w:rsidP="0045535D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>G</w:t>
      </w:r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esundheitswissenschaftliche und soziokulturelle Aspekte</w:t>
      </w: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des Gehens - Vortrag und Erfahrungsaustausch</w:t>
      </w:r>
    </w:p>
    <w:p w:rsidR="0045535D" w:rsidRPr="0024262D" w:rsidRDefault="0045535D" w:rsidP="0045535D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Möglichkeiten und Grenzen </w:t>
      </w:r>
      <w:r w:rsidR="006A578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der </w:t>
      </w:r>
      <w:r w:rsidR="006A578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„Beratung im Gehen“</w:t>
      </w:r>
      <w:r w:rsidR="006A578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-</w:t>
      </w:r>
      <w:r w:rsidR="002A0FD4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Filmbeispiele</w:t>
      </w:r>
    </w:p>
    <w:p w:rsidR="0045535D" w:rsidRPr="0024262D" w:rsidRDefault="006A578D" w:rsidP="0045535D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>Handlungsleitfaden zu dieser Methode -  Broschüre zur Wegbegleitung</w:t>
      </w:r>
    </w:p>
    <w:p w:rsidR="0045535D" w:rsidRDefault="002A0FD4" w:rsidP="0045535D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Case 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>studies</w:t>
      </w:r>
      <w:proofErr w:type="spellEnd"/>
      <w:r w:rsidR="006A578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-</w:t>
      </w:r>
      <w:r w:rsidR="00E00777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p</w:t>
      </w:r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raktische in- und </w:t>
      </w:r>
      <w:proofErr w:type="spellStart"/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outdoor</w:t>
      </w:r>
      <w:proofErr w:type="spellEnd"/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Übungen</w:t>
      </w:r>
    </w:p>
    <w:p w:rsidR="00E00777" w:rsidRPr="00E00777" w:rsidRDefault="00E00777" w:rsidP="00E00777">
      <w:pPr>
        <w:pStyle w:val="Listenabsatz"/>
        <w:spacing w:after="0" w:line="360" w:lineRule="auto"/>
        <w:ind w:left="729"/>
        <w:rPr>
          <w:rFonts w:ascii="Times New Roman" w:eastAsia="Times New Roman" w:hAnsi="Times New Roman" w:cs="Times New Roman"/>
          <w:b/>
          <w:color w:val="1F497D" w:themeColor="text2"/>
          <w:sz w:val="16"/>
          <w:szCs w:val="16"/>
          <w:lang w:eastAsia="de-AT"/>
        </w:rPr>
      </w:pPr>
    </w:p>
    <w:p w:rsidR="00E00777" w:rsidRPr="00E00777" w:rsidRDefault="00E00777" w:rsidP="00E00777">
      <w:pPr>
        <w:pStyle w:val="Listenabsatz"/>
        <w:spacing w:after="0" w:line="360" w:lineRule="auto"/>
        <w:ind w:left="729"/>
        <w:rPr>
          <w:rFonts w:ascii="Times New Roman" w:eastAsia="Times New Roman" w:hAnsi="Times New Roman" w:cs="Times New Roman"/>
          <w:color w:val="1F497D" w:themeColor="text2"/>
          <w:sz w:val="16"/>
          <w:szCs w:val="16"/>
          <w:lang w:eastAsia="de-AT"/>
        </w:rPr>
      </w:pPr>
      <w:r w:rsidRPr="00E00777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>Berufliche Verwendung:</w:t>
      </w:r>
      <w:r w:rsidRPr="00E00777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</w:t>
      </w:r>
      <w:r w:rsidR="003D3940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</w:t>
      </w:r>
      <w:r w:rsidRPr="00E00777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Die </w:t>
      </w:r>
      <w:proofErr w:type="spellStart"/>
      <w:r w:rsidRPr="00E00777">
        <w:rPr>
          <w:rFonts w:ascii="Times New Roman" w:eastAsia="Times New Roman" w:hAnsi="Times New Roman" w:cs="Times New Roman"/>
          <w:color w:val="1F497D" w:themeColor="text2"/>
          <w:lang w:eastAsia="de-AT"/>
        </w:rPr>
        <w:t>TeilnehmerInnen</w:t>
      </w:r>
      <w:proofErr w:type="spellEnd"/>
      <w:r w:rsidRPr="00E00777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werden animiert, diese Methode</w:t>
      </w:r>
      <w:r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als Zusatzangebot </w:t>
      </w:r>
      <w:r w:rsidRPr="00E00777">
        <w:rPr>
          <w:rFonts w:ascii="Times New Roman" w:eastAsia="Times New Roman" w:hAnsi="Times New Roman" w:cs="Times New Roman"/>
          <w:color w:val="1F497D" w:themeColor="text2"/>
          <w:lang w:eastAsia="de-AT"/>
        </w:rPr>
        <w:t>in ihrer Beratungstätigkeit anzuwenden.</w:t>
      </w:r>
    </w:p>
    <w:p w:rsidR="0045535D" w:rsidRPr="0024262D" w:rsidRDefault="003D3940" w:rsidP="00E1756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 xml:space="preserve">Seminarleiterinnen: </w:t>
      </w:r>
      <w:r w:rsidR="006A578D" w:rsidRPr="002A0FD4">
        <w:rPr>
          <w:rFonts w:ascii="Times New Roman" w:eastAsia="Times New Roman" w:hAnsi="Times New Roman" w:cs="Times New Roman"/>
          <w:color w:val="1F497D" w:themeColor="text2"/>
          <w:lang w:eastAsia="de-AT"/>
        </w:rPr>
        <w:t>Dr.</w:t>
      </w:r>
      <w:r w:rsidR="006A578D" w:rsidRPr="006A578D">
        <w:rPr>
          <w:rFonts w:ascii="Times New Roman" w:eastAsia="Times New Roman" w:hAnsi="Times New Roman" w:cs="Times New Roman"/>
          <w:color w:val="1F497D" w:themeColor="text2"/>
          <w:vertAlign w:val="superscript"/>
          <w:lang w:eastAsia="de-AT"/>
        </w:rPr>
        <w:t>in</w:t>
      </w:r>
      <w:r w:rsidR="006A578D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 xml:space="preserve"> </w:t>
      </w:r>
      <w:r w:rsidR="006A41B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Sigrid Awart und </w:t>
      </w:r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G</w:t>
      </w:r>
      <w:r w:rsidR="006A41B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eorgia Sever</w:t>
      </w:r>
    </w:p>
    <w:p w:rsidR="0045535D" w:rsidRPr="0024262D" w:rsidRDefault="002A0FD4" w:rsidP="00E1756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>Anmeldung</w:t>
      </w:r>
      <w:r w:rsidR="003D3940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: </w:t>
      </w:r>
      <w:r w:rsidR="006A41B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bis zum </w:t>
      </w:r>
      <w:r w:rsidR="00990D16">
        <w:rPr>
          <w:rFonts w:ascii="Times New Roman" w:eastAsia="Times New Roman" w:hAnsi="Times New Roman" w:cs="Times New Roman"/>
          <w:color w:val="1F497D" w:themeColor="text2"/>
          <w:lang w:eastAsia="de-AT"/>
        </w:rPr>
        <w:t>10.</w:t>
      </w:r>
      <w:r w:rsidR="006A41B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Oktober</w:t>
      </w:r>
      <w:r w:rsidR="0045535D"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per E-Mail an: </w:t>
      </w:r>
      <w:hyperlink r:id="rId7" w:history="1">
        <w:r w:rsidR="0045535D" w:rsidRPr="00990D16">
          <w:rPr>
            <w:rFonts w:ascii="Times New Roman" w:eastAsia="Times New Roman" w:hAnsi="Times New Roman" w:cs="Times New Roman"/>
            <w:color w:val="1F497D" w:themeColor="text2"/>
            <w:lang w:eastAsia="de-AT"/>
          </w:rPr>
          <w:t>awart@peregrina.at</w:t>
        </w:r>
      </w:hyperlink>
      <w:r w:rsidRPr="00990D16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, begrenzte </w:t>
      </w:r>
      <w:proofErr w:type="spellStart"/>
      <w:r w:rsidRPr="00990D16">
        <w:rPr>
          <w:rFonts w:ascii="Times New Roman" w:eastAsia="Times New Roman" w:hAnsi="Times New Roman" w:cs="Times New Roman"/>
          <w:color w:val="1F497D" w:themeColor="text2"/>
          <w:lang w:eastAsia="de-AT"/>
        </w:rPr>
        <w:t>TeilnehmerInnenanzahl</w:t>
      </w:r>
      <w:proofErr w:type="spellEnd"/>
    </w:p>
    <w:p w:rsidR="0045535D" w:rsidRPr="0024262D" w:rsidRDefault="0045535D" w:rsidP="00E1756B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1F497D" w:themeColor="text2"/>
          <w:lang w:eastAsia="de-AT"/>
        </w:rPr>
      </w:pP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>Die Fortbildung ist</w:t>
      </w:r>
      <w:r w:rsidRPr="0024262D">
        <w:rPr>
          <w:rFonts w:ascii="Times New Roman" w:eastAsia="Times New Roman" w:hAnsi="Times New Roman" w:cs="Times New Roman"/>
          <w:b/>
          <w:color w:val="1F497D" w:themeColor="text2"/>
          <w:lang w:eastAsia="de-AT"/>
        </w:rPr>
        <w:t xml:space="preserve"> kostenlos. </w:t>
      </w:r>
      <w:r w:rsidRPr="0024262D">
        <w:rPr>
          <w:rFonts w:ascii="Times New Roman" w:eastAsia="Times New Roman" w:hAnsi="Times New Roman" w:cs="Times New Roman"/>
          <w:color w:val="1F497D" w:themeColor="text2"/>
          <w:lang w:eastAsia="de-AT"/>
        </w:rPr>
        <w:t xml:space="preserve"> Das Projekt wird vom Bundesministerium für Bildung gefördert.</w:t>
      </w:r>
    </w:p>
    <w:p w:rsidR="0045535D" w:rsidRPr="0045535D" w:rsidRDefault="0024262D" w:rsidP="00455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de-AT"/>
        </w:rPr>
      </w:pPr>
      <w:r>
        <w:rPr>
          <w:rFonts w:ascii="Times New Roman" w:eastAsia="Times New Roman" w:hAnsi="Times New Roman" w:cs="Times New Roman"/>
          <w:noProof/>
          <w:lang w:eastAsia="de-AT"/>
        </w:rPr>
        <w:drawing>
          <wp:inline distT="0" distB="0" distL="0" distR="0" wp14:anchorId="2CB9529B" wp14:editId="5CA2C711">
            <wp:extent cx="1255172" cy="592863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01" cy="594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de-AT"/>
        </w:rPr>
        <w:t>ww</w:t>
      </w:r>
      <w:r w:rsidR="0045535D">
        <w:rPr>
          <w:rFonts w:ascii="Times New Roman" w:eastAsia="Times New Roman" w:hAnsi="Times New Roman" w:cs="Times New Roman"/>
          <w:lang w:eastAsia="de-AT"/>
        </w:rPr>
        <w:t>w.erwachsenenbildung.at</w:t>
      </w:r>
      <w:r w:rsidR="00F50379">
        <w:rPr>
          <w:rFonts w:ascii="Times New Roman" w:eastAsia="Times New Roman" w:hAnsi="Times New Roman" w:cs="Times New Roman"/>
          <w:lang w:eastAsia="de-AT"/>
        </w:rPr>
        <w:tab/>
      </w:r>
      <w:r w:rsidR="00F50379">
        <w:rPr>
          <w:rFonts w:ascii="Times New Roman" w:eastAsia="Times New Roman" w:hAnsi="Times New Roman" w:cs="Times New Roman"/>
          <w:lang w:eastAsia="de-AT"/>
        </w:rPr>
        <w:tab/>
      </w:r>
      <w:hyperlink r:id="rId9" w:history="1">
        <w:r w:rsidR="006A578D" w:rsidRPr="002A0FD4">
          <w:rPr>
            <w:rStyle w:val="Hyperlink"/>
            <w:rFonts w:ascii="Times New Roman" w:eastAsia="Times New Roman" w:hAnsi="Times New Roman" w:cs="Times New Roman"/>
            <w:color w:val="auto"/>
            <w:u w:val="none"/>
            <w:lang w:eastAsia="de-AT"/>
          </w:rPr>
          <w:t>www.peregrina.at</w:t>
        </w:r>
      </w:hyperlink>
      <w:r w:rsidR="006A578D" w:rsidRPr="002A0FD4">
        <w:rPr>
          <w:rFonts w:ascii="Times New Roman" w:eastAsia="Times New Roman" w:hAnsi="Times New Roman" w:cs="Times New Roman"/>
          <w:noProof/>
          <w:lang w:eastAsia="de-AT"/>
        </w:rPr>
        <w:t xml:space="preserve">                 </w:t>
      </w:r>
      <w:r w:rsidR="006A578D">
        <w:rPr>
          <w:rFonts w:ascii="Times New Roman" w:eastAsia="Times New Roman" w:hAnsi="Times New Roman" w:cs="Times New Roman"/>
          <w:noProof/>
          <w:lang w:eastAsia="de-AT"/>
        </w:rPr>
        <w:drawing>
          <wp:inline distT="0" distB="0" distL="0" distR="0" wp14:anchorId="1C2429C5" wp14:editId="3263266F">
            <wp:extent cx="1009650" cy="55348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350" cy="551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535D" w:rsidRPr="0045535D" w:rsidSect="00657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39BA"/>
    <w:multiLevelType w:val="hybridMultilevel"/>
    <w:tmpl w:val="8B6650D4"/>
    <w:lvl w:ilvl="0" w:tplc="0C07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5D"/>
    <w:rsid w:val="00137F2D"/>
    <w:rsid w:val="001A7A5B"/>
    <w:rsid w:val="001F657D"/>
    <w:rsid w:val="0024262D"/>
    <w:rsid w:val="002A0FD4"/>
    <w:rsid w:val="002A4367"/>
    <w:rsid w:val="003D3940"/>
    <w:rsid w:val="0045535D"/>
    <w:rsid w:val="004A7E07"/>
    <w:rsid w:val="004C78F8"/>
    <w:rsid w:val="005552F7"/>
    <w:rsid w:val="005C159E"/>
    <w:rsid w:val="005E5C4D"/>
    <w:rsid w:val="00657E2D"/>
    <w:rsid w:val="006A41BD"/>
    <w:rsid w:val="006A578D"/>
    <w:rsid w:val="008119C2"/>
    <w:rsid w:val="00990D16"/>
    <w:rsid w:val="00C12033"/>
    <w:rsid w:val="00DC44A7"/>
    <w:rsid w:val="00E00777"/>
    <w:rsid w:val="00E1756B"/>
    <w:rsid w:val="00F4256E"/>
    <w:rsid w:val="00F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535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4262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00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535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4262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0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awart@peregrina.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peregrina.a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1430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Gamze Ongan</dc:creator>
  <cp:lastModifiedBy>Obermaier</cp:lastModifiedBy>
  <cp:revision>2</cp:revision>
  <cp:lastPrinted>2017-04-27T11:37:00Z</cp:lastPrinted>
  <dcterms:created xsi:type="dcterms:W3CDTF">2018-10-04T10:48:00Z</dcterms:created>
  <dcterms:modified xsi:type="dcterms:W3CDTF">2018-10-04T10:48:00Z</dcterms:modified>
</cp:coreProperties>
</file>