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11A" w:rsidRPr="009522A9" w:rsidRDefault="008E711A" w:rsidP="008E711A">
      <w:pPr>
        <w:rPr>
          <w:b/>
        </w:rPr>
      </w:pPr>
      <w:r w:rsidRPr="009522A9">
        <w:rPr>
          <w:b/>
        </w:rPr>
        <w:t xml:space="preserve">UDHËZIM Nr. 6/4, datë 16.5.2014 PËR NJË NDRYSHIM NË UDHËZIMIN NR. 17, DATË 13.5.2008, “PËR TATIMIN MBI VLERËN E  SHTUAR”, TË NDRYSHUAR  </w:t>
      </w:r>
    </w:p>
    <w:p w:rsidR="008E711A" w:rsidRDefault="008E711A" w:rsidP="008E711A">
      <w:r>
        <w:t xml:space="preserve">Në zbatim të nenit 102, pika 4, të Kushtetutës së Republikës së Shqipërisë dhe të ligjit nr. 7928, datë 27.4.1995, “Për tatimin mbi vlerën e shtuar”, të ndryshuar, ministri i Financave </w:t>
      </w:r>
    </w:p>
    <w:p w:rsidR="008E711A" w:rsidRDefault="008E711A" w:rsidP="008E711A"/>
    <w:p w:rsidR="008E711A" w:rsidRDefault="008E711A" w:rsidP="008E711A">
      <w:r>
        <w:t xml:space="preserve">UDHËZON: </w:t>
      </w:r>
    </w:p>
    <w:p w:rsidR="008E711A" w:rsidRDefault="008E711A" w:rsidP="008E711A">
      <w:r>
        <w:t xml:space="preserve"> Në udhëzimin nr. 17, datë 13.5.2008, “Për tatimin mbi vlerën e shtuar”, të ndryshuar, në paragrafin e tretë të pikës 8.6, “Diplomatët dhe organizatat ndërkombëtare”, që fillon me fjalinë “Pas  verifikimit dhe miratimit të kërkesave për rimbursim, …”, ndryshon me përmbajtjen e mëposhtme: “Pas verifikimit dhe miratimit të kërkesave për rimbursim, Drejtoria Rajonale Tatimore i dërgon zyrtarisht Ministrisë së Punëve të Jashtme formularin nr. 3 “Njoftim për miratimin e rimbursimit të TVSH-së, një kopje e të cilit dërgohet zyrtarisht dhe në Thesar. Ministria  e Punëve të Jashtme përpilon urdhërpagesën për rimbursim (në katër kopje), për çdo trup diplomatik, në bazë të formularit nr. 3 dhe e dërgon pranë Degës së Thesarit, ku kjo e fundit bën pagesat sipas legjislacionit në fuqi. Dega e Thesarit, pasi kontrollon përputhshmërinë e listës përmbledhëse, bashkëlidhur urdhër-pagesave me atë të formularit nr. 3, kryen pagesat me sistemin informatik financiar të qeverisë. Në fund të çdo muaji, Drejtoria Rajonale Tatimore, Ministria e Punëve të Jashtme dhe Dega e Thesarit bëjnë rakordimet për pagesat e kryera gjatë periudhës mujore”. </w:t>
      </w:r>
    </w:p>
    <w:p w:rsidR="008E711A" w:rsidRDefault="008E711A" w:rsidP="008E711A">
      <w:r>
        <w:t xml:space="preserve">Ky udhëzim hyn në fuqi me botimin në Fletoren Zyrtare. </w:t>
      </w:r>
    </w:p>
    <w:p w:rsidR="008E711A" w:rsidRDefault="008E711A" w:rsidP="008E711A">
      <w:r>
        <w:t xml:space="preserve">MINISTRI I FINANCAVE </w:t>
      </w:r>
    </w:p>
    <w:p w:rsidR="008E711A" w:rsidRDefault="008E711A" w:rsidP="008E711A">
      <w:r>
        <w:t xml:space="preserve">Shkëlqim Cani </w:t>
      </w:r>
      <w:r>
        <w:cr/>
      </w:r>
    </w:p>
    <w:p w:rsidR="008E711A" w:rsidRPr="009522A9" w:rsidRDefault="008E711A" w:rsidP="008E711A">
      <w:pPr>
        <w:tabs>
          <w:tab w:val="left" w:pos="2839"/>
        </w:tabs>
        <w:rPr>
          <w:b/>
        </w:rPr>
      </w:pPr>
      <w:r w:rsidRPr="009522A9">
        <w:rPr>
          <w:b/>
        </w:rPr>
        <w:tab/>
      </w:r>
    </w:p>
    <w:p w:rsidR="008E711A" w:rsidRDefault="008E711A" w:rsidP="008E711A">
      <w:pPr>
        <w:rPr>
          <w:b/>
        </w:rPr>
      </w:pPr>
      <w:r w:rsidRPr="009522A9">
        <w:rPr>
          <w:b/>
        </w:rPr>
        <w:t xml:space="preserve">UDHËZIM  Nr. 13, datë 6.5.2014  PËR DISA NDRYSHIME NË UDHËZIMIN NR. 32, DATË 31.12.2013, “PËR TATIMIN E THJESHTUAR MBI FITIMIN E BIZNESIT TË VOGËL” </w:t>
      </w:r>
    </w:p>
    <w:p w:rsidR="008E711A" w:rsidRDefault="008E711A" w:rsidP="008E711A">
      <w:r>
        <w:t xml:space="preserve">Në mbështetje të nenit 102, pika 4, të Kushtetutës së Republikës së Shqipërisë dhe në zbatim të ligjit nr. 9632, datë 30.10.2006, “Për sistemin e taksave vendore”, të ndryshuar, ministri i Financave </w:t>
      </w:r>
    </w:p>
    <w:p w:rsidR="008E711A" w:rsidRDefault="008E711A" w:rsidP="008E711A"/>
    <w:p w:rsidR="008E711A" w:rsidRDefault="008E711A" w:rsidP="008E711A">
      <w:r>
        <w:t xml:space="preserve">UDHËZON: </w:t>
      </w:r>
    </w:p>
    <w:p w:rsidR="008E711A" w:rsidRDefault="008E711A" w:rsidP="008E711A"/>
    <w:p w:rsidR="008E711A" w:rsidRDefault="008E711A" w:rsidP="008E711A">
      <w:r>
        <w:t xml:space="preserve">1. Në pikën 10 “Administrimi i tatimit të thjeshtuar mbi fitimin”, në fund të paragrafit të parë shtohet fjalia me përmbajtjen e mëposhtme: “Drejtoria Rajonale e Tatimeve, në funksionin e arkëtimit të tatimit të thjeshtuar mbi fitimin për llogari të bashkive/komunave, konsiderohet agjent shërbimi i këtyre të fundit. Si e tillë, DRT-ja regjistron shumat e arkëtuara në kredi të llogarisë 4481100 “Agjent shërbimesh të vitit në vazhdim” me kartela analitike për çdo bashki dhe komunë.”. </w:t>
      </w:r>
    </w:p>
    <w:p w:rsidR="008E711A" w:rsidRDefault="008E711A" w:rsidP="008E711A">
      <w:r>
        <w:lastRenderedPageBreak/>
        <w:t xml:space="preserve">2. Në pikën 11 “Transferimi i të ardhurave në llogaritë e njësive të qeverisjes vendore”, në germën “c” shtohet paragrafi me këtë përmbajtje: </w:t>
      </w:r>
    </w:p>
    <w:p w:rsidR="008E711A" w:rsidRDefault="008E711A" w:rsidP="008E711A">
      <w:r>
        <w:t xml:space="preserve">“Për të bërë transferimin, paraprakisht, kryhet procesi i rakordimit midis drejtorive rajonale tatimore me bashkitë dhe komunat, lidhur me shumat e arkëtuara sipas subjekteve tatimpaguese. Në aktrakordimin e hartuar në tri kopje, sipas formatit bashkëlidhur këtij udhëzimi, paraqitet e ndarë shuma totale e arkëtuar për bashkinë/komunën, si dhe shuma e komisionit në masën 1% e të ardhurave të arkëtuara.  Drejtoritë rajonale tatimore, në bazë të aktrakordimit dhe listës së tatimpaguesve të konfirmuar nga të dyja palët, kryen transfertën nga llogaria e drejtorive rajonale “Tatime me deklarim”, në llogarinë bankare të të ardhurave të degës së thesarit në rrethin përkatës, në emër të bashkisë apo komunës. Drejtoritë rajonale tatimore dërgojnë pranë degës së thesarit të rrethit përkatës një kopje të aktrakordimeve të mbajtura me secilën bashki/komunë. Në bazë të aktrakordimit përmbledhës të konfirmuar nga nëpunësi zbatues dhe autorizues i të dyja palëve, dega e thesarit të rrethit përkatës, për shumën 1% që përfiton administrata tatimore si agjent tatimor, bën rritjen e autorizuar në llogarinë e shpenzimeve 604 “Transferta në institucionet nacionale” në emër të bashkisë apo komunës përkatëse, si dhe kryen transferimin e brendshëm në sistemin financiar informatik nga bashkia/komuna në drejtorinë rajonale tatimore, duke kredituar llogarinë 7200106 “Grant nga transferimet e institucioneve lokale (bashki e komuna) tek institucionet nacionale.”.  Ky udhëzim botohet në Fletoren Zyrtare dhe hyn në fuqi menjëherë. </w:t>
      </w:r>
    </w:p>
    <w:p w:rsidR="008E711A" w:rsidRDefault="008E711A" w:rsidP="008E711A"/>
    <w:p w:rsidR="008E711A" w:rsidRDefault="008E711A" w:rsidP="008E711A">
      <w:r>
        <w:t xml:space="preserve">MINISTRI I FINANCAVE </w:t>
      </w:r>
    </w:p>
    <w:p w:rsidR="008E711A" w:rsidRDefault="008E711A" w:rsidP="008E711A">
      <w:r>
        <w:t xml:space="preserve">Shkëlqim Cani </w:t>
      </w:r>
    </w:p>
    <w:p w:rsidR="008E711A" w:rsidRDefault="008E711A" w:rsidP="008E711A"/>
    <w:p w:rsidR="008E711A" w:rsidRDefault="008E711A" w:rsidP="008E711A">
      <w:r>
        <w:t xml:space="preserve">AKT-RAKORDIMI </w:t>
      </w:r>
    </w:p>
    <w:p w:rsidR="008E711A" w:rsidRDefault="008E711A" w:rsidP="008E711A"/>
    <w:p w:rsidR="008E711A" w:rsidRDefault="008E711A" w:rsidP="008E711A">
      <w:r>
        <w:t xml:space="preserve">I mbajtur në datën______________, midis Drejtorisë Rajonale Tatimore ______________ dhe komunës/ bashkisë____________________, lidhur me totalin e shumës së arkëtuar, nga tatimi i thjeshtuar mbi fitimin e biznesit të vogël, në llogarinë përkatëse të DRT-së, për periudhën nga data___________________deri në datën </w:t>
      </w:r>
    </w:p>
    <w:p w:rsidR="008E711A" w:rsidRDefault="008E711A" w:rsidP="008E711A">
      <w:r>
        <w:rPr>
          <w:noProof/>
          <w:lang w:val="en-US"/>
        </w:rPr>
        <w:lastRenderedPageBreak/>
        <w:drawing>
          <wp:inline distT="0" distB="0" distL="0" distR="0">
            <wp:extent cx="6216335" cy="3243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2501" cy="3241531"/>
                    </a:xfrm>
                    <a:prstGeom prst="rect">
                      <a:avLst/>
                    </a:prstGeom>
                    <a:noFill/>
                    <a:ln>
                      <a:noFill/>
                    </a:ln>
                  </pic:spPr>
                </pic:pic>
              </a:graphicData>
            </a:graphic>
          </wp:inline>
        </w:drawing>
      </w:r>
    </w:p>
    <w:p w:rsidR="008E711A" w:rsidRDefault="008E711A" w:rsidP="008E711A"/>
    <w:p w:rsidR="00166923" w:rsidRDefault="00166923"/>
    <w:sectPr w:rsidR="00166923" w:rsidSect="00E43A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5FCC"/>
    <w:multiLevelType w:val="hybridMultilevel"/>
    <w:tmpl w:val="06CACC44"/>
    <w:lvl w:ilvl="0" w:tplc="9A3A3A0A">
      <w:start w:val="1"/>
      <w:numFmt w:val="decimal"/>
      <w:lvlText w:val="%1."/>
      <w:lvlJc w:val="left"/>
      <w:pPr>
        <w:ind w:left="405" w:hanging="360"/>
      </w:pPr>
      <w:rPr>
        <w:rFonts w:hint="default"/>
      </w:rPr>
    </w:lvl>
    <w:lvl w:ilvl="1" w:tplc="041C0019" w:tentative="1">
      <w:start w:val="1"/>
      <w:numFmt w:val="lowerLetter"/>
      <w:lvlText w:val="%2."/>
      <w:lvlJc w:val="left"/>
      <w:pPr>
        <w:ind w:left="1125" w:hanging="360"/>
      </w:pPr>
    </w:lvl>
    <w:lvl w:ilvl="2" w:tplc="041C001B" w:tentative="1">
      <w:start w:val="1"/>
      <w:numFmt w:val="lowerRoman"/>
      <w:lvlText w:val="%3."/>
      <w:lvlJc w:val="right"/>
      <w:pPr>
        <w:ind w:left="1845" w:hanging="180"/>
      </w:pPr>
    </w:lvl>
    <w:lvl w:ilvl="3" w:tplc="041C000F" w:tentative="1">
      <w:start w:val="1"/>
      <w:numFmt w:val="decimal"/>
      <w:lvlText w:val="%4."/>
      <w:lvlJc w:val="left"/>
      <w:pPr>
        <w:ind w:left="2565" w:hanging="360"/>
      </w:pPr>
    </w:lvl>
    <w:lvl w:ilvl="4" w:tplc="041C0019" w:tentative="1">
      <w:start w:val="1"/>
      <w:numFmt w:val="lowerLetter"/>
      <w:lvlText w:val="%5."/>
      <w:lvlJc w:val="left"/>
      <w:pPr>
        <w:ind w:left="3285" w:hanging="360"/>
      </w:pPr>
    </w:lvl>
    <w:lvl w:ilvl="5" w:tplc="041C001B" w:tentative="1">
      <w:start w:val="1"/>
      <w:numFmt w:val="lowerRoman"/>
      <w:lvlText w:val="%6."/>
      <w:lvlJc w:val="right"/>
      <w:pPr>
        <w:ind w:left="4005" w:hanging="180"/>
      </w:pPr>
    </w:lvl>
    <w:lvl w:ilvl="6" w:tplc="041C000F" w:tentative="1">
      <w:start w:val="1"/>
      <w:numFmt w:val="decimal"/>
      <w:lvlText w:val="%7."/>
      <w:lvlJc w:val="left"/>
      <w:pPr>
        <w:ind w:left="4725" w:hanging="360"/>
      </w:pPr>
    </w:lvl>
    <w:lvl w:ilvl="7" w:tplc="041C0019" w:tentative="1">
      <w:start w:val="1"/>
      <w:numFmt w:val="lowerLetter"/>
      <w:lvlText w:val="%8."/>
      <w:lvlJc w:val="left"/>
      <w:pPr>
        <w:ind w:left="5445" w:hanging="360"/>
      </w:pPr>
    </w:lvl>
    <w:lvl w:ilvl="8" w:tplc="041C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E711A"/>
    <w:rsid w:val="00166923"/>
    <w:rsid w:val="006B184A"/>
    <w:rsid w:val="008E711A"/>
    <w:rsid w:val="00E43A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1A"/>
    <w:pPr>
      <w:ind w:left="720"/>
      <w:contextualSpacing/>
    </w:pPr>
  </w:style>
  <w:style w:type="paragraph" w:styleId="BalloonText">
    <w:name w:val="Balloon Text"/>
    <w:basedOn w:val="Normal"/>
    <w:link w:val="BalloonTextChar"/>
    <w:uiPriority w:val="99"/>
    <w:semiHidden/>
    <w:unhideWhenUsed/>
    <w:rsid w:val="008E7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1A"/>
    <w:pPr>
      <w:ind w:left="720"/>
      <w:contextualSpacing/>
    </w:pPr>
  </w:style>
  <w:style w:type="paragraph" w:styleId="BalloonText">
    <w:name w:val="Balloon Text"/>
    <w:basedOn w:val="Normal"/>
    <w:link w:val="BalloonTextChar"/>
    <w:uiPriority w:val="99"/>
    <w:semiHidden/>
    <w:unhideWhenUsed/>
    <w:rsid w:val="008E7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ardian.kola</dc:creator>
  <cp:lastModifiedBy>it.flash</cp:lastModifiedBy>
  <cp:revision>2</cp:revision>
  <dcterms:created xsi:type="dcterms:W3CDTF">2014-10-09T07:36:00Z</dcterms:created>
  <dcterms:modified xsi:type="dcterms:W3CDTF">2014-10-09T07:36:00Z</dcterms:modified>
</cp:coreProperties>
</file>