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54F" w:rsidRPr="00C12028" w:rsidRDefault="00491E7B" w:rsidP="00C12028">
      <w:pPr>
        <w:jc w:val="center"/>
        <w:rPr>
          <w:sz w:val="32"/>
          <w:szCs w:val="32"/>
          <w:lang w:val="en-GB"/>
        </w:rPr>
      </w:pPr>
      <w:r>
        <w:rPr>
          <w:sz w:val="32"/>
          <w:szCs w:val="32"/>
          <w:lang w:val="en-GB"/>
        </w:rPr>
        <w:t>Seismic line</w:t>
      </w:r>
      <w:r w:rsidR="008D37F2">
        <w:rPr>
          <w:sz w:val="32"/>
          <w:szCs w:val="32"/>
          <w:lang w:val="en-GB"/>
        </w:rPr>
        <w:t xml:space="preserve"> 3 – the approaches to</w:t>
      </w:r>
      <w:r w:rsidR="0068154F" w:rsidRPr="0068154F">
        <w:rPr>
          <w:sz w:val="32"/>
          <w:szCs w:val="32"/>
          <w:lang w:val="en-GB"/>
        </w:rPr>
        <w:t xml:space="preserve"> the Lomonosov Ridge</w:t>
      </w:r>
    </w:p>
    <w:p w:rsidR="00174292" w:rsidRDefault="00174292" w:rsidP="00C12028">
      <w:pPr>
        <w:spacing w:before="240"/>
        <w:rPr>
          <w:lang w:val="en-GB"/>
        </w:rPr>
      </w:pPr>
    </w:p>
    <w:p w:rsidR="00491E7B" w:rsidRDefault="00FB7FF8" w:rsidP="00C12028">
      <w:pPr>
        <w:spacing w:before="240"/>
        <w:rPr>
          <w:lang w:val="en-GB"/>
        </w:rPr>
      </w:pPr>
      <w:r>
        <w:rPr>
          <w:lang w:val="en-GB"/>
        </w:rPr>
        <w:t>Along seismic profile 3</w:t>
      </w:r>
      <w:r w:rsidR="005055E8">
        <w:rPr>
          <w:lang w:val="en-GB"/>
        </w:rPr>
        <w:t xml:space="preserve"> (Fig</w:t>
      </w:r>
      <w:r w:rsidR="001C20EE">
        <w:rPr>
          <w:lang w:val="en-GB"/>
        </w:rPr>
        <w:t>s</w:t>
      </w:r>
      <w:r w:rsidR="005055E8">
        <w:rPr>
          <w:lang w:val="en-GB"/>
        </w:rPr>
        <w:t>. 1</w:t>
      </w:r>
      <w:r w:rsidR="001C20EE">
        <w:rPr>
          <w:lang w:val="en-GB"/>
        </w:rPr>
        <w:t xml:space="preserve"> &amp; 2</w:t>
      </w:r>
      <w:r w:rsidR="005055E8">
        <w:rPr>
          <w:lang w:val="en-GB"/>
        </w:rPr>
        <w:t>)</w:t>
      </w:r>
      <w:r w:rsidR="001C20EE">
        <w:rPr>
          <w:lang w:val="en-GB"/>
        </w:rPr>
        <w:t xml:space="preserve">, a number of narrow </w:t>
      </w:r>
      <w:r>
        <w:rPr>
          <w:lang w:val="en-GB"/>
        </w:rPr>
        <w:t>frequency ba</w:t>
      </w:r>
      <w:r w:rsidR="00BC5446">
        <w:rPr>
          <w:lang w:val="en-GB"/>
        </w:rPr>
        <w:t xml:space="preserve">nds are tested </w:t>
      </w:r>
      <w:r w:rsidR="00FF0B20">
        <w:rPr>
          <w:lang w:val="en-GB"/>
        </w:rPr>
        <w:t>to obtai</w:t>
      </w:r>
      <w:r w:rsidR="001C20EE">
        <w:rPr>
          <w:lang w:val="en-GB"/>
        </w:rPr>
        <w:t>n interpretable records</w:t>
      </w:r>
      <w:r w:rsidR="003A53AE">
        <w:rPr>
          <w:lang w:val="en-GB"/>
        </w:rPr>
        <w:t>. H</w:t>
      </w:r>
      <w:r w:rsidR="00491E7B">
        <w:rPr>
          <w:lang w:val="en-GB"/>
        </w:rPr>
        <w:t>igh setting</w:t>
      </w:r>
      <w:r w:rsidR="003A53AE">
        <w:rPr>
          <w:lang w:val="en-GB"/>
        </w:rPr>
        <w:t>s</w:t>
      </w:r>
      <w:r w:rsidR="00491E7B">
        <w:rPr>
          <w:lang w:val="en-GB"/>
        </w:rPr>
        <w:t xml:space="preserve"> focused around 150</w:t>
      </w:r>
      <w:r w:rsidR="003A53AE">
        <w:rPr>
          <w:lang w:val="en-GB"/>
        </w:rPr>
        <w:t>-200 Hz bring</w:t>
      </w:r>
      <w:r w:rsidR="00491E7B">
        <w:rPr>
          <w:lang w:val="en-GB"/>
        </w:rPr>
        <w:t xml:space="preserve"> out </w:t>
      </w:r>
      <w:r w:rsidR="00FF0B20">
        <w:rPr>
          <w:lang w:val="en-GB"/>
        </w:rPr>
        <w:t xml:space="preserve">the </w:t>
      </w:r>
      <w:r w:rsidR="00491E7B">
        <w:rPr>
          <w:lang w:val="en-GB"/>
        </w:rPr>
        <w:t>shallow layers with a high resolution</w:t>
      </w:r>
      <w:r w:rsidR="001C20EE">
        <w:rPr>
          <w:lang w:val="en-GB"/>
        </w:rPr>
        <w:t xml:space="preserve"> (Fig. 3)</w:t>
      </w:r>
      <w:r w:rsidR="00491E7B">
        <w:rPr>
          <w:lang w:val="en-GB"/>
        </w:rPr>
        <w:t>, whereas</w:t>
      </w:r>
      <w:r w:rsidR="003A53AE">
        <w:rPr>
          <w:lang w:val="en-GB"/>
        </w:rPr>
        <w:t xml:space="preserve"> </w:t>
      </w:r>
      <w:r w:rsidR="00C12028">
        <w:rPr>
          <w:lang w:val="en-GB"/>
        </w:rPr>
        <w:t>lower setting</w:t>
      </w:r>
      <w:r w:rsidR="003A53AE">
        <w:rPr>
          <w:lang w:val="en-GB"/>
        </w:rPr>
        <w:t xml:space="preserve">s </w:t>
      </w:r>
      <w:r w:rsidR="00C12028">
        <w:rPr>
          <w:lang w:val="en-GB"/>
        </w:rPr>
        <w:t xml:space="preserve">around </w:t>
      </w:r>
      <w:r w:rsidR="003A53AE">
        <w:rPr>
          <w:lang w:val="en-GB"/>
        </w:rPr>
        <w:t>50-</w:t>
      </w:r>
      <w:r w:rsidR="00C12028">
        <w:rPr>
          <w:lang w:val="en-GB"/>
        </w:rPr>
        <w:t>75</w:t>
      </w:r>
      <w:r w:rsidR="003A53AE">
        <w:rPr>
          <w:lang w:val="en-GB"/>
        </w:rPr>
        <w:t xml:space="preserve"> Hz bring</w:t>
      </w:r>
      <w:r w:rsidR="00491E7B">
        <w:rPr>
          <w:lang w:val="en-GB"/>
        </w:rPr>
        <w:t xml:space="preserve"> out </w:t>
      </w:r>
      <w:r w:rsidR="00FF0B20">
        <w:rPr>
          <w:lang w:val="en-GB"/>
        </w:rPr>
        <w:t xml:space="preserve">the </w:t>
      </w:r>
      <w:r w:rsidR="00491E7B">
        <w:rPr>
          <w:lang w:val="en-GB"/>
        </w:rPr>
        <w:t>deep reflector</w:t>
      </w:r>
      <w:r w:rsidR="003A53AE">
        <w:rPr>
          <w:lang w:val="en-GB"/>
        </w:rPr>
        <w:t xml:space="preserve">s with </w:t>
      </w:r>
      <w:r w:rsidR="00491E7B">
        <w:rPr>
          <w:lang w:val="en-GB"/>
        </w:rPr>
        <w:t xml:space="preserve">lower resolution. </w:t>
      </w:r>
    </w:p>
    <w:p w:rsidR="007B0B66" w:rsidRDefault="00930E23" w:rsidP="0068154F">
      <w:pPr>
        <w:rPr>
          <w:lang w:val="en-GB"/>
        </w:rPr>
      </w:pPr>
      <w:r>
        <w:rPr>
          <w:noProof/>
        </w:rPr>
        <w:pict>
          <v:shapetype id="_x0000_t202" coordsize="21600,21600" o:spt="202" path="m,l,21600r21600,l21600,xe">
            <v:stroke joinstyle="miter"/>
            <v:path gradientshapeok="t" o:connecttype="rect"/>
          </v:shapetype>
          <v:shape id="_x0000_s1026" type="#_x0000_t202" style="position:absolute;margin-left:201.75pt;margin-top:113.5pt;width:242.25pt;height:44.25pt;z-index:251658240" stroked="f">
            <v:textbox>
              <w:txbxContent>
                <w:p w:rsidR="007B0B66" w:rsidRPr="007B0B66" w:rsidRDefault="00B64A09">
                  <w:pPr>
                    <w:rPr>
                      <w:lang w:val="en-GB"/>
                    </w:rPr>
                  </w:pPr>
                  <w:r>
                    <w:rPr>
                      <w:lang w:val="en-GB"/>
                    </w:rPr>
                    <w:t>Fig. 1. Location of seismic line</w:t>
                  </w:r>
                  <w:r w:rsidR="007B0B66">
                    <w:rPr>
                      <w:lang w:val="en-GB"/>
                    </w:rPr>
                    <w:t xml:space="preserve"> 3.</w:t>
                  </w:r>
                  <w:r w:rsidR="002D2C27">
                    <w:rPr>
                      <w:lang w:val="en-GB"/>
                    </w:rPr>
                    <w:t xml:space="preserve"> Lomonosov Ridge </w:t>
                  </w:r>
                  <w:r w:rsidR="004B19FE">
                    <w:rPr>
                      <w:lang w:val="en-GB"/>
                    </w:rPr>
                    <w:t xml:space="preserve">is </w:t>
                  </w:r>
                  <w:r w:rsidR="002D2C27">
                    <w:rPr>
                      <w:lang w:val="en-GB"/>
                    </w:rPr>
                    <w:t>in the lower part of the fig</w:t>
                  </w:r>
                  <w:r w:rsidR="004B19FE">
                    <w:rPr>
                      <w:lang w:val="en-GB"/>
                    </w:rPr>
                    <w:t>ure</w:t>
                  </w:r>
                  <w:r w:rsidR="002D2C27">
                    <w:rPr>
                      <w:lang w:val="en-GB"/>
                    </w:rPr>
                    <w:t>.</w:t>
                  </w:r>
                </w:p>
              </w:txbxContent>
            </v:textbox>
          </v:shape>
        </w:pict>
      </w:r>
      <w:r w:rsidR="007B0B66">
        <w:rPr>
          <w:noProof/>
        </w:rPr>
        <w:drawing>
          <wp:inline distT="0" distB="0" distL="0" distR="0">
            <wp:extent cx="2390775" cy="2012878"/>
            <wp:effectExtent l="19050" t="0" r="9525" b="0"/>
            <wp:docPr id="2" name="Picture 0" descr="Profile3-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3-Track.jpg"/>
                    <pic:cNvPicPr/>
                  </pic:nvPicPr>
                  <pic:blipFill>
                    <a:blip r:embed="rId4"/>
                    <a:stretch>
                      <a:fillRect/>
                    </a:stretch>
                  </pic:blipFill>
                  <pic:spPr>
                    <a:xfrm>
                      <a:off x="0" y="0"/>
                      <a:ext cx="2390775" cy="2012878"/>
                    </a:xfrm>
                    <a:prstGeom prst="rect">
                      <a:avLst/>
                    </a:prstGeom>
                  </pic:spPr>
                </pic:pic>
              </a:graphicData>
            </a:graphic>
          </wp:inline>
        </w:drawing>
      </w:r>
    </w:p>
    <w:p w:rsidR="005845B9" w:rsidRDefault="005845B9" w:rsidP="0068154F">
      <w:pPr>
        <w:rPr>
          <w:lang w:val="en-GB"/>
        </w:rPr>
      </w:pPr>
    </w:p>
    <w:p w:rsidR="005845B9" w:rsidRDefault="00930E23" w:rsidP="0068154F">
      <w:pPr>
        <w:rPr>
          <w:lang w:val="en-GB"/>
        </w:rPr>
      </w:pPr>
      <w:r>
        <w:rPr>
          <w:noProof/>
        </w:rPr>
        <w:pict>
          <v:shape id="_x0000_s1031" type="#_x0000_t202" style="position:absolute;margin-left:370.3pt;margin-top:.95pt;width:89.75pt;height:101.9pt;z-index:251661312" filled="f">
            <v:textbox>
              <w:txbxContent>
                <w:p w:rsidR="005845B9" w:rsidRDefault="005845B9">
                  <w:pPr>
                    <w:rPr>
                      <w:lang w:val="en-GB"/>
                    </w:rPr>
                  </w:pPr>
                </w:p>
                <w:p w:rsidR="005845B9" w:rsidRDefault="005845B9">
                  <w:pPr>
                    <w:rPr>
                      <w:lang w:val="en-GB"/>
                    </w:rPr>
                  </w:pPr>
                </w:p>
                <w:p w:rsidR="005845B9" w:rsidRDefault="005845B9">
                  <w:pPr>
                    <w:rPr>
                      <w:lang w:val="en-GB"/>
                    </w:rPr>
                  </w:pPr>
                </w:p>
                <w:p w:rsidR="005845B9" w:rsidRPr="005845B9" w:rsidRDefault="005845B9" w:rsidP="005845B9">
                  <w:pPr>
                    <w:spacing w:before="240"/>
                    <w:rPr>
                      <w:sz w:val="16"/>
                      <w:szCs w:val="16"/>
                      <w:lang w:val="en-GB"/>
                    </w:rPr>
                  </w:pPr>
                  <w:r>
                    <w:rPr>
                      <w:sz w:val="16"/>
                      <w:szCs w:val="16"/>
                      <w:lang w:val="en-GB"/>
                    </w:rPr>
                    <w:t xml:space="preserve">                         </w:t>
                  </w:r>
                  <w:r w:rsidRPr="005845B9">
                    <w:rPr>
                      <w:sz w:val="16"/>
                      <w:szCs w:val="16"/>
                      <w:lang w:val="en-GB"/>
                    </w:rPr>
                    <w:t>Fig. 4</w:t>
                  </w:r>
                </w:p>
              </w:txbxContent>
            </v:textbox>
          </v:shape>
        </w:pict>
      </w:r>
      <w:r>
        <w:rPr>
          <w:noProof/>
        </w:rPr>
        <w:pict>
          <v:shape id="_x0000_s1030" type="#_x0000_t202" style="position:absolute;margin-left:.95pt;margin-top:27.1pt;width:123.4pt;height:97.75pt;z-index:251660288" filled="f" fillcolor="yellow">
            <v:textbox>
              <w:txbxContent>
                <w:p w:rsidR="005845B9" w:rsidRDefault="005845B9">
                  <w:pPr>
                    <w:rPr>
                      <w:lang w:val="en-GB"/>
                    </w:rPr>
                  </w:pPr>
                </w:p>
                <w:p w:rsidR="005845B9" w:rsidRDefault="005845B9">
                  <w:pPr>
                    <w:rPr>
                      <w:lang w:val="en-GB"/>
                    </w:rPr>
                  </w:pPr>
                </w:p>
                <w:p w:rsidR="005845B9" w:rsidRDefault="005845B9">
                  <w:pPr>
                    <w:rPr>
                      <w:lang w:val="en-GB"/>
                    </w:rPr>
                  </w:pPr>
                </w:p>
                <w:p w:rsidR="005845B9" w:rsidRPr="005845B9" w:rsidRDefault="005845B9">
                  <w:pPr>
                    <w:rPr>
                      <w:sz w:val="16"/>
                      <w:szCs w:val="16"/>
                      <w:lang w:val="en-GB"/>
                    </w:rPr>
                  </w:pPr>
                  <w:r w:rsidRPr="005845B9">
                    <w:rPr>
                      <w:sz w:val="16"/>
                      <w:szCs w:val="16"/>
                      <w:lang w:val="en-GB"/>
                    </w:rPr>
                    <w:t>Fig. 3</w:t>
                  </w:r>
                </w:p>
              </w:txbxContent>
            </v:textbox>
          </v:shape>
        </w:pict>
      </w:r>
      <w:r w:rsidR="00AA733E">
        <w:rPr>
          <w:noProof/>
        </w:rPr>
        <w:drawing>
          <wp:inline distT="0" distB="0" distL="0" distR="0">
            <wp:extent cx="5943600" cy="1932305"/>
            <wp:effectExtent l="19050" t="0" r="0" b="0"/>
            <wp:docPr id="6" name="Picture 5" descr="Profile3-100Hz-16-70-1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3-100Hz-16-70-100.tif"/>
                    <pic:cNvPicPr/>
                  </pic:nvPicPr>
                  <pic:blipFill>
                    <a:blip r:embed="rId5"/>
                    <a:stretch>
                      <a:fillRect/>
                    </a:stretch>
                  </pic:blipFill>
                  <pic:spPr>
                    <a:xfrm>
                      <a:off x="0" y="0"/>
                      <a:ext cx="5943600" cy="1932305"/>
                    </a:xfrm>
                    <a:prstGeom prst="rect">
                      <a:avLst/>
                    </a:prstGeom>
                  </pic:spPr>
                </pic:pic>
              </a:graphicData>
            </a:graphic>
          </wp:inline>
        </w:drawing>
      </w:r>
    </w:p>
    <w:p w:rsidR="005845B9" w:rsidRDefault="001C20EE" w:rsidP="0068154F">
      <w:pPr>
        <w:rPr>
          <w:lang w:val="en-GB"/>
        </w:rPr>
      </w:pPr>
      <w:r>
        <w:rPr>
          <w:lang w:val="en-GB"/>
        </w:rPr>
        <w:t>Fig. 2. Seismic profile 3 filtered around 100 Hz.</w:t>
      </w:r>
    </w:p>
    <w:p w:rsidR="00FB7FF8" w:rsidRDefault="00FB7FF8" w:rsidP="001C20EE">
      <w:pPr>
        <w:spacing w:before="240"/>
        <w:rPr>
          <w:lang w:val="en-GB"/>
        </w:rPr>
      </w:pPr>
      <w:r>
        <w:rPr>
          <w:lang w:val="en-GB"/>
        </w:rPr>
        <w:t>A setting focused around 150 Hz brings out the smooth even</w:t>
      </w:r>
      <w:r w:rsidR="001C20EE">
        <w:rPr>
          <w:lang w:val="en-GB"/>
        </w:rPr>
        <w:t xml:space="preserve"> layering along the first </w:t>
      </w:r>
      <w:r w:rsidR="00491E7B">
        <w:rPr>
          <w:lang w:val="en-GB"/>
        </w:rPr>
        <w:t>part of</w:t>
      </w:r>
      <w:r>
        <w:rPr>
          <w:lang w:val="en-GB"/>
        </w:rPr>
        <w:t xml:space="preserve"> the </w:t>
      </w:r>
      <w:r w:rsidR="00C12028">
        <w:rPr>
          <w:lang w:val="en-GB"/>
        </w:rPr>
        <w:t xml:space="preserve">profile </w:t>
      </w:r>
      <w:r>
        <w:rPr>
          <w:lang w:val="en-GB"/>
        </w:rPr>
        <w:t>with a high resolution</w:t>
      </w:r>
      <w:r w:rsidR="001C20EE">
        <w:rPr>
          <w:lang w:val="en-GB"/>
        </w:rPr>
        <w:t xml:space="preserve"> (Fig. 3)</w:t>
      </w:r>
      <w:r w:rsidR="00491E7B">
        <w:rPr>
          <w:lang w:val="en-GB"/>
        </w:rPr>
        <w:t>. This filter sett</w:t>
      </w:r>
      <w:r w:rsidR="001C20EE">
        <w:rPr>
          <w:lang w:val="en-GB"/>
        </w:rPr>
        <w:t xml:space="preserve">ing does not permit penetration to </w:t>
      </w:r>
      <w:r w:rsidR="00491E7B">
        <w:rPr>
          <w:lang w:val="en-GB"/>
        </w:rPr>
        <w:t xml:space="preserve">deep </w:t>
      </w:r>
      <w:r w:rsidR="006F063F">
        <w:rPr>
          <w:lang w:val="en-GB"/>
        </w:rPr>
        <w:t xml:space="preserve">bedrock </w:t>
      </w:r>
      <w:r w:rsidR="00491E7B">
        <w:rPr>
          <w:lang w:val="en-GB"/>
        </w:rPr>
        <w:t xml:space="preserve">reflectors </w:t>
      </w:r>
      <w:r w:rsidR="00174292">
        <w:rPr>
          <w:lang w:val="en-GB"/>
        </w:rPr>
        <w:t xml:space="preserve">as those </w:t>
      </w:r>
      <w:r w:rsidR="001C20EE">
        <w:rPr>
          <w:lang w:val="en-GB"/>
        </w:rPr>
        <w:t>below the Lomonosov Ridge</w:t>
      </w:r>
      <w:r w:rsidR="00491E7B">
        <w:rPr>
          <w:lang w:val="en-GB"/>
        </w:rPr>
        <w:t xml:space="preserve">. </w:t>
      </w:r>
    </w:p>
    <w:p w:rsidR="00174292" w:rsidRDefault="00174292" w:rsidP="001C20EE">
      <w:pPr>
        <w:spacing w:before="240"/>
        <w:rPr>
          <w:lang w:val="en-GB"/>
        </w:rPr>
      </w:pPr>
      <w:r>
        <w:rPr>
          <w:lang w:val="en-GB"/>
        </w:rPr>
        <w:t xml:space="preserve">The slope sediments </w:t>
      </w:r>
      <w:r w:rsidR="006F063F">
        <w:rPr>
          <w:lang w:val="en-GB"/>
        </w:rPr>
        <w:t xml:space="preserve">in this part </w:t>
      </w:r>
      <w:r>
        <w:rPr>
          <w:lang w:val="en-GB"/>
        </w:rPr>
        <w:t xml:space="preserve">are </w:t>
      </w:r>
      <w:r w:rsidR="000C351C">
        <w:rPr>
          <w:lang w:val="en-GB"/>
        </w:rPr>
        <w:t xml:space="preserve">in general </w:t>
      </w:r>
      <w:r>
        <w:rPr>
          <w:lang w:val="en-GB"/>
        </w:rPr>
        <w:t xml:space="preserve">evenly bedded, slowly </w:t>
      </w:r>
      <w:r w:rsidR="000C351C">
        <w:rPr>
          <w:lang w:val="en-GB"/>
        </w:rPr>
        <w:t xml:space="preserve">decreasing in thickness downwards along the slope. The second unit below the seafloor in the upper </w:t>
      </w:r>
      <w:r w:rsidR="005057B6">
        <w:rPr>
          <w:lang w:val="en-GB"/>
        </w:rPr>
        <w:t xml:space="preserve">part of the slope forms a soft bulge, increasing in thickness from c. 20 to c. 30 meters. Further downwards the </w:t>
      </w:r>
    </w:p>
    <w:p w:rsidR="007C01F2" w:rsidRDefault="007C01F2" w:rsidP="001C20EE">
      <w:pPr>
        <w:spacing w:before="240"/>
        <w:rPr>
          <w:lang w:val="en-GB"/>
        </w:rPr>
      </w:pPr>
    </w:p>
    <w:p w:rsidR="00C12028" w:rsidRDefault="00174292" w:rsidP="0068154F">
      <w:pPr>
        <w:rPr>
          <w:lang w:val="en-GB"/>
        </w:rPr>
      </w:pPr>
      <w:r>
        <w:rPr>
          <w:noProof/>
        </w:rPr>
        <w:drawing>
          <wp:inline distT="0" distB="0" distL="0" distR="0">
            <wp:extent cx="5943600" cy="4541520"/>
            <wp:effectExtent l="19050" t="0" r="0" b="0"/>
            <wp:docPr id="4" name="Picture 3" descr="Line3-1_150Hz-16-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3-1_150Hz-16-50.tif"/>
                    <pic:cNvPicPr/>
                  </pic:nvPicPr>
                  <pic:blipFill>
                    <a:blip r:embed="rId6" cstate="print"/>
                    <a:stretch>
                      <a:fillRect/>
                    </a:stretch>
                  </pic:blipFill>
                  <pic:spPr>
                    <a:xfrm>
                      <a:off x="0" y="0"/>
                      <a:ext cx="5943600" cy="4541520"/>
                    </a:xfrm>
                    <a:prstGeom prst="rect">
                      <a:avLst/>
                    </a:prstGeom>
                  </pic:spPr>
                </pic:pic>
              </a:graphicData>
            </a:graphic>
          </wp:inline>
        </w:drawing>
      </w:r>
    </w:p>
    <w:p w:rsidR="00174292" w:rsidRDefault="00174292" w:rsidP="0068154F">
      <w:pPr>
        <w:rPr>
          <w:lang w:val="en-GB"/>
        </w:rPr>
      </w:pPr>
    </w:p>
    <w:p w:rsidR="00174292" w:rsidRDefault="00174292" w:rsidP="0068154F">
      <w:pPr>
        <w:rPr>
          <w:lang w:val="en-GB"/>
        </w:rPr>
      </w:pPr>
      <w:r>
        <w:rPr>
          <w:lang w:val="en-GB"/>
        </w:rPr>
        <w:t xml:space="preserve">Fig. 3. The continental slope off the Sibirian Shelf, filtered around 150 Hz. For location see Fig. 2. </w:t>
      </w:r>
    </w:p>
    <w:p w:rsidR="00174292" w:rsidRDefault="00F07F09" w:rsidP="00961473">
      <w:pPr>
        <w:spacing w:before="240"/>
        <w:rPr>
          <w:lang w:val="en-GB"/>
        </w:rPr>
      </w:pPr>
      <w:r>
        <w:rPr>
          <w:lang w:val="en-GB"/>
        </w:rPr>
        <w:t xml:space="preserve">slope the unit thins out and finally disappears. All remaining units persist with decreasing thicknesses to the base of the Lomonosov Ridge. </w:t>
      </w:r>
      <w:r w:rsidR="007C01F2">
        <w:rPr>
          <w:lang w:val="en-GB"/>
        </w:rPr>
        <w:t xml:space="preserve">The sediment sequence on the Lomonosov Ridge contains only faint seismic reflectors, which may indicate smaller acoustic impedances in the sequence as compared to the slope sediments in the first part of the profile, i.e. more homogeneous sediments. </w:t>
      </w:r>
      <w:r w:rsidR="00961473">
        <w:rPr>
          <w:lang w:val="en-GB"/>
        </w:rPr>
        <w:t>Filter</w:t>
      </w:r>
      <w:r w:rsidR="004E349C">
        <w:rPr>
          <w:lang w:val="en-GB"/>
        </w:rPr>
        <w:t>ing around 200</w:t>
      </w:r>
      <w:r w:rsidR="00961473">
        <w:rPr>
          <w:lang w:val="en-GB"/>
        </w:rPr>
        <w:t xml:space="preserve"> Hz shows the layering, which in general parallells the shape of the Ridge (Fig. 4a). Filtering around 75 Hz is optimal to show the bedrock surface below the sediment squence (Fig. 4b). The thickness of the sediments ontop of the Creataceous (?) bedrock are calculated to exceed c. 1000 m. The bedrock surface is partly dislocated by faulting.</w:t>
      </w:r>
    </w:p>
    <w:p w:rsidR="00174292" w:rsidRDefault="00174292" w:rsidP="0068154F">
      <w:pPr>
        <w:rPr>
          <w:lang w:val="en-GB"/>
        </w:rPr>
      </w:pPr>
    </w:p>
    <w:p w:rsidR="00174292" w:rsidRDefault="00930E23" w:rsidP="0068154F">
      <w:pPr>
        <w:rPr>
          <w:lang w:val="en-GB"/>
        </w:rPr>
      </w:pPr>
      <w:r>
        <w:rPr>
          <w:noProof/>
        </w:rPr>
        <w:lastRenderedPageBreak/>
        <w:pict>
          <v:shape id="_x0000_s1032" type="#_x0000_t202" style="position:absolute;margin-left:324pt;margin-top:92.9pt;width:149.25pt;height:119.35pt;z-index:251662336" stroked="f">
            <v:textbox>
              <w:txbxContent>
                <w:p w:rsidR="006F063F" w:rsidRDefault="006F063F">
                  <w:pPr>
                    <w:rPr>
                      <w:lang w:val="en-GB"/>
                    </w:rPr>
                  </w:pPr>
                  <w:r>
                    <w:rPr>
                      <w:lang w:val="en-GB"/>
                    </w:rPr>
                    <w:t>Fig. 4a. The Lomonosov Ridge part of seismic line 3, filtered around 200 Hz.</w:t>
                  </w:r>
                  <w:r w:rsidR="00215908">
                    <w:rPr>
                      <w:lang w:val="en-GB"/>
                    </w:rPr>
                    <w:t xml:space="preserve"> The seafloor on the central ridge is marked by ice scouring.</w:t>
                  </w:r>
                  <w:r>
                    <w:rPr>
                      <w:lang w:val="en-GB"/>
                    </w:rPr>
                    <w:t xml:space="preserve"> For location see Fig. 2.</w:t>
                  </w:r>
                </w:p>
                <w:p w:rsidR="006F063F" w:rsidRPr="006F063F" w:rsidRDefault="006F063F">
                  <w:pPr>
                    <w:rPr>
                      <w:lang w:val="en-GB"/>
                    </w:rPr>
                  </w:pPr>
                </w:p>
              </w:txbxContent>
            </v:textbox>
          </v:shape>
        </w:pict>
      </w:r>
      <w:r w:rsidR="00673CBE">
        <w:rPr>
          <w:noProof/>
        </w:rPr>
        <w:drawing>
          <wp:inline distT="0" distB="0" distL="0" distR="0">
            <wp:extent cx="4057650" cy="2678224"/>
            <wp:effectExtent l="19050" t="0" r="0" b="0"/>
            <wp:docPr id="1" name="Picture 0" descr="Line3-5_200Hz-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3-5_200Hz-16.tif"/>
                    <pic:cNvPicPr/>
                  </pic:nvPicPr>
                  <pic:blipFill>
                    <a:blip r:embed="rId7" cstate="print"/>
                    <a:stretch>
                      <a:fillRect/>
                    </a:stretch>
                  </pic:blipFill>
                  <pic:spPr>
                    <a:xfrm>
                      <a:off x="0" y="0"/>
                      <a:ext cx="4063221" cy="2681901"/>
                    </a:xfrm>
                    <a:prstGeom prst="rect">
                      <a:avLst/>
                    </a:prstGeom>
                  </pic:spPr>
                </pic:pic>
              </a:graphicData>
            </a:graphic>
          </wp:inline>
        </w:drawing>
      </w:r>
    </w:p>
    <w:p w:rsidR="006F063F" w:rsidRDefault="006F063F" w:rsidP="0068154F">
      <w:pPr>
        <w:rPr>
          <w:lang w:val="en-GB"/>
        </w:rPr>
      </w:pPr>
    </w:p>
    <w:p w:rsidR="00FB7FF8" w:rsidRDefault="00930E23" w:rsidP="0068154F">
      <w:pPr>
        <w:rPr>
          <w:lang w:val="en-GB"/>
        </w:rPr>
      </w:pPr>
      <w:r>
        <w:rPr>
          <w:noProof/>
        </w:rPr>
        <w:pict>
          <v:shape id="_x0000_s1028" type="#_x0000_t202" style="position:absolute;margin-left:324pt;margin-top:69.4pt;width:141pt;height:152.25pt;z-index:251659264" stroked="f">
            <v:textbox>
              <w:txbxContent>
                <w:p w:rsidR="00334926" w:rsidRPr="00334926" w:rsidRDefault="001813A3">
                  <w:pPr>
                    <w:rPr>
                      <w:lang w:val="en-GB"/>
                    </w:rPr>
                  </w:pPr>
                  <w:r>
                    <w:rPr>
                      <w:lang w:val="en-GB"/>
                    </w:rPr>
                    <w:t>Fig. 4</w:t>
                  </w:r>
                  <w:r w:rsidR="00961473">
                    <w:rPr>
                      <w:lang w:val="en-GB"/>
                    </w:rPr>
                    <w:t>b</w:t>
                  </w:r>
                  <w:r w:rsidR="00334926">
                    <w:rPr>
                      <w:lang w:val="en-GB"/>
                    </w:rPr>
                    <w:t xml:space="preserve">. The Lomonosov Ridge part of </w:t>
                  </w:r>
                  <w:r w:rsidR="002D2C27">
                    <w:rPr>
                      <w:lang w:val="en-GB"/>
                    </w:rPr>
                    <w:t xml:space="preserve">seismic line </w:t>
                  </w:r>
                  <w:r w:rsidR="00334926">
                    <w:rPr>
                      <w:lang w:val="en-GB"/>
                    </w:rPr>
                    <w:t xml:space="preserve"> 3, filtered around 75 Hz. The location of the Cretaceous (?) bedrock surface </w:t>
                  </w:r>
                  <w:r w:rsidR="00C12028">
                    <w:rPr>
                      <w:lang w:val="en-GB"/>
                    </w:rPr>
                    <w:t xml:space="preserve">is indicated </w:t>
                  </w:r>
                  <w:r w:rsidR="00334926">
                    <w:rPr>
                      <w:lang w:val="en-GB"/>
                    </w:rPr>
                    <w:t>(A)</w:t>
                  </w:r>
                  <w:r w:rsidR="00C12028">
                    <w:rPr>
                      <w:lang w:val="en-GB"/>
                    </w:rPr>
                    <w:t xml:space="preserve"> at </w:t>
                  </w:r>
                  <w:r w:rsidR="00334926">
                    <w:rPr>
                      <w:lang w:val="en-GB"/>
                    </w:rPr>
                    <w:t>depth</w:t>
                  </w:r>
                  <w:r w:rsidR="00C12028">
                    <w:rPr>
                      <w:lang w:val="en-GB"/>
                    </w:rPr>
                    <w:t>s</w:t>
                  </w:r>
                  <w:r w:rsidR="00334926">
                    <w:rPr>
                      <w:lang w:val="en-GB"/>
                    </w:rPr>
                    <w:t xml:space="preserve"> of </w:t>
                  </w:r>
                  <w:r w:rsidR="00C12028">
                    <w:rPr>
                      <w:lang w:val="en-GB"/>
                    </w:rPr>
                    <w:t xml:space="preserve">down to </w:t>
                  </w:r>
                  <w:r w:rsidR="00334926">
                    <w:rPr>
                      <w:lang w:val="en-GB"/>
                    </w:rPr>
                    <w:t>c. 1000 m below the seafloor.</w:t>
                  </w:r>
                  <w:r>
                    <w:rPr>
                      <w:lang w:val="en-GB"/>
                    </w:rPr>
                    <w:t xml:space="preserve"> For location, see Fig. 2.</w:t>
                  </w:r>
                </w:p>
              </w:txbxContent>
            </v:textbox>
          </v:shape>
        </w:pict>
      </w:r>
      <w:r w:rsidR="004E349C">
        <w:rPr>
          <w:noProof/>
        </w:rPr>
        <w:drawing>
          <wp:inline distT="0" distB="0" distL="0" distR="0">
            <wp:extent cx="4057650" cy="2881971"/>
            <wp:effectExtent l="19050" t="0" r="0" b="0"/>
            <wp:docPr id="7" name="Picture 6" descr="Line3-5_75Hz-Edi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3-5_75Hz-Edit.tif"/>
                    <pic:cNvPicPr/>
                  </pic:nvPicPr>
                  <pic:blipFill>
                    <a:blip r:embed="rId8" cstate="print"/>
                    <a:stretch>
                      <a:fillRect/>
                    </a:stretch>
                  </pic:blipFill>
                  <pic:spPr>
                    <a:xfrm>
                      <a:off x="0" y="0"/>
                      <a:ext cx="4059481" cy="2883272"/>
                    </a:xfrm>
                    <a:prstGeom prst="rect">
                      <a:avLst/>
                    </a:prstGeom>
                  </pic:spPr>
                </pic:pic>
              </a:graphicData>
            </a:graphic>
          </wp:inline>
        </w:drawing>
      </w:r>
    </w:p>
    <w:p w:rsidR="00FB7FF8" w:rsidRPr="0068154F" w:rsidRDefault="00FB7FF8" w:rsidP="0068154F">
      <w:pPr>
        <w:rPr>
          <w:lang w:val="en-GB"/>
        </w:rPr>
      </w:pPr>
    </w:p>
    <w:sectPr w:rsidR="00FB7FF8" w:rsidRPr="0068154F" w:rsidSect="00C31FF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8154F"/>
    <w:rsid w:val="000C351C"/>
    <w:rsid w:val="00174292"/>
    <w:rsid w:val="001813A3"/>
    <w:rsid w:val="001C20EE"/>
    <w:rsid w:val="00215908"/>
    <w:rsid w:val="00270005"/>
    <w:rsid w:val="002D2C27"/>
    <w:rsid w:val="002F4012"/>
    <w:rsid w:val="00334926"/>
    <w:rsid w:val="003A53AE"/>
    <w:rsid w:val="00491E7B"/>
    <w:rsid w:val="004B19FE"/>
    <w:rsid w:val="004E349C"/>
    <w:rsid w:val="005055E8"/>
    <w:rsid w:val="005057B6"/>
    <w:rsid w:val="00516DF5"/>
    <w:rsid w:val="005845B9"/>
    <w:rsid w:val="00673CBE"/>
    <w:rsid w:val="0068154F"/>
    <w:rsid w:val="006F063F"/>
    <w:rsid w:val="0077383D"/>
    <w:rsid w:val="00796D43"/>
    <w:rsid w:val="007A5550"/>
    <w:rsid w:val="007B0B66"/>
    <w:rsid w:val="007C01F2"/>
    <w:rsid w:val="007F7A19"/>
    <w:rsid w:val="008D37F2"/>
    <w:rsid w:val="00930E23"/>
    <w:rsid w:val="00961473"/>
    <w:rsid w:val="00991055"/>
    <w:rsid w:val="00AA733E"/>
    <w:rsid w:val="00AB59F2"/>
    <w:rsid w:val="00B335C7"/>
    <w:rsid w:val="00B64A09"/>
    <w:rsid w:val="00B67250"/>
    <w:rsid w:val="00BC5446"/>
    <w:rsid w:val="00BF5127"/>
    <w:rsid w:val="00C12028"/>
    <w:rsid w:val="00C31FF1"/>
    <w:rsid w:val="00C860DE"/>
    <w:rsid w:val="00D82963"/>
    <w:rsid w:val="00E86A97"/>
    <w:rsid w:val="00F07F09"/>
    <w:rsid w:val="00F64526"/>
    <w:rsid w:val="00FB7FF8"/>
    <w:rsid w:val="00FF0B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54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B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3</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 Wind</dc:creator>
  <cp:keywords/>
  <dc:description/>
  <cp:lastModifiedBy>Fair Wind</cp:lastModifiedBy>
  <cp:revision>14</cp:revision>
  <dcterms:created xsi:type="dcterms:W3CDTF">2014-09-15T08:52:00Z</dcterms:created>
  <dcterms:modified xsi:type="dcterms:W3CDTF">2014-09-19T01:50:00Z</dcterms:modified>
</cp:coreProperties>
</file>