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80"/>
      </w:pPr>
      <w:r>
        <w:rPr>
          <w:rFonts w:ascii="Calibri" w:hAnsi="Calibri"/>
          <w:b/>
          <w:color w:val="1A56DB"/>
          <w:sz w:val="44"/>
        </w:rPr>
        <w:t>UniProcure — University E-Procurement &amp; Vendor Management Portal</w:t>
      </w:r>
    </w:p>
    <w:p>
      <w:pPr>
        <w:keepNext/>
        <w:spacing w:before="280" w:after="80"/>
      </w:pPr>
      <w:r>
        <w:rPr>
          <w:rFonts w:ascii="Calibri" w:hAnsi="Calibri"/>
          <w:b/>
          <w:color w:val="0F172A"/>
          <w:sz w:val="30"/>
        </w:rPr>
        <w:t>Enterprise Frontend System Specification &amp; Technical Capabilities Report</w:t>
      </w:r>
    </w:p>
    <w:p>
      <w:pPr>
        <w:spacing w:before="40" w:after="80" w:line="276" w:lineRule="auto"/>
      </w:pPr>
      <w:r>
        <w:rPr>
          <w:rFonts w:ascii="Calibri" w:hAnsi="Calibri"/>
          <w:b/>
          <w:color w:val="334155"/>
          <w:sz w:val="21"/>
        </w:rPr>
        <w:t>Document Status:</w:t>
      </w:r>
      <w:r>
        <w:rPr>
          <w:rFonts w:ascii="Calibri" w:hAnsi="Calibri"/>
          <w:color w:val="334155"/>
          <w:sz w:val="21"/>
        </w:rPr>
        <w:t xml:space="preserve"> Complete &amp; Executive Ready  </w:t>
      </w:r>
    </w:p>
    <w:p>
      <w:pPr>
        <w:spacing w:before="40" w:after="80" w:line="276" w:lineRule="auto"/>
      </w:pPr>
      <w:r>
        <w:rPr>
          <w:rFonts w:ascii="Calibri" w:hAnsi="Calibri"/>
          <w:b/>
          <w:color w:val="334155"/>
          <w:sz w:val="21"/>
        </w:rPr>
        <w:t>Version:</w:t>
      </w:r>
      <w:r>
        <w:rPr>
          <w:rFonts w:ascii="Calibri" w:hAnsi="Calibri"/>
          <w:color w:val="334155"/>
          <w:sz w:val="21"/>
        </w:rPr>
        <w:t xml:space="preserve"> 1.0.0 (Release-Ready Web Architecture)  </w:t>
      </w:r>
    </w:p>
    <w:p>
      <w:pPr>
        <w:spacing w:before="40" w:after="80" w:line="276" w:lineRule="auto"/>
      </w:pPr>
      <w:r>
        <w:rPr>
          <w:rFonts w:ascii="Calibri" w:hAnsi="Calibri"/>
          <w:b/>
          <w:color w:val="334155"/>
          <w:sz w:val="21"/>
        </w:rPr>
        <w:t>Target Audience:</w:t>
      </w:r>
      <w:r>
        <w:rPr>
          <w:rFonts w:ascii="Calibri" w:hAnsi="Calibri"/>
          <w:color w:val="334155"/>
          <w:sz w:val="21"/>
        </w:rPr>
        <w:t xml:space="preserve"> Institutional Stakeholders, Procurement Evaluation Committees, Technical Partners, Investors  </w:t>
      </w:r>
    </w:p>
    <w:p>
      <w:pPr>
        <w:spacing w:before="40" w:after="80" w:line="276" w:lineRule="auto"/>
      </w:pPr>
      <w:r>
        <w:rPr>
          <w:rFonts w:ascii="Calibri" w:hAnsi="Calibri"/>
          <w:b/>
          <w:color w:val="334155"/>
          <w:sz w:val="21"/>
        </w:rPr>
        <w:t>Scope:</w:t>
      </w:r>
      <w:r>
        <w:rPr>
          <w:rFonts w:ascii="Calibri" w:hAnsi="Calibri"/>
          <w:color w:val="334155"/>
          <w:sz w:val="21"/>
        </w:rPr>
        <w:t xml:space="preserve"> Frontend Architecture, Client Technologies, Role-Based Functionalities, Web Security Strategy &amp; Future Roadmap </w:t>
      </w:r>
      <w:r>
        <w:rPr>
          <w:rFonts w:ascii="Calibri" w:hAnsi="Calibri"/>
          <w:i/>
          <w:color w:val="334155"/>
          <w:sz w:val="21"/>
        </w:rPr>
        <w:t>(Backend specifications provided independently)</w:t>
      </w:r>
      <w:r>
        <w:rPr>
          <w:rFonts w:ascii="Calibri" w:hAnsi="Calibri"/>
          <w:color w:val="334155"/>
          <w:sz w:val="21"/>
        </w:rPr>
        <w:t xml:space="preserve">  </w:t>
      </w:r>
    </w:p>
    <w:p>
      <w:pPr>
        <w:spacing w:before="160" w:after="160"/>
        <w:pBdr>
          <w:bottom w:val="single" w:sz="6" w:space="1" w:color="E2E8F0"/>
        </w:pBdr>
      </w:pPr>
    </w:p>
    <w:p>
      <w:pPr>
        <w:keepNext/>
        <w:spacing w:before="280" w:after="80"/>
      </w:pPr>
      <w:r>
        <w:rPr>
          <w:rFonts w:ascii="Calibri" w:hAnsi="Calibri"/>
          <w:b/>
          <w:color w:val="0F172A"/>
          <w:sz w:val="30"/>
        </w:rPr>
        <w:t>1. Executive Summary &amp; Value Proposition</w:t>
      </w:r>
    </w:p>
    <w:p>
      <w:pPr>
        <w:keepNext/>
        <w:spacing w:before="200" w:after="60"/>
      </w:pPr>
      <w:r>
        <w:rPr>
          <w:rFonts w:ascii="Calibri" w:hAnsi="Calibri"/>
          <w:b/>
          <w:color w:val="1A56DB"/>
          <w:sz w:val="25"/>
        </w:rPr>
        <w:t>1.1 Project Overview</w:t>
      </w:r>
    </w:p>
    <w:p>
      <w:pPr>
        <w:spacing w:before="40" w:after="80" w:line="276" w:lineRule="auto"/>
      </w:pPr>
      <w:r>
        <w:rPr>
          <w:rFonts w:ascii="Calibri" w:hAnsi="Calibri"/>
          <w:b/>
          <w:color w:val="334155"/>
          <w:sz w:val="21"/>
        </w:rPr>
        <w:t>UniProcure</w:t>
      </w:r>
      <w:r>
        <w:rPr>
          <w:rFonts w:ascii="Calibri" w:hAnsi="Calibri"/>
          <w:color w:val="334155"/>
          <w:sz w:val="21"/>
        </w:rPr>
        <w:t xml:space="preserve"> is an enterprise-grade, institutional e-procurement and vendor management web portal designed specifically for modern higher education institutions, research universities, and public sector academic bodies. The platform digitizes and governs the complete procurement lifecycle—from requisition initiation and public tender publication to multi-tier administrative approvals, algorithmic bid evaluation, contract execution, and treasury disbursals.</w:t>
      </w:r>
    </w:p>
    <w:p>
      <w:pPr>
        <w:keepNext/>
        <w:spacing w:before="200" w:after="60"/>
      </w:pPr>
      <w:r>
        <w:rPr>
          <w:rFonts w:ascii="Calibri" w:hAnsi="Calibri"/>
          <w:b/>
          <w:color w:val="1A56DB"/>
          <w:sz w:val="25"/>
        </w:rPr>
        <w:t>1.2 Core Business Objectives</w:t>
      </w:r>
    </w:p>
    <w:p>
      <w:pPr>
        <w:spacing w:before="20" w:after="40" w:line="276" w:lineRule="auto"/>
        <w:ind w:left="288"/>
      </w:pPr>
      <w:r>
        <w:rPr>
          <w:color w:val="1A56DB"/>
          <w:sz w:val="18"/>
        </w:rPr>
        <w:t xml:space="preserve">▪  </w:t>
      </w:r>
      <w:r>
        <w:rPr>
          <w:rFonts w:ascii="Calibri" w:hAnsi="Calibri"/>
          <w:b/>
          <w:color w:val="334155"/>
          <w:sz w:val="20"/>
        </w:rPr>
        <w:t>Public Procurement Compliance:</w:t>
      </w:r>
      <w:r>
        <w:rPr>
          <w:rFonts w:ascii="Calibri" w:hAnsi="Calibri"/>
          <w:color w:val="334155"/>
          <w:sz w:val="20"/>
        </w:rPr>
        <w:t xml:space="preserve"> Built strictly in alignment with public procurement frameworks (Public Procurement Act / Rules), enforcing statutory safeguards such as minimum 3-quote participation, competitive bidding transparency, and rigid budget caps.</w:t>
      </w:r>
    </w:p>
    <w:p>
      <w:pPr>
        <w:spacing w:before="20" w:after="40" w:line="276" w:lineRule="auto"/>
        <w:ind w:left="288"/>
      </w:pPr>
      <w:r>
        <w:rPr>
          <w:color w:val="1A56DB"/>
          <w:sz w:val="18"/>
        </w:rPr>
        <w:t xml:space="preserve">▪  </w:t>
      </w:r>
      <w:r>
        <w:rPr>
          <w:rFonts w:ascii="Calibri" w:hAnsi="Calibri"/>
          <w:b/>
          <w:color w:val="334155"/>
          <w:sz w:val="20"/>
        </w:rPr>
        <w:t>Radical Financial Transparency:</w:t>
      </w:r>
      <w:r>
        <w:rPr>
          <w:rFonts w:ascii="Calibri" w:hAnsi="Calibri"/>
          <w:color w:val="334155"/>
          <w:sz w:val="20"/>
        </w:rPr>
        <w:t xml:space="preserve"> Eliminates backroom tampering and manual paper leaks by maintaining immutable digital audit trails across all administrative evaluation milestones.</w:t>
      </w:r>
    </w:p>
    <w:p>
      <w:pPr>
        <w:spacing w:before="20" w:after="40" w:line="276" w:lineRule="auto"/>
        <w:ind w:left="288"/>
      </w:pPr>
      <w:r>
        <w:rPr>
          <w:color w:val="1A56DB"/>
          <w:sz w:val="18"/>
        </w:rPr>
        <w:t xml:space="preserve">▪  </w:t>
      </w:r>
      <w:r>
        <w:rPr>
          <w:rFonts w:ascii="Calibri" w:hAnsi="Calibri"/>
          <w:b/>
          <w:color w:val="334155"/>
          <w:sz w:val="20"/>
        </w:rPr>
        <w:t>Automated Merit-Based Selection:</w:t>
      </w:r>
      <w:r>
        <w:rPr>
          <w:rFonts w:ascii="Calibri" w:hAnsi="Calibri"/>
          <w:color w:val="334155"/>
          <w:sz w:val="20"/>
        </w:rPr>
        <w:t xml:space="preserve"> Replaces subjective bias with automated Quality and Cost-Based Selection (QCBS) comparative matrices that combine technical compliance with financial scoring.</w:t>
      </w:r>
    </w:p>
    <w:p>
      <w:pPr>
        <w:spacing w:before="20" w:after="40" w:line="276" w:lineRule="auto"/>
        <w:ind w:left="288"/>
      </w:pPr>
      <w:r>
        <w:rPr>
          <w:color w:val="1A56DB"/>
          <w:sz w:val="18"/>
        </w:rPr>
        <w:t xml:space="preserve">▪  </w:t>
      </w:r>
      <w:r>
        <w:rPr>
          <w:rFonts w:ascii="Calibri" w:hAnsi="Calibri"/>
          <w:b/>
          <w:color w:val="334155"/>
          <w:sz w:val="20"/>
        </w:rPr>
        <w:t>Operational Cycle Time Reduction:</w:t>
      </w:r>
      <w:r>
        <w:rPr>
          <w:rFonts w:ascii="Calibri" w:hAnsi="Calibri"/>
          <w:color w:val="334155"/>
          <w:sz w:val="20"/>
        </w:rPr>
        <w:t xml:space="preserve"> Compresses requisition-to-sanction timelines from weeks to days via automated escalation timers, role-based cockpit dashboards, and instant status tracking.</w:t>
      </w:r>
    </w:p>
    <w:p>
      <w:pPr>
        <w:spacing w:before="20" w:after="40" w:line="276" w:lineRule="auto"/>
        <w:ind w:left="288"/>
      </w:pPr>
      <w:r>
        <w:rPr>
          <w:color w:val="1A56DB"/>
          <w:sz w:val="18"/>
        </w:rPr>
        <w:t xml:space="preserve">▪  </w:t>
      </w:r>
      <w:r>
        <w:rPr>
          <w:rFonts w:ascii="Calibri" w:hAnsi="Calibri"/>
          <w:b/>
          <w:color w:val="334155"/>
          <w:sz w:val="20"/>
        </w:rPr>
        <w:t>Interactive Live Demonstration Capability:</w:t>
      </w:r>
      <w:r>
        <w:rPr>
          <w:rFonts w:ascii="Calibri" w:hAnsi="Calibri"/>
          <w:color w:val="334155"/>
          <w:sz w:val="20"/>
        </w:rPr>
        <w:t xml:space="preserve"> Engineered with an integrated reactive client database engine (</w:t>
      </w:r>
      <w:r>
        <w:rPr>
          <w:rFonts w:ascii="Consolas" w:hAnsi="Consolas"/>
          <w:color w:val="E11D48"/>
          <w:sz w:val="19"/>
          <w:shd w:fill="F1F5F9"/>
        </w:rPr>
        <w:t>DummyDatabaseService</w:t>
      </w:r>
      <w:r>
        <w:rPr>
          <w:rFonts w:ascii="Calibri" w:hAnsi="Calibri"/>
          <w:color w:val="334155"/>
          <w:sz w:val="20"/>
        </w:rPr>
        <w:t>), allowing complete, interactive zero-backend demonstrations for board-level pitches and stakeholder negotiations without server dependencies.</w:t>
      </w:r>
    </w:p>
    <w:p>
      <w:pPr>
        <w:spacing w:before="160" w:after="160"/>
        <w:pBdr>
          <w:bottom w:val="single" w:sz="6" w:space="1" w:color="E2E8F0"/>
        </w:pBdr>
      </w:pPr>
    </w:p>
    <w:p>
      <w:pPr>
        <w:keepNext/>
        <w:spacing w:before="280" w:after="80"/>
      </w:pPr>
      <w:r>
        <w:rPr>
          <w:rFonts w:ascii="Calibri" w:hAnsi="Calibri"/>
          <w:b/>
          <w:color w:val="0F172A"/>
          <w:sz w:val="30"/>
        </w:rPr>
        <w:t>2. Frontend Software Technology Stack</w:t>
      </w:r>
    </w:p>
    <w:p>
      <w:pPr>
        <w:spacing w:before="40" w:after="80" w:line="276" w:lineRule="auto"/>
      </w:pPr>
      <w:r>
        <w:rPr>
          <w:rFonts w:ascii="Calibri" w:hAnsi="Calibri"/>
          <w:color w:val="334155"/>
          <w:sz w:val="21"/>
        </w:rPr>
        <w:t>The client application is built with modern cross-platform web technologies configured for high-performance enterprise delivery:</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412"/>
        <w:gridCol w:w="2412"/>
        <w:gridCol w:w="2412"/>
        <w:gridCol w:w="2412"/>
      </w:tblGrid>
      <w:tr>
        <w:tc>
          <w:tcPr>
            <w:tcW w:type="dxa" w:w="2160"/>
            <w:shd w:fill="1A56DB"/>
            <w:tcMar>
              <w:top w:w="140" w:type="dxa"/>
              <w:bottom w:w="140" w:type="dxa"/>
              <w:left w:w="140" w:type="dxa"/>
              <w:right w:w="140" w:type="dxa"/>
            </w:tcMar>
            <w:vAlign w:val="center"/>
          </w:tcPr>
          <w:p>
            <w:pPr>
              <w:spacing w:before="40" w:after="40"/>
            </w:pPr>
            <w:r>
              <w:rPr>
                <w:rFonts w:ascii="Calibri" w:hAnsi="Calibri"/>
                <w:b/>
                <w:color w:val="FFFFFF"/>
                <w:sz w:val="19"/>
              </w:rPr>
              <w:t>Technology Layer</w:t>
            </w:r>
          </w:p>
        </w:tc>
        <w:tc>
          <w:tcPr>
            <w:tcW w:type="dxa" w:w="2592"/>
            <w:shd w:fill="1A56DB"/>
            <w:tcMar>
              <w:top w:w="140" w:type="dxa"/>
              <w:bottom w:w="140" w:type="dxa"/>
              <w:left w:w="140" w:type="dxa"/>
              <w:right w:w="140" w:type="dxa"/>
            </w:tcMar>
            <w:vAlign w:val="center"/>
          </w:tcPr>
          <w:p>
            <w:pPr>
              <w:spacing w:before="40" w:after="40"/>
            </w:pPr>
            <w:r>
              <w:rPr>
                <w:rFonts w:ascii="Calibri" w:hAnsi="Calibri"/>
                <w:b/>
                <w:color w:val="FFFFFF"/>
                <w:sz w:val="19"/>
              </w:rPr>
              <w:t>Framework / Library</w:t>
            </w:r>
          </w:p>
        </w:tc>
        <w:tc>
          <w:tcPr>
            <w:tcW w:type="dxa" w:w="1728"/>
            <w:shd w:fill="1A56DB"/>
            <w:tcMar>
              <w:top w:w="140" w:type="dxa"/>
              <w:bottom w:w="140" w:type="dxa"/>
              <w:left w:w="140" w:type="dxa"/>
              <w:right w:w="140" w:type="dxa"/>
            </w:tcMar>
            <w:vAlign w:val="center"/>
          </w:tcPr>
          <w:p>
            <w:pPr>
              <w:spacing w:before="40" w:after="40"/>
            </w:pPr>
            <w:r>
              <w:rPr>
                <w:rFonts w:ascii="Calibri" w:hAnsi="Calibri"/>
                <w:b/>
                <w:color w:val="FFFFFF"/>
                <w:sz w:val="19"/>
              </w:rPr>
              <w:t>Version</w:t>
            </w:r>
          </w:p>
        </w:tc>
        <w:tc>
          <w:tcPr>
            <w:tcW w:type="dxa" w:w="3168"/>
            <w:shd w:fill="1A56DB"/>
            <w:tcMar>
              <w:top w:w="140" w:type="dxa"/>
              <w:bottom w:w="140" w:type="dxa"/>
              <w:left w:w="140" w:type="dxa"/>
              <w:right w:w="140" w:type="dxa"/>
            </w:tcMar>
            <w:vAlign w:val="center"/>
          </w:tcPr>
          <w:p>
            <w:pPr>
              <w:spacing w:before="40" w:after="40"/>
            </w:pPr>
            <w:r>
              <w:rPr>
                <w:rFonts w:ascii="Calibri" w:hAnsi="Calibri"/>
                <w:b/>
                <w:color w:val="FFFFFF"/>
                <w:sz w:val="19"/>
              </w:rPr>
              <w:t>Technical Purpose &amp; Architectural Justification</w:t>
            </w:r>
          </w:p>
        </w:tc>
      </w:tr>
      <w:tr>
        <w:tc>
          <w:tcPr>
            <w:tcW w:type="dxa" w:w="2160"/>
            <w:shd w:fill="FFFFFF"/>
            <w:tcMar>
              <w:top w:w="100" w:type="dxa"/>
              <w:bottom w:w="100" w:type="dxa"/>
              <w:left w:w="120" w:type="dxa"/>
              <w:right w:w="120" w:type="dxa"/>
            </w:tcMar>
            <w:vAlign w:val="center"/>
          </w:tcPr>
          <w:p>
            <w:pPr>
              <w:spacing w:before="40" w:after="40" w:line="276" w:lineRule="auto"/>
            </w:pPr>
            <w:r>
              <w:rPr>
                <w:rFonts w:ascii="Calibri" w:hAnsi="Calibri"/>
                <w:b/>
                <w:color w:val="1E293B"/>
                <w:sz w:val="18"/>
              </w:rPr>
              <w:t>Core Client Engine</w:t>
            </w:r>
          </w:p>
        </w:tc>
        <w:tc>
          <w:tcPr>
            <w:tcW w:type="dxa" w:w="2592"/>
            <w:shd w:fill="FFFFFF"/>
            <w:tcMar>
              <w:top w:w="100" w:type="dxa"/>
              <w:bottom w:w="100" w:type="dxa"/>
              <w:left w:w="120" w:type="dxa"/>
              <w:right w:w="120" w:type="dxa"/>
            </w:tcMar>
            <w:vAlign w:val="center"/>
          </w:tcPr>
          <w:p>
            <w:pPr>
              <w:spacing w:before="40" w:after="40" w:line="276" w:lineRule="auto"/>
            </w:pPr>
            <w:r>
              <w:rPr>
                <w:rFonts w:ascii="Calibri" w:hAnsi="Calibri"/>
                <w:b/>
                <w:color w:val="1E293B"/>
                <w:sz w:val="18"/>
              </w:rPr>
              <w:t>Flutter Web (SDK)</w:t>
            </w:r>
          </w:p>
        </w:tc>
        <w:tc>
          <w:tcPr>
            <w:tcW w:type="dxa" w:w="1728"/>
            <w:shd w:fill="FFFFFF"/>
            <w:tcMar>
              <w:top w:w="100" w:type="dxa"/>
              <w:bottom w:w="100" w:type="dxa"/>
              <w:left w:w="120" w:type="dxa"/>
              <w:right w:w="120" w:type="dxa"/>
            </w:tcMar>
            <w:vAlign w:val="center"/>
          </w:tcPr>
          <w:p>
            <w:pPr>
              <w:spacing w:before="40" w:after="40" w:line="276" w:lineRule="auto"/>
            </w:pPr>
            <w:r>
              <w:rPr>
                <w:rFonts w:ascii="Consolas" w:hAnsi="Consolas"/>
                <w:color w:val="E11D48"/>
                <w:sz w:val="19"/>
                <w:shd w:fill="F1F5F9"/>
              </w:rPr>
              <w:t>^3.24+ / Dart 3.12+</w:t>
            </w:r>
          </w:p>
        </w:tc>
        <w:tc>
          <w:tcPr>
            <w:tcW w:type="dxa" w:w="3168"/>
            <w:shd w:fill="FFFFFF"/>
            <w:tcMar>
              <w:top w:w="100" w:type="dxa"/>
              <w:bottom w:w="100" w:type="dxa"/>
              <w:left w:w="120" w:type="dxa"/>
              <w:right w:w="120" w:type="dxa"/>
            </w:tcMar>
            <w:vAlign w:val="center"/>
          </w:tcPr>
          <w:p>
            <w:pPr>
              <w:spacing w:before="40" w:after="40" w:line="276" w:lineRule="auto"/>
            </w:pPr>
            <w:r>
              <w:rPr>
                <w:rFonts w:ascii="Calibri" w:hAnsi="Calibri"/>
                <w:color w:val="1E293B"/>
                <w:sz w:val="18"/>
              </w:rPr>
              <w:t>Single codebase compiled directly to web standards. Provides pixel-perfect visual fidelity, desktop-class rendering performance, and cross-browser consistency.</w:t>
            </w:r>
          </w:p>
        </w:tc>
      </w:tr>
      <w:tr>
        <w:tc>
          <w:tcPr>
            <w:tcW w:type="dxa" w:w="2160"/>
            <w:shd w:fill="F8FAFC"/>
            <w:tcMar>
              <w:top w:w="100" w:type="dxa"/>
              <w:bottom w:w="100" w:type="dxa"/>
              <w:left w:w="120" w:type="dxa"/>
              <w:right w:w="120" w:type="dxa"/>
            </w:tcMar>
            <w:vAlign w:val="center"/>
          </w:tcPr>
          <w:p>
            <w:pPr>
              <w:spacing w:before="40" w:after="40" w:line="276" w:lineRule="auto"/>
            </w:pPr>
            <w:r>
              <w:rPr>
                <w:rFonts w:ascii="Calibri" w:hAnsi="Calibri"/>
                <w:b/>
                <w:color w:val="1E293B"/>
                <w:sz w:val="18"/>
              </w:rPr>
              <w:t>Application Architecture</w:t>
            </w:r>
          </w:p>
        </w:tc>
        <w:tc>
          <w:tcPr>
            <w:tcW w:type="dxa" w:w="2592"/>
            <w:shd w:fill="F8FAFC"/>
            <w:tcMar>
              <w:top w:w="100" w:type="dxa"/>
              <w:bottom w:w="100" w:type="dxa"/>
              <w:left w:w="120" w:type="dxa"/>
              <w:right w:w="120" w:type="dxa"/>
            </w:tcMar>
            <w:vAlign w:val="center"/>
          </w:tcPr>
          <w:p>
            <w:pPr>
              <w:spacing w:before="40" w:after="40" w:line="276" w:lineRule="auto"/>
            </w:pPr>
            <w:r>
              <w:rPr>
                <w:rFonts w:ascii="Calibri" w:hAnsi="Calibri"/>
                <w:b/>
                <w:color w:val="1E293B"/>
                <w:sz w:val="18"/>
              </w:rPr>
              <w:t>Clean Architecture + DDD</w:t>
            </w:r>
          </w:p>
        </w:tc>
        <w:tc>
          <w:tcPr>
            <w:tcW w:type="dxa" w:w="1728"/>
            <w:shd w:fill="F8FAFC"/>
            <w:tcMar>
              <w:top w:w="100" w:type="dxa"/>
              <w:bottom w:w="100" w:type="dxa"/>
              <w:left w:w="120" w:type="dxa"/>
              <w:right w:w="120" w:type="dxa"/>
            </w:tcMar>
            <w:vAlign w:val="center"/>
          </w:tcPr>
          <w:p>
            <w:pPr>
              <w:spacing w:before="40" w:after="40" w:line="276" w:lineRule="auto"/>
            </w:pPr>
            <w:r>
              <w:rPr>
                <w:rFonts w:ascii="Calibri" w:hAnsi="Calibri"/>
                <w:color w:val="1E293B"/>
                <w:sz w:val="18"/>
              </w:rPr>
              <w:t>Standardized</w:t>
            </w:r>
          </w:p>
        </w:tc>
        <w:tc>
          <w:tcPr>
            <w:tcW w:type="dxa" w:w="3168"/>
            <w:shd w:fill="F8FAFC"/>
            <w:tcMar>
              <w:top w:w="100" w:type="dxa"/>
              <w:bottom w:w="100" w:type="dxa"/>
              <w:left w:w="120" w:type="dxa"/>
              <w:right w:w="120" w:type="dxa"/>
            </w:tcMar>
            <w:vAlign w:val="center"/>
          </w:tcPr>
          <w:p>
            <w:pPr>
              <w:spacing w:before="40" w:after="40" w:line="276" w:lineRule="auto"/>
            </w:pPr>
            <w:r>
              <w:rPr>
                <w:rFonts w:ascii="Calibri" w:hAnsi="Calibri"/>
                <w:color w:val="1E293B"/>
                <w:sz w:val="18"/>
              </w:rPr>
              <w:t>Strict separation of concerns into Presentation, Domain, and Data layers. Completely decouples UI widgets from business logic and data sources.</w:t>
            </w:r>
          </w:p>
        </w:tc>
      </w:tr>
      <w:tr>
        <w:tc>
          <w:tcPr>
            <w:tcW w:type="dxa" w:w="2160"/>
            <w:shd w:fill="FFFFFF"/>
            <w:tcMar>
              <w:top w:w="100" w:type="dxa"/>
              <w:bottom w:w="100" w:type="dxa"/>
              <w:left w:w="120" w:type="dxa"/>
              <w:right w:w="120" w:type="dxa"/>
            </w:tcMar>
            <w:vAlign w:val="center"/>
          </w:tcPr>
          <w:p>
            <w:pPr>
              <w:spacing w:before="40" w:after="40" w:line="276" w:lineRule="auto"/>
            </w:pPr>
            <w:r>
              <w:rPr>
                <w:rFonts w:ascii="Calibri" w:hAnsi="Calibri"/>
                <w:b/>
                <w:color w:val="1E293B"/>
                <w:sz w:val="18"/>
              </w:rPr>
              <w:t>State Management &amp; DI</w:t>
            </w:r>
          </w:p>
        </w:tc>
        <w:tc>
          <w:tcPr>
            <w:tcW w:type="dxa" w:w="2592"/>
            <w:shd w:fill="FFFFFF"/>
            <w:tcMar>
              <w:top w:w="100" w:type="dxa"/>
              <w:bottom w:w="100" w:type="dxa"/>
              <w:left w:w="120" w:type="dxa"/>
              <w:right w:w="120" w:type="dxa"/>
            </w:tcMar>
            <w:vAlign w:val="center"/>
          </w:tcPr>
          <w:p>
            <w:pPr>
              <w:spacing w:before="40" w:after="40" w:line="276" w:lineRule="auto"/>
            </w:pPr>
            <w:r>
              <w:rPr>
                <w:rFonts w:ascii="Calibri" w:hAnsi="Calibri"/>
                <w:b/>
                <w:color w:val="1E293B"/>
                <w:sz w:val="18"/>
              </w:rPr>
              <w:t>GetX</w:t>
            </w:r>
          </w:p>
        </w:tc>
        <w:tc>
          <w:tcPr>
            <w:tcW w:type="dxa" w:w="1728"/>
            <w:shd w:fill="FFFFFF"/>
            <w:tcMar>
              <w:top w:w="100" w:type="dxa"/>
              <w:bottom w:w="100" w:type="dxa"/>
              <w:left w:w="120" w:type="dxa"/>
              <w:right w:w="120" w:type="dxa"/>
            </w:tcMar>
            <w:vAlign w:val="center"/>
          </w:tcPr>
          <w:p>
            <w:pPr>
              <w:spacing w:before="40" w:after="40" w:line="276" w:lineRule="auto"/>
            </w:pPr>
            <w:r>
              <w:rPr>
                <w:rFonts w:ascii="Consolas" w:hAnsi="Consolas"/>
                <w:color w:val="E11D48"/>
                <w:sz w:val="19"/>
                <w:shd w:fill="F1F5F9"/>
              </w:rPr>
              <w:t>^4.7.2</w:t>
            </w:r>
          </w:p>
        </w:tc>
        <w:tc>
          <w:tcPr>
            <w:tcW w:type="dxa" w:w="3168"/>
            <w:shd w:fill="FFFFFF"/>
            <w:tcMar>
              <w:top w:w="100" w:type="dxa"/>
              <w:bottom w:w="100" w:type="dxa"/>
              <w:left w:w="120" w:type="dxa"/>
              <w:right w:w="120" w:type="dxa"/>
            </w:tcMar>
            <w:vAlign w:val="center"/>
          </w:tcPr>
          <w:p>
            <w:pPr>
              <w:spacing w:before="40" w:after="40" w:line="276" w:lineRule="auto"/>
            </w:pPr>
            <w:r>
              <w:rPr>
                <w:rFonts w:ascii="Calibri" w:hAnsi="Calibri"/>
                <w:color w:val="1E293B"/>
                <w:sz w:val="18"/>
              </w:rPr>
              <w:t>High-performance reactive micro-state management (</w:t>
            </w:r>
            <w:r>
              <w:rPr>
                <w:rFonts w:ascii="Consolas" w:hAnsi="Consolas"/>
                <w:color w:val="E11D48"/>
                <w:sz w:val="19"/>
                <w:shd w:fill="F1F5F9"/>
              </w:rPr>
              <w:t>Rx</w:t>
            </w:r>
            <w:r>
              <w:rPr>
                <w:rFonts w:ascii="Calibri" w:hAnsi="Calibri"/>
                <w:color w:val="1E293B"/>
                <w:sz w:val="18"/>
              </w:rPr>
              <w:t xml:space="preserve">, </w:t>
            </w:r>
            <w:r>
              <w:rPr>
                <w:rFonts w:ascii="Consolas" w:hAnsi="Consolas"/>
                <w:color w:val="E11D48"/>
                <w:sz w:val="19"/>
                <w:shd w:fill="F1F5F9"/>
              </w:rPr>
              <w:t>Obx</w:t>
            </w:r>
            <w:r>
              <w:rPr>
                <w:rFonts w:ascii="Calibri" w:hAnsi="Calibri"/>
                <w:color w:val="1E293B"/>
                <w:sz w:val="18"/>
              </w:rPr>
              <w:t>), declarative dependency injection (</w:t>
            </w:r>
            <w:r>
              <w:rPr>
                <w:rFonts w:ascii="Consolas" w:hAnsi="Consolas"/>
                <w:color w:val="E11D48"/>
                <w:sz w:val="19"/>
                <w:shd w:fill="F1F5F9"/>
              </w:rPr>
              <w:t>GetxService</w:t>
            </w:r>
            <w:r>
              <w:rPr>
                <w:rFonts w:ascii="Calibri" w:hAnsi="Calibri"/>
                <w:color w:val="1E293B"/>
                <w:sz w:val="18"/>
              </w:rPr>
              <w:t xml:space="preserve">, </w:t>
            </w:r>
            <w:r>
              <w:rPr>
                <w:rFonts w:ascii="Consolas" w:hAnsi="Consolas"/>
                <w:color w:val="E11D48"/>
                <w:sz w:val="19"/>
                <w:shd w:fill="F1F5F9"/>
              </w:rPr>
              <w:t>Get.lazyPut</w:t>
            </w:r>
            <w:r>
              <w:rPr>
                <w:rFonts w:ascii="Calibri" w:hAnsi="Calibri"/>
                <w:color w:val="1E293B"/>
                <w:sz w:val="18"/>
              </w:rPr>
              <w:t>), and decoupled named route management.</w:t>
            </w:r>
          </w:p>
        </w:tc>
      </w:tr>
      <w:tr>
        <w:tc>
          <w:tcPr>
            <w:tcW w:type="dxa" w:w="2160"/>
            <w:shd w:fill="F8FAFC"/>
            <w:tcMar>
              <w:top w:w="100" w:type="dxa"/>
              <w:bottom w:w="100" w:type="dxa"/>
              <w:left w:w="120" w:type="dxa"/>
              <w:right w:w="120" w:type="dxa"/>
            </w:tcMar>
            <w:vAlign w:val="center"/>
          </w:tcPr>
          <w:p>
            <w:pPr>
              <w:spacing w:before="40" w:after="40" w:line="276" w:lineRule="auto"/>
            </w:pPr>
            <w:r>
              <w:rPr>
                <w:rFonts w:ascii="Calibri" w:hAnsi="Calibri"/>
                <w:b/>
                <w:color w:val="1E293B"/>
                <w:sz w:val="18"/>
              </w:rPr>
              <w:t>Networking &amp; HTTP</w:t>
            </w:r>
          </w:p>
        </w:tc>
        <w:tc>
          <w:tcPr>
            <w:tcW w:type="dxa" w:w="2592"/>
            <w:shd w:fill="F8FAFC"/>
            <w:tcMar>
              <w:top w:w="100" w:type="dxa"/>
              <w:bottom w:w="100" w:type="dxa"/>
              <w:left w:w="120" w:type="dxa"/>
              <w:right w:w="120" w:type="dxa"/>
            </w:tcMar>
            <w:vAlign w:val="center"/>
          </w:tcPr>
          <w:p>
            <w:pPr>
              <w:spacing w:before="40" w:after="40" w:line="276" w:lineRule="auto"/>
            </w:pPr>
            <w:r>
              <w:rPr>
                <w:rFonts w:ascii="Calibri" w:hAnsi="Calibri"/>
                <w:b/>
                <w:color w:val="1E293B"/>
                <w:sz w:val="18"/>
              </w:rPr>
              <w:t>Dio</w:t>
            </w:r>
          </w:p>
        </w:tc>
        <w:tc>
          <w:tcPr>
            <w:tcW w:type="dxa" w:w="1728"/>
            <w:shd w:fill="F8FAFC"/>
            <w:tcMar>
              <w:top w:w="100" w:type="dxa"/>
              <w:bottom w:w="100" w:type="dxa"/>
              <w:left w:w="120" w:type="dxa"/>
              <w:right w:w="120" w:type="dxa"/>
            </w:tcMar>
            <w:vAlign w:val="center"/>
          </w:tcPr>
          <w:p>
            <w:pPr>
              <w:spacing w:before="40" w:after="40" w:line="276" w:lineRule="auto"/>
            </w:pPr>
            <w:r>
              <w:rPr>
                <w:rFonts w:ascii="Consolas" w:hAnsi="Consolas"/>
                <w:color w:val="E11D48"/>
                <w:sz w:val="19"/>
                <w:shd w:fill="F1F5F9"/>
              </w:rPr>
              <w:t>^5.7.0</w:t>
            </w:r>
          </w:p>
        </w:tc>
        <w:tc>
          <w:tcPr>
            <w:tcW w:type="dxa" w:w="3168"/>
            <w:shd w:fill="F8FAFC"/>
            <w:tcMar>
              <w:top w:w="100" w:type="dxa"/>
              <w:bottom w:w="100" w:type="dxa"/>
              <w:left w:w="120" w:type="dxa"/>
              <w:right w:w="120" w:type="dxa"/>
            </w:tcMar>
            <w:vAlign w:val="center"/>
          </w:tcPr>
          <w:p>
            <w:pPr>
              <w:spacing w:before="40" w:after="40" w:line="276" w:lineRule="auto"/>
            </w:pPr>
            <w:r>
              <w:rPr>
                <w:rFonts w:ascii="Calibri" w:hAnsi="Calibri"/>
                <w:color w:val="1E293B"/>
                <w:sz w:val="18"/>
              </w:rPr>
              <w:t>Robust HTTP client featuring connection pooling, custom authentication interceptors, request timeout guards, and retry mechanics.</w:t>
            </w:r>
          </w:p>
        </w:tc>
      </w:tr>
      <w:tr>
        <w:tc>
          <w:tcPr>
            <w:tcW w:type="dxa" w:w="2160"/>
            <w:shd w:fill="FFFFFF"/>
            <w:tcMar>
              <w:top w:w="100" w:type="dxa"/>
              <w:bottom w:w="100" w:type="dxa"/>
              <w:left w:w="120" w:type="dxa"/>
              <w:right w:w="120" w:type="dxa"/>
            </w:tcMar>
            <w:vAlign w:val="center"/>
          </w:tcPr>
          <w:p>
            <w:pPr>
              <w:spacing w:before="40" w:after="40" w:line="276" w:lineRule="auto"/>
            </w:pPr>
            <w:r>
              <w:rPr>
                <w:rFonts w:ascii="Calibri" w:hAnsi="Calibri"/>
                <w:b/>
                <w:color w:val="1E293B"/>
                <w:sz w:val="18"/>
              </w:rPr>
              <w:t>Resilience &amp; Fault Tolerance</w:t>
            </w:r>
          </w:p>
        </w:tc>
        <w:tc>
          <w:tcPr>
            <w:tcW w:type="dxa" w:w="2592"/>
            <w:shd w:fill="FFFFFF"/>
            <w:tcMar>
              <w:top w:w="100" w:type="dxa"/>
              <w:bottom w:w="100" w:type="dxa"/>
              <w:left w:w="120" w:type="dxa"/>
              <w:right w:w="120" w:type="dxa"/>
            </w:tcMar>
            <w:vAlign w:val="center"/>
          </w:tcPr>
          <w:p>
            <w:pPr>
              <w:spacing w:before="40" w:after="40" w:line="276" w:lineRule="auto"/>
            </w:pPr>
            <w:r>
              <w:rPr>
                <w:rFonts w:ascii="Calibri" w:hAnsi="Calibri"/>
                <w:b/>
                <w:color w:val="1E293B"/>
                <w:sz w:val="18"/>
              </w:rPr>
              <w:t>Custom RetryInterceptor</w:t>
            </w:r>
          </w:p>
        </w:tc>
        <w:tc>
          <w:tcPr>
            <w:tcW w:type="dxa" w:w="1728"/>
            <w:shd w:fill="FFFFFF"/>
            <w:tcMar>
              <w:top w:w="100" w:type="dxa"/>
              <w:bottom w:w="100" w:type="dxa"/>
              <w:left w:w="120" w:type="dxa"/>
              <w:right w:w="120" w:type="dxa"/>
            </w:tcMar>
            <w:vAlign w:val="center"/>
          </w:tcPr>
          <w:p>
            <w:pPr>
              <w:spacing w:before="40" w:after="40" w:line="276" w:lineRule="auto"/>
            </w:pPr>
            <w:r>
              <w:rPr>
                <w:rFonts w:ascii="Calibri" w:hAnsi="Calibri"/>
                <w:color w:val="1E293B"/>
                <w:sz w:val="18"/>
              </w:rPr>
              <w:t>In-house</w:t>
            </w:r>
          </w:p>
        </w:tc>
        <w:tc>
          <w:tcPr>
            <w:tcW w:type="dxa" w:w="3168"/>
            <w:shd w:fill="FFFFFF"/>
            <w:tcMar>
              <w:top w:w="100" w:type="dxa"/>
              <w:bottom w:w="100" w:type="dxa"/>
              <w:left w:w="120" w:type="dxa"/>
              <w:right w:w="120" w:type="dxa"/>
            </w:tcMar>
            <w:vAlign w:val="center"/>
          </w:tcPr>
          <w:p>
            <w:pPr>
              <w:spacing w:before="40" w:after="40" w:line="276" w:lineRule="auto"/>
            </w:pPr>
            <w:r>
              <w:rPr>
                <w:rFonts w:ascii="Calibri" w:hAnsi="Calibri"/>
                <w:color w:val="1E293B"/>
                <w:sz w:val="18"/>
              </w:rPr>
              <w:t>Automated request retries with exponential backoff and network jitter calculation for unstable connectivity environments.</w:t>
            </w:r>
          </w:p>
        </w:tc>
      </w:tr>
      <w:tr>
        <w:tc>
          <w:tcPr>
            <w:tcW w:type="dxa" w:w="2160"/>
            <w:shd w:fill="F8FAFC"/>
            <w:tcMar>
              <w:top w:w="100" w:type="dxa"/>
              <w:bottom w:w="100" w:type="dxa"/>
              <w:left w:w="120" w:type="dxa"/>
              <w:right w:w="120" w:type="dxa"/>
            </w:tcMar>
            <w:vAlign w:val="center"/>
          </w:tcPr>
          <w:p>
            <w:pPr>
              <w:spacing w:before="40" w:after="40" w:line="276" w:lineRule="auto"/>
            </w:pPr>
            <w:r>
              <w:rPr>
                <w:rFonts w:ascii="Calibri" w:hAnsi="Calibri"/>
                <w:b/>
                <w:color w:val="1E293B"/>
                <w:sz w:val="18"/>
              </w:rPr>
              <w:t>Developer Observability</w:t>
            </w:r>
          </w:p>
        </w:tc>
        <w:tc>
          <w:tcPr>
            <w:tcW w:type="dxa" w:w="2592"/>
            <w:shd w:fill="F8FAFC"/>
            <w:tcMar>
              <w:top w:w="100" w:type="dxa"/>
              <w:bottom w:w="100" w:type="dxa"/>
              <w:left w:w="120" w:type="dxa"/>
              <w:right w:w="120" w:type="dxa"/>
            </w:tcMar>
            <w:vAlign w:val="center"/>
          </w:tcPr>
          <w:p>
            <w:pPr>
              <w:spacing w:before="40" w:after="40" w:line="276" w:lineRule="auto"/>
            </w:pPr>
            <w:r>
              <w:rPr>
                <w:rFonts w:ascii="Calibri" w:hAnsi="Calibri"/>
                <w:b/>
                <w:color w:val="1E293B"/>
                <w:sz w:val="18"/>
              </w:rPr>
              <w:t>PrettyDioLogger</w:t>
            </w:r>
          </w:p>
        </w:tc>
        <w:tc>
          <w:tcPr>
            <w:tcW w:type="dxa" w:w="1728"/>
            <w:shd w:fill="F8FAFC"/>
            <w:tcMar>
              <w:top w:w="100" w:type="dxa"/>
              <w:bottom w:w="100" w:type="dxa"/>
              <w:left w:w="120" w:type="dxa"/>
              <w:right w:w="120" w:type="dxa"/>
            </w:tcMar>
            <w:vAlign w:val="center"/>
          </w:tcPr>
          <w:p>
            <w:pPr>
              <w:spacing w:before="40" w:after="40" w:line="276" w:lineRule="auto"/>
            </w:pPr>
            <w:r>
              <w:rPr>
                <w:rFonts w:ascii="Consolas" w:hAnsi="Consolas"/>
                <w:color w:val="E11D48"/>
                <w:sz w:val="19"/>
                <w:shd w:fill="F1F5F9"/>
              </w:rPr>
              <w:t>^1.4.0</w:t>
            </w:r>
          </w:p>
        </w:tc>
        <w:tc>
          <w:tcPr>
            <w:tcW w:type="dxa" w:w="3168"/>
            <w:shd w:fill="F8FAFC"/>
            <w:tcMar>
              <w:top w:w="100" w:type="dxa"/>
              <w:bottom w:w="100" w:type="dxa"/>
              <w:left w:w="120" w:type="dxa"/>
              <w:right w:w="120" w:type="dxa"/>
            </w:tcMar>
            <w:vAlign w:val="center"/>
          </w:tcPr>
          <w:p>
            <w:pPr>
              <w:spacing w:before="40" w:after="40" w:line="276" w:lineRule="auto"/>
            </w:pPr>
            <w:r>
              <w:rPr>
                <w:rFonts w:ascii="Calibri" w:hAnsi="Calibri"/>
                <w:color w:val="1E293B"/>
                <w:sz w:val="18"/>
              </w:rPr>
              <w:t>Compact console tracing for HTTP request/response lifecycles, headers, query parameters, and network errors.</w:t>
            </w:r>
          </w:p>
        </w:tc>
      </w:tr>
      <w:tr>
        <w:tc>
          <w:tcPr>
            <w:tcW w:type="dxa" w:w="2160"/>
            <w:shd w:fill="FFFFFF"/>
            <w:tcMar>
              <w:top w:w="100" w:type="dxa"/>
              <w:bottom w:w="100" w:type="dxa"/>
              <w:left w:w="120" w:type="dxa"/>
              <w:right w:w="120" w:type="dxa"/>
            </w:tcMar>
            <w:vAlign w:val="center"/>
          </w:tcPr>
          <w:p>
            <w:pPr>
              <w:spacing w:before="40" w:after="40" w:line="276" w:lineRule="auto"/>
            </w:pPr>
            <w:r>
              <w:rPr>
                <w:rFonts w:ascii="Calibri" w:hAnsi="Calibri"/>
                <w:b/>
                <w:color w:val="1E293B"/>
                <w:sz w:val="18"/>
              </w:rPr>
              <w:t>Client-Side Storage</w:t>
            </w:r>
          </w:p>
        </w:tc>
        <w:tc>
          <w:tcPr>
            <w:tcW w:type="dxa" w:w="2592"/>
            <w:shd w:fill="FFFFFF"/>
            <w:tcMar>
              <w:top w:w="100" w:type="dxa"/>
              <w:bottom w:w="100" w:type="dxa"/>
              <w:left w:w="120" w:type="dxa"/>
              <w:right w:w="120" w:type="dxa"/>
            </w:tcMar>
            <w:vAlign w:val="center"/>
          </w:tcPr>
          <w:p>
            <w:pPr>
              <w:spacing w:before="40" w:after="40" w:line="276" w:lineRule="auto"/>
            </w:pPr>
            <w:r>
              <w:rPr>
                <w:rFonts w:ascii="Calibri" w:hAnsi="Calibri"/>
                <w:b/>
                <w:color w:val="1E293B"/>
                <w:sz w:val="18"/>
              </w:rPr>
              <w:t>GetStorage</w:t>
            </w:r>
          </w:p>
        </w:tc>
        <w:tc>
          <w:tcPr>
            <w:tcW w:type="dxa" w:w="1728"/>
            <w:shd w:fill="FFFFFF"/>
            <w:tcMar>
              <w:top w:w="100" w:type="dxa"/>
              <w:bottom w:w="100" w:type="dxa"/>
              <w:left w:w="120" w:type="dxa"/>
              <w:right w:w="120" w:type="dxa"/>
            </w:tcMar>
            <w:vAlign w:val="center"/>
          </w:tcPr>
          <w:p>
            <w:pPr>
              <w:spacing w:before="40" w:after="40" w:line="276" w:lineRule="auto"/>
            </w:pPr>
            <w:r>
              <w:rPr>
                <w:rFonts w:ascii="Consolas" w:hAnsi="Consolas"/>
                <w:color w:val="E11D48"/>
                <w:sz w:val="19"/>
                <w:shd w:fill="F1F5F9"/>
              </w:rPr>
              <w:t>^2.1.1</w:t>
            </w:r>
          </w:p>
        </w:tc>
        <w:tc>
          <w:tcPr>
            <w:tcW w:type="dxa" w:w="3168"/>
            <w:shd w:fill="FFFFFF"/>
            <w:tcMar>
              <w:top w:w="100" w:type="dxa"/>
              <w:bottom w:w="100" w:type="dxa"/>
              <w:left w:w="120" w:type="dxa"/>
              <w:right w:w="120" w:type="dxa"/>
            </w:tcMar>
            <w:vAlign w:val="center"/>
          </w:tcPr>
          <w:p>
            <w:pPr>
              <w:spacing w:before="40" w:after="40" w:line="276" w:lineRule="auto"/>
            </w:pPr>
            <w:r>
              <w:rPr>
                <w:rFonts w:ascii="Calibri" w:hAnsi="Calibri"/>
                <w:color w:val="1E293B"/>
                <w:sz w:val="18"/>
              </w:rPr>
              <w:t>Fast, lightweight, synchronous key-value storage engine operating over HTML5 Web Storage (</w:t>
            </w:r>
            <w:r>
              <w:rPr>
                <w:rFonts w:ascii="Consolas" w:hAnsi="Consolas"/>
                <w:color w:val="E11D48"/>
                <w:sz w:val="19"/>
                <w:shd w:fill="F1F5F9"/>
              </w:rPr>
              <w:t>localStorage</w:t>
            </w:r>
            <w:r>
              <w:rPr>
                <w:rFonts w:ascii="Calibri" w:hAnsi="Calibri"/>
                <w:color w:val="1E293B"/>
                <w:sz w:val="18"/>
              </w:rPr>
              <w:t>) without mobile-native plugin lockups.</w:t>
            </w:r>
          </w:p>
        </w:tc>
      </w:tr>
      <w:tr>
        <w:tc>
          <w:tcPr>
            <w:tcW w:type="dxa" w:w="2160"/>
            <w:shd w:fill="F8FAFC"/>
            <w:tcMar>
              <w:top w:w="100" w:type="dxa"/>
              <w:bottom w:w="100" w:type="dxa"/>
              <w:left w:w="120" w:type="dxa"/>
              <w:right w:w="120" w:type="dxa"/>
            </w:tcMar>
            <w:vAlign w:val="center"/>
          </w:tcPr>
          <w:p>
            <w:pPr>
              <w:spacing w:before="40" w:after="40" w:line="276" w:lineRule="auto"/>
            </w:pPr>
            <w:r>
              <w:rPr>
                <w:rFonts w:ascii="Calibri" w:hAnsi="Calibri"/>
                <w:b/>
                <w:color w:val="1E293B"/>
                <w:sz w:val="18"/>
              </w:rPr>
              <w:t>Functional Error Monads</w:t>
            </w:r>
          </w:p>
        </w:tc>
        <w:tc>
          <w:tcPr>
            <w:tcW w:type="dxa" w:w="2592"/>
            <w:shd w:fill="F8FAFC"/>
            <w:tcMar>
              <w:top w:w="100" w:type="dxa"/>
              <w:bottom w:w="100" w:type="dxa"/>
              <w:left w:w="120" w:type="dxa"/>
              <w:right w:w="120" w:type="dxa"/>
            </w:tcMar>
            <w:vAlign w:val="center"/>
          </w:tcPr>
          <w:p>
            <w:pPr>
              <w:spacing w:before="40" w:after="40" w:line="276" w:lineRule="auto"/>
            </w:pPr>
            <w:r>
              <w:rPr>
                <w:rFonts w:ascii="Calibri" w:hAnsi="Calibri"/>
                <w:b/>
                <w:color w:val="1E293B"/>
                <w:sz w:val="18"/>
              </w:rPr>
              <w:t>Dartz</w:t>
            </w:r>
          </w:p>
        </w:tc>
        <w:tc>
          <w:tcPr>
            <w:tcW w:type="dxa" w:w="1728"/>
            <w:shd w:fill="F8FAFC"/>
            <w:tcMar>
              <w:top w:w="100" w:type="dxa"/>
              <w:bottom w:w="100" w:type="dxa"/>
              <w:left w:w="120" w:type="dxa"/>
              <w:right w:w="120" w:type="dxa"/>
            </w:tcMar>
            <w:vAlign w:val="center"/>
          </w:tcPr>
          <w:p>
            <w:pPr>
              <w:spacing w:before="40" w:after="40" w:line="276" w:lineRule="auto"/>
            </w:pPr>
            <w:r>
              <w:rPr>
                <w:rFonts w:ascii="Consolas" w:hAnsi="Consolas"/>
                <w:color w:val="E11D48"/>
                <w:sz w:val="19"/>
                <w:shd w:fill="F1F5F9"/>
              </w:rPr>
              <w:t>^0.10.1</w:t>
            </w:r>
          </w:p>
        </w:tc>
        <w:tc>
          <w:tcPr>
            <w:tcW w:type="dxa" w:w="3168"/>
            <w:shd w:fill="F8FAFC"/>
            <w:tcMar>
              <w:top w:w="100" w:type="dxa"/>
              <w:bottom w:w="100" w:type="dxa"/>
              <w:left w:w="120" w:type="dxa"/>
              <w:right w:w="120" w:type="dxa"/>
            </w:tcMar>
            <w:vAlign w:val="center"/>
          </w:tcPr>
          <w:p>
            <w:pPr>
              <w:spacing w:before="40" w:after="40" w:line="276" w:lineRule="auto"/>
            </w:pPr>
            <w:r>
              <w:rPr>
                <w:rFonts w:ascii="Calibri" w:hAnsi="Calibri"/>
                <w:color w:val="1E293B"/>
                <w:sz w:val="18"/>
              </w:rPr>
              <w:t>Functional programming abstractions (</w:t>
            </w:r>
            <w:r>
              <w:rPr>
                <w:rFonts w:ascii="Consolas" w:hAnsi="Consolas"/>
                <w:color w:val="E11D48"/>
                <w:sz w:val="19"/>
                <w:shd w:fill="F1F5F9"/>
              </w:rPr>
              <w:t>Either&lt;Failure, T&gt;</w:t>
            </w:r>
            <w:r>
              <w:rPr>
                <w:rFonts w:ascii="Calibri" w:hAnsi="Calibri"/>
                <w:color w:val="1E293B"/>
                <w:sz w:val="18"/>
              </w:rPr>
              <w:t>) guaranteeing compile-time error handling and eliminating unhandled runtime exceptions.</w:t>
            </w:r>
          </w:p>
        </w:tc>
      </w:tr>
      <w:tr>
        <w:tc>
          <w:tcPr>
            <w:tcW w:type="dxa" w:w="2160"/>
            <w:shd w:fill="FFFFFF"/>
            <w:tcMar>
              <w:top w:w="100" w:type="dxa"/>
              <w:bottom w:w="100" w:type="dxa"/>
              <w:left w:w="120" w:type="dxa"/>
              <w:right w:w="120" w:type="dxa"/>
            </w:tcMar>
            <w:vAlign w:val="center"/>
          </w:tcPr>
          <w:p>
            <w:pPr>
              <w:spacing w:before="40" w:after="40" w:line="276" w:lineRule="auto"/>
            </w:pPr>
            <w:r>
              <w:rPr>
                <w:rFonts w:ascii="Calibri" w:hAnsi="Calibri"/>
                <w:b/>
                <w:color w:val="1E293B"/>
                <w:sz w:val="18"/>
              </w:rPr>
              <w:t>Document &amp; Asset Picking</w:t>
            </w:r>
          </w:p>
        </w:tc>
        <w:tc>
          <w:tcPr>
            <w:tcW w:type="dxa" w:w="2592"/>
            <w:shd w:fill="FFFFFF"/>
            <w:tcMar>
              <w:top w:w="100" w:type="dxa"/>
              <w:bottom w:w="100" w:type="dxa"/>
              <w:left w:w="120" w:type="dxa"/>
              <w:right w:w="120" w:type="dxa"/>
            </w:tcMar>
            <w:vAlign w:val="center"/>
          </w:tcPr>
          <w:p>
            <w:pPr>
              <w:spacing w:before="40" w:after="40" w:line="276" w:lineRule="auto"/>
            </w:pPr>
            <w:r>
              <w:rPr>
                <w:rFonts w:ascii="Calibri" w:hAnsi="Calibri"/>
                <w:b/>
                <w:color w:val="1E293B"/>
                <w:sz w:val="18"/>
              </w:rPr>
              <w:t>FilePicker</w:t>
            </w:r>
          </w:p>
        </w:tc>
        <w:tc>
          <w:tcPr>
            <w:tcW w:type="dxa" w:w="1728"/>
            <w:shd w:fill="FFFFFF"/>
            <w:tcMar>
              <w:top w:w="100" w:type="dxa"/>
              <w:bottom w:w="100" w:type="dxa"/>
              <w:left w:w="120" w:type="dxa"/>
              <w:right w:w="120" w:type="dxa"/>
            </w:tcMar>
            <w:vAlign w:val="center"/>
          </w:tcPr>
          <w:p>
            <w:pPr>
              <w:spacing w:before="40" w:after="40" w:line="276" w:lineRule="auto"/>
            </w:pPr>
            <w:r>
              <w:rPr>
                <w:rFonts w:ascii="Consolas" w:hAnsi="Consolas"/>
                <w:color w:val="E11D48"/>
                <w:sz w:val="19"/>
                <w:shd w:fill="F1F5F9"/>
              </w:rPr>
              <w:t>^12.2.0</w:t>
            </w:r>
          </w:p>
        </w:tc>
        <w:tc>
          <w:tcPr>
            <w:tcW w:type="dxa" w:w="3168"/>
            <w:shd w:fill="FFFFFF"/>
            <w:tcMar>
              <w:top w:w="100" w:type="dxa"/>
              <w:bottom w:w="100" w:type="dxa"/>
              <w:left w:w="120" w:type="dxa"/>
              <w:right w:w="120" w:type="dxa"/>
            </w:tcMar>
            <w:vAlign w:val="center"/>
          </w:tcPr>
          <w:p>
            <w:pPr>
              <w:spacing w:before="40" w:after="40" w:line="276" w:lineRule="auto"/>
            </w:pPr>
            <w:r>
              <w:rPr>
                <w:rFonts w:ascii="Calibri" w:hAnsi="Calibri"/>
                <w:color w:val="1E293B"/>
                <w:sz w:val="18"/>
              </w:rPr>
              <w:t>Secure web-compatible document selection supporting binary byte streams for PDF quotation, trade license, and invoice uploads.</w:t>
            </w:r>
          </w:p>
        </w:tc>
      </w:tr>
      <w:tr>
        <w:tc>
          <w:tcPr>
            <w:tcW w:type="dxa" w:w="2160"/>
            <w:shd w:fill="F8FAFC"/>
            <w:tcMar>
              <w:top w:w="100" w:type="dxa"/>
              <w:bottom w:w="100" w:type="dxa"/>
              <w:left w:w="120" w:type="dxa"/>
              <w:right w:w="120" w:type="dxa"/>
            </w:tcMar>
            <w:vAlign w:val="center"/>
          </w:tcPr>
          <w:p>
            <w:pPr>
              <w:spacing w:before="40" w:after="40" w:line="276" w:lineRule="auto"/>
            </w:pPr>
            <w:r>
              <w:rPr>
                <w:rFonts w:ascii="Calibri" w:hAnsi="Calibri"/>
                <w:b/>
                <w:color w:val="1E293B"/>
                <w:sz w:val="18"/>
              </w:rPr>
              <w:t>Responsive Data Grids</w:t>
            </w:r>
          </w:p>
        </w:tc>
        <w:tc>
          <w:tcPr>
            <w:tcW w:type="dxa" w:w="2592"/>
            <w:shd w:fill="F8FAFC"/>
            <w:tcMar>
              <w:top w:w="100" w:type="dxa"/>
              <w:bottom w:w="100" w:type="dxa"/>
              <w:left w:w="120" w:type="dxa"/>
              <w:right w:w="120" w:type="dxa"/>
            </w:tcMar>
            <w:vAlign w:val="center"/>
          </w:tcPr>
          <w:p>
            <w:pPr>
              <w:spacing w:before="40" w:after="40" w:line="276" w:lineRule="auto"/>
            </w:pPr>
            <w:r>
              <w:rPr>
                <w:rFonts w:ascii="Calibri" w:hAnsi="Calibri"/>
                <w:b/>
                <w:color w:val="1E293B"/>
                <w:sz w:val="18"/>
              </w:rPr>
              <w:t>DataTable2</w:t>
            </w:r>
          </w:p>
        </w:tc>
        <w:tc>
          <w:tcPr>
            <w:tcW w:type="dxa" w:w="1728"/>
            <w:shd w:fill="F8FAFC"/>
            <w:tcMar>
              <w:top w:w="100" w:type="dxa"/>
              <w:bottom w:w="100" w:type="dxa"/>
              <w:left w:w="120" w:type="dxa"/>
              <w:right w:w="120" w:type="dxa"/>
            </w:tcMar>
            <w:vAlign w:val="center"/>
          </w:tcPr>
          <w:p>
            <w:pPr>
              <w:spacing w:before="40" w:after="40" w:line="276" w:lineRule="auto"/>
            </w:pPr>
            <w:r>
              <w:rPr>
                <w:rFonts w:ascii="Consolas" w:hAnsi="Consolas"/>
                <w:color w:val="E11D48"/>
                <w:sz w:val="19"/>
                <w:shd w:fill="F1F5F9"/>
              </w:rPr>
              <w:t>^2.5.15</w:t>
            </w:r>
          </w:p>
        </w:tc>
        <w:tc>
          <w:tcPr>
            <w:tcW w:type="dxa" w:w="3168"/>
            <w:shd w:fill="F8FAFC"/>
            <w:tcMar>
              <w:top w:w="100" w:type="dxa"/>
              <w:bottom w:w="100" w:type="dxa"/>
              <w:left w:w="120" w:type="dxa"/>
              <w:right w:w="120" w:type="dxa"/>
            </w:tcMar>
            <w:vAlign w:val="center"/>
          </w:tcPr>
          <w:p>
            <w:pPr>
              <w:spacing w:before="40" w:after="40" w:line="276" w:lineRule="auto"/>
            </w:pPr>
            <w:r>
              <w:rPr>
                <w:rFonts w:ascii="Calibri" w:hAnsi="Calibri"/>
                <w:color w:val="1E293B"/>
                <w:sz w:val="18"/>
              </w:rPr>
              <w:t>Desktop-grade data table engine with pinned sticky headers, horizontal scrolling, column-level sorting, and custom cell renders.</w:t>
            </w:r>
          </w:p>
        </w:tc>
      </w:tr>
      <w:tr>
        <w:tc>
          <w:tcPr>
            <w:tcW w:type="dxa" w:w="2160"/>
            <w:shd w:fill="FFFFFF"/>
            <w:tcMar>
              <w:top w:w="100" w:type="dxa"/>
              <w:bottom w:w="100" w:type="dxa"/>
              <w:left w:w="120" w:type="dxa"/>
              <w:right w:w="120" w:type="dxa"/>
            </w:tcMar>
            <w:vAlign w:val="center"/>
          </w:tcPr>
          <w:p>
            <w:pPr>
              <w:spacing w:before="40" w:after="40" w:line="276" w:lineRule="auto"/>
            </w:pPr>
            <w:r>
              <w:rPr>
                <w:rFonts w:ascii="Calibri" w:hAnsi="Calibri"/>
                <w:b/>
                <w:color w:val="1E293B"/>
                <w:sz w:val="18"/>
              </w:rPr>
              <w:t>Data Visualization &amp; Analytics</w:t>
            </w:r>
          </w:p>
        </w:tc>
        <w:tc>
          <w:tcPr>
            <w:tcW w:type="dxa" w:w="2592"/>
            <w:shd w:fill="FFFFFF"/>
            <w:tcMar>
              <w:top w:w="100" w:type="dxa"/>
              <w:bottom w:w="100" w:type="dxa"/>
              <w:left w:w="120" w:type="dxa"/>
              <w:right w:w="120" w:type="dxa"/>
            </w:tcMar>
            <w:vAlign w:val="center"/>
          </w:tcPr>
          <w:p>
            <w:pPr>
              <w:spacing w:before="40" w:after="40" w:line="276" w:lineRule="auto"/>
            </w:pPr>
            <w:r>
              <w:rPr>
                <w:rFonts w:ascii="Calibri" w:hAnsi="Calibri"/>
                <w:b/>
                <w:color w:val="1E293B"/>
                <w:sz w:val="18"/>
              </w:rPr>
              <w:t>FL Chart</w:t>
            </w:r>
          </w:p>
        </w:tc>
        <w:tc>
          <w:tcPr>
            <w:tcW w:type="dxa" w:w="1728"/>
            <w:shd w:fill="FFFFFF"/>
            <w:tcMar>
              <w:top w:w="100" w:type="dxa"/>
              <w:bottom w:w="100" w:type="dxa"/>
              <w:left w:w="120" w:type="dxa"/>
              <w:right w:w="120" w:type="dxa"/>
            </w:tcMar>
            <w:vAlign w:val="center"/>
          </w:tcPr>
          <w:p>
            <w:pPr>
              <w:spacing w:before="40" w:after="40" w:line="276" w:lineRule="auto"/>
            </w:pPr>
            <w:r>
              <w:rPr>
                <w:rFonts w:ascii="Consolas" w:hAnsi="Consolas"/>
                <w:color w:val="E11D48"/>
                <w:sz w:val="19"/>
                <w:shd w:fill="F1F5F9"/>
              </w:rPr>
              <w:t>^1.2.0</w:t>
            </w:r>
          </w:p>
        </w:tc>
        <w:tc>
          <w:tcPr>
            <w:tcW w:type="dxa" w:w="3168"/>
            <w:shd w:fill="FFFFFF"/>
            <w:tcMar>
              <w:top w:w="100" w:type="dxa"/>
              <w:bottom w:w="100" w:type="dxa"/>
              <w:left w:w="120" w:type="dxa"/>
              <w:right w:w="120" w:type="dxa"/>
            </w:tcMar>
            <w:vAlign w:val="center"/>
          </w:tcPr>
          <w:p>
            <w:pPr>
              <w:spacing w:before="40" w:after="40" w:line="276" w:lineRule="auto"/>
            </w:pPr>
            <w:r>
              <w:rPr>
                <w:rFonts w:ascii="Calibri" w:hAnsi="Calibri"/>
                <w:color w:val="1E293B"/>
                <w:sz w:val="18"/>
              </w:rPr>
              <w:t>Hardware-accelerated charting library powering institutional spend breakdowns, monthly trend curves, and fiscal budget comparisons.</w:t>
            </w:r>
          </w:p>
        </w:tc>
      </w:tr>
      <w:tr>
        <w:tc>
          <w:tcPr>
            <w:tcW w:type="dxa" w:w="2160"/>
            <w:shd w:fill="F8FAFC"/>
            <w:tcMar>
              <w:top w:w="100" w:type="dxa"/>
              <w:bottom w:w="100" w:type="dxa"/>
              <w:left w:w="120" w:type="dxa"/>
              <w:right w:w="120" w:type="dxa"/>
            </w:tcMar>
            <w:vAlign w:val="center"/>
          </w:tcPr>
          <w:p>
            <w:pPr>
              <w:spacing w:before="40" w:after="40" w:line="276" w:lineRule="auto"/>
            </w:pPr>
            <w:r>
              <w:rPr>
                <w:rFonts w:ascii="Calibri" w:hAnsi="Calibri"/>
                <w:b/>
                <w:color w:val="1E293B"/>
                <w:sz w:val="18"/>
              </w:rPr>
              <w:t>Modern Typography</w:t>
            </w:r>
          </w:p>
        </w:tc>
        <w:tc>
          <w:tcPr>
            <w:tcW w:type="dxa" w:w="2592"/>
            <w:shd w:fill="F8FAFC"/>
            <w:tcMar>
              <w:top w:w="100" w:type="dxa"/>
              <w:bottom w:w="100" w:type="dxa"/>
              <w:left w:w="120" w:type="dxa"/>
              <w:right w:w="120" w:type="dxa"/>
            </w:tcMar>
            <w:vAlign w:val="center"/>
          </w:tcPr>
          <w:p>
            <w:pPr>
              <w:spacing w:before="40" w:after="40" w:line="276" w:lineRule="auto"/>
            </w:pPr>
            <w:r>
              <w:rPr>
                <w:rFonts w:ascii="Calibri" w:hAnsi="Calibri"/>
                <w:b/>
                <w:color w:val="1E293B"/>
                <w:sz w:val="18"/>
              </w:rPr>
              <w:t>Google Fonts (Inter)</w:t>
            </w:r>
          </w:p>
        </w:tc>
        <w:tc>
          <w:tcPr>
            <w:tcW w:type="dxa" w:w="1728"/>
            <w:shd w:fill="F8FAFC"/>
            <w:tcMar>
              <w:top w:w="100" w:type="dxa"/>
              <w:bottom w:w="100" w:type="dxa"/>
              <w:left w:w="120" w:type="dxa"/>
              <w:right w:w="120" w:type="dxa"/>
            </w:tcMar>
            <w:vAlign w:val="center"/>
          </w:tcPr>
          <w:p>
            <w:pPr>
              <w:spacing w:before="40" w:after="40" w:line="276" w:lineRule="auto"/>
            </w:pPr>
            <w:r>
              <w:rPr>
                <w:rFonts w:ascii="Consolas" w:hAnsi="Consolas"/>
                <w:color w:val="E11D48"/>
                <w:sz w:val="19"/>
                <w:shd w:fill="F1F5F9"/>
              </w:rPr>
              <w:t>^8.2.1</w:t>
            </w:r>
          </w:p>
        </w:tc>
        <w:tc>
          <w:tcPr>
            <w:tcW w:type="dxa" w:w="3168"/>
            <w:shd w:fill="F8FAFC"/>
            <w:tcMar>
              <w:top w:w="100" w:type="dxa"/>
              <w:bottom w:w="100" w:type="dxa"/>
              <w:left w:w="120" w:type="dxa"/>
              <w:right w:w="120" w:type="dxa"/>
            </w:tcMar>
            <w:vAlign w:val="center"/>
          </w:tcPr>
          <w:p>
            <w:pPr>
              <w:spacing w:before="40" w:after="40" w:line="276" w:lineRule="auto"/>
            </w:pPr>
            <w:r>
              <w:rPr>
                <w:rFonts w:ascii="Calibri" w:hAnsi="Calibri"/>
                <w:color w:val="1E293B"/>
                <w:sz w:val="18"/>
              </w:rPr>
              <w:t>Curated sans-serif typography ensuring institutional clarity, readability, and visual hierarchy across high-density data tables.</w:t>
            </w:r>
          </w:p>
        </w:tc>
      </w:tr>
      <w:tr>
        <w:tc>
          <w:tcPr>
            <w:tcW w:type="dxa" w:w="2160"/>
            <w:shd w:fill="FFFFFF"/>
            <w:tcMar>
              <w:top w:w="100" w:type="dxa"/>
              <w:bottom w:w="100" w:type="dxa"/>
              <w:left w:w="120" w:type="dxa"/>
              <w:right w:w="120" w:type="dxa"/>
            </w:tcMar>
            <w:vAlign w:val="center"/>
          </w:tcPr>
          <w:p>
            <w:pPr>
              <w:spacing w:before="40" w:after="40" w:line="276" w:lineRule="auto"/>
            </w:pPr>
            <w:r>
              <w:rPr>
                <w:rFonts w:ascii="Calibri" w:hAnsi="Calibri"/>
                <w:b/>
                <w:color w:val="1E293B"/>
                <w:sz w:val="18"/>
              </w:rPr>
              <w:t>Date &amp; Currency Formatting</w:t>
            </w:r>
          </w:p>
        </w:tc>
        <w:tc>
          <w:tcPr>
            <w:tcW w:type="dxa" w:w="2592"/>
            <w:shd w:fill="FFFFFF"/>
            <w:tcMar>
              <w:top w:w="100" w:type="dxa"/>
              <w:bottom w:w="100" w:type="dxa"/>
              <w:left w:w="120" w:type="dxa"/>
              <w:right w:w="120" w:type="dxa"/>
            </w:tcMar>
            <w:vAlign w:val="center"/>
          </w:tcPr>
          <w:p>
            <w:pPr>
              <w:spacing w:before="40" w:after="40" w:line="276" w:lineRule="auto"/>
            </w:pPr>
            <w:r>
              <w:rPr>
                <w:rFonts w:ascii="Calibri" w:hAnsi="Calibri"/>
                <w:b/>
                <w:color w:val="1E293B"/>
                <w:sz w:val="18"/>
              </w:rPr>
              <w:t>Intl</w:t>
            </w:r>
          </w:p>
        </w:tc>
        <w:tc>
          <w:tcPr>
            <w:tcW w:type="dxa" w:w="1728"/>
            <w:shd w:fill="FFFFFF"/>
            <w:tcMar>
              <w:top w:w="100" w:type="dxa"/>
              <w:bottom w:w="100" w:type="dxa"/>
              <w:left w:w="120" w:type="dxa"/>
              <w:right w:w="120" w:type="dxa"/>
            </w:tcMar>
            <w:vAlign w:val="center"/>
          </w:tcPr>
          <w:p>
            <w:pPr>
              <w:spacing w:before="40" w:after="40" w:line="276" w:lineRule="auto"/>
            </w:pPr>
            <w:r>
              <w:rPr>
                <w:rFonts w:ascii="Consolas" w:hAnsi="Consolas"/>
                <w:color w:val="E11D48"/>
                <w:sz w:val="19"/>
                <w:shd w:fill="F1F5F9"/>
              </w:rPr>
              <w:t>^0.20.3</w:t>
            </w:r>
          </w:p>
        </w:tc>
        <w:tc>
          <w:tcPr>
            <w:tcW w:type="dxa" w:w="3168"/>
            <w:shd w:fill="FFFFFF"/>
            <w:tcMar>
              <w:top w:w="100" w:type="dxa"/>
              <w:bottom w:w="100" w:type="dxa"/>
              <w:left w:w="120" w:type="dxa"/>
              <w:right w:w="120" w:type="dxa"/>
            </w:tcMar>
            <w:vAlign w:val="center"/>
          </w:tcPr>
          <w:p>
            <w:pPr>
              <w:spacing w:before="40" w:after="40" w:line="276" w:lineRule="auto"/>
            </w:pPr>
            <w:r>
              <w:rPr>
                <w:rFonts w:ascii="Calibri" w:hAnsi="Calibri"/>
                <w:color w:val="1E293B"/>
                <w:sz w:val="18"/>
              </w:rPr>
              <w:t>Localization and internationalization engine formatting multi-currency values and standardized timestamps.</w:t>
            </w:r>
          </w:p>
        </w:tc>
      </w:tr>
      <w:tr>
        <w:tc>
          <w:tcPr>
            <w:tcW w:type="dxa" w:w="2160"/>
            <w:shd w:fill="F8FAFC"/>
            <w:tcMar>
              <w:top w:w="100" w:type="dxa"/>
              <w:bottom w:w="100" w:type="dxa"/>
              <w:left w:w="120" w:type="dxa"/>
              <w:right w:w="120" w:type="dxa"/>
            </w:tcMar>
            <w:vAlign w:val="center"/>
          </w:tcPr>
          <w:p>
            <w:pPr>
              <w:spacing w:before="40" w:after="40" w:line="276" w:lineRule="auto"/>
            </w:pPr>
            <w:r>
              <w:rPr>
                <w:rFonts w:ascii="Calibri" w:hAnsi="Calibri"/>
                <w:b/>
                <w:color w:val="1E293B"/>
                <w:sz w:val="18"/>
              </w:rPr>
              <w:t>Notification System</w:t>
            </w:r>
          </w:p>
        </w:tc>
        <w:tc>
          <w:tcPr>
            <w:tcW w:type="dxa" w:w="2592"/>
            <w:shd w:fill="F8FAFC"/>
            <w:tcMar>
              <w:top w:w="100" w:type="dxa"/>
              <w:bottom w:w="100" w:type="dxa"/>
              <w:left w:w="120" w:type="dxa"/>
              <w:right w:w="120" w:type="dxa"/>
            </w:tcMar>
            <w:vAlign w:val="center"/>
          </w:tcPr>
          <w:p>
            <w:pPr>
              <w:spacing w:before="40" w:after="40" w:line="276" w:lineRule="auto"/>
            </w:pPr>
            <w:r>
              <w:rPr>
                <w:rFonts w:ascii="Calibri" w:hAnsi="Calibri"/>
                <w:b/>
                <w:color w:val="1E293B"/>
                <w:sz w:val="18"/>
              </w:rPr>
              <w:t>Toastification</w:t>
            </w:r>
          </w:p>
        </w:tc>
        <w:tc>
          <w:tcPr>
            <w:tcW w:type="dxa" w:w="1728"/>
            <w:shd w:fill="F8FAFC"/>
            <w:tcMar>
              <w:top w:w="100" w:type="dxa"/>
              <w:bottom w:w="100" w:type="dxa"/>
              <w:left w:w="120" w:type="dxa"/>
              <w:right w:w="120" w:type="dxa"/>
            </w:tcMar>
            <w:vAlign w:val="center"/>
          </w:tcPr>
          <w:p>
            <w:pPr>
              <w:spacing w:before="40" w:after="40" w:line="276" w:lineRule="auto"/>
            </w:pPr>
            <w:r>
              <w:rPr>
                <w:rFonts w:ascii="Consolas" w:hAnsi="Consolas"/>
                <w:color w:val="E11D48"/>
                <w:sz w:val="19"/>
                <w:shd w:fill="F1F5F9"/>
              </w:rPr>
              <w:t>^3.2.0</w:t>
            </w:r>
          </w:p>
        </w:tc>
        <w:tc>
          <w:tcPr>
            <w:tcW w:type="dxa" w:w="3168"/>
            <w:shd w:fill="F8FAFC"/>
            <w:tcMar>
              <w:top w:w="100" w:type="dxa"/>
              <w:bottom w:w="100" w:type="dxa"/>
              <w:left w:w="120" w:type="dxa"/>
              <w:right w:w="120" w:type="dxa"/>
            </w:tcMar>
            <w:vAlign w:val="center"/>
          </w:tcPr>
          <w:p>
            <w:pPr>
              <w:spacing w:before="40" w:after="40" w:line="276" w:lineRule="auto"/>
            </w:pPr>
            <w:r>
              <w:rPr>
                <w:rFonts w:ascii="Calibri" w:hAnsi="Calibri"/>
                <w:color w:val="1E293B"/>
                <w:sz w:val="18"/>
              </w:rPr>
              <w:t>Multi-tiered visual alert notifications featuring progress timers, swipe dismissal, and actionable micro-interactions.</w:t>
            </w:r>
          </w:p>
        </w:tc>
      </w:tr>
      <w:tr>
        <w:tc>
          <w:tcPr>
            <w:tcW w:type="dxa" w:w="2160"/>
            <w:shd w:fill="FFFFFF"/>
            <w:tcMar>
              <w:top w:w="100" w:type="dxa"/>
              <w:bottom w:w="100" w:type="dxa"/>
              <w:left w:w="120" w:type="dxa"/>
              <w:right w:w="120" w:type="dxa"/>
            </w:tcMar>
            <w:vAlign w:val="center"/>
          </w:tcPr>
          <w:p>
            <w:pPr>
              <w:spacing w:before="40" w:after="40" w:line="276" w:lineRule="auto"/>
            </w:pPr>
            <w:r>
              <w:rPr>
                <w:rFonts w:ascii="Calibri" w:hAnsi="Calibri"/>
                <w:b/>
                <w:color w:val="1E293B"/>
                <w:sz w:val="18"/>
              </w:rPr>
              <w:t>Build &amp; Edge Deployment</w:t>
            </w:r>
          </w:p>
        </w:tc>
        <w:tc>
          <w:tcPr>
            <w:tcW w:type="dxa" w:w="2592"/>
            <w:shd w:fill="FFFFFF"/>
            <w:tcMar>
              <w:top w:w="100" w:type="dxa"/>
              <w:bottom w:w="100" w:type="dxa"/>
              <w:left w:w="120" w:type="dxa"/>
              <w:right w:w="120" w:type="dxa"/>
            </w:tcMar>
            <w:vAlign w:val="center"/>
          </w:tcPr>
          <w:p>
            <w:pPr>
              <w:spacing w:before="40" w:after="40" w:line="276" w:lineRule="auto"/>
            </w:pPr>
            <w:r>
              <w:rPr>
                <w:rFonts w:ascii="Calibri" w:hAnsi="Calibri"/>
                <w:b/>
                <w:color w:val="1E293B"/>
                <w:sz w:val="18"/>
              </w:rPr>
              <w:t>Vercel &amp; Custom Bash</w:t>
            </w:r>
          </w:p>
        </w:tc>
        <w:tc>
          <w:tcPr>
            <w:tcW w:type="dxa" w:w="1728"/>
            <w:shd w:fill="FFFFFF"/>
            <w:tcMar>
              <w:top w:w="100" w:type="dxa"/>
              <w:bottom w:w="100" w:type="dxa"/>
              <w:left w:w="120" w:type="dxa"/>
              <w:right w:w="120" w:type="dxa"/>
            </w:tcMar>
            <w:vAlign w:val="center"/>
          </w:tcPr>
          <w:p>
            <w:pPr>
              <w:spacing w:before="40" w:after="40" w:line="276" w:lineRule="auto"/>
            </w:pPr>
            <w:r>
              <w:rPr>
                <w:rFonts w:ascii="Calibri" w:hAnsi="Calibri"/>
                <w:color w:val="1E293B"/>
                <w:sz w:val="18"/>
              </w:rPr>
              <w:t>Edge CDN</w:t>
            </w:r>
          </w:p>
        </w:tc>
        <w:tc>
          <w:tcPr>
            <w:tcW w:type="dxa" w:w="3168"/>
            <w:shd w:fill="FFFFFF"/>
            <w:tcMar>
              <w:top w:w="100" w:type="dxa"/>
              <w:bottom w:w="100" w:type="dxa"/>
              <w:left w:w="120" w:type="dxa"/>
              <w:right w:w="120" w:type="dxa"/>
            </w:tcMar>
            <w:vAlign w:val="center"/>
          </w:tcPr>
          <w:p>
            <w:pPr>
              <w:spacing w:before="40" w:after="40" w:line="276" w:lineRule="auto"/>
            </w:pPr>
            <w:r>
              <w:rPr>
                <w:rFonts w:ascii="Calibri" w:hAnsi="Calibri"/>
                <w:color w:val="1E293B"/>
                <w:sz w:val="18"/>
              </w:rPr>
              <w:t>Automated continuous deployment pipeline with custom build scripts (</w:t>
            </w:r>
            <w:r>
              <w:rPr>
                <w:rFonts w:ascii="Consolas" w:hAnsi="Consolas"/>
                <w:color w:val="E11D48"/>
                <w:sz w:val="19"/>
                <w:shd w:fill="F1F5F9"/>
              </w:rPr>
              <w:t>vercel-build.sh</w:t>
            </w:r>
            <w:r>
              <w:rPr>
                <w:rFonts w:ascii="Calibri" w:hAnsi="Calibri"/>
                <w:color w:val="1E293B"/>
                <w:sz w:val="18"/>
              </w:rPr>
              <w:t>) and client-side single page app rewrites (</w:t>
            </w:r>
            <w:r>
              <w:rPr>
                <w:rFonts w:ascii="Consolas" w:hAnsi="Consolas"/>
                <w:color w:val="E11D48"/>
                <w:sz w:val="19"/>
                <w:shd w:fill="F1F5F9"/>
              </w:rPr>
              <w:t>vercel.json</w:t>
            </w:r>
            <w:r>
              <w:rPr>
                <w:rFonts w:ascii="Calibri" w:hAnsi="Calibri"/>
                <w:color w:val="1E293B"/>
                <w:sz w:val="18"/>
              </w:rPr>
              <w:t>).</w:t>
            </w:r>
          </w:p>
        </w:tc>
      </w:tr>
    </w:tbl>
    <w:p>
      <w:pPr>
        <w:spacing w:before="0" w:after="120"/>
      </w:pPr>
    </w:p>
    <w:p>
      <w:pPr>
        <w:spacing w:before="160" w:after="160"/>
        <w:pBdr>
          <w:bottom w:val="single" w:sz="6" w:space="1" w:color="E2E8F0"/>
        </w:pBdr>
      </w:pPr>
    </w:p>
    <w:p>
      <w:pPr>
        <w:keepNext/>
        <w:spacing w:before="280" w:after="80"/>
      </w:pPr>
      <w:r>
        <w:rPr>
          <w:rFonts w:ascii="Calibri" w:hAnsi="Calibri"/>
          <w:b/>
          <w:color w:val="0F172A"/>
          <w:sz w:val="30"/>
        </w:rPr>
        <w:t>3. UI/UX Design System &amp; Adaptive Layout Engine</w:t>
      </w:r>
    </w:p>
    <w:p>
      <w:pPr>
        <w:spacing w:before="40" w:after="80" w:line="276" w:lineRule="auto"/>
      </w:pPr>
      <w:r>
        <w:rPr>
          <w:rFonts w:ascii="Calibri" w:hAnsi="Calibri"/>
          <w:color w:val="334155"/>
          <w:sz w:val="21"/>
        </w:rPr>
        <w:t>The user interface adheres to institutional design standards tailored for complex corporate software:</w:t>
      </w:r>
    </w:p>
    <w:p>
      <w:pPr>
        <w:spacing w:before="20" w:after="40" w:line="276" w:lineRule="auto"/>
        <w:ind w:left="288"/>
      </w:pPr>
      <w:r>
        <w:rPr>
          <w:color w:val="1A56DB"/>
          <w:sz w:val="18"/>
        </w:rPr>
        <w:t xml:space="preserve">▪  </w:t>
      </w:r>
      <w:r>
        <w:rPr>
          <w:rFonts w:ascii="Calibri" w:hAnsi="Calibri"/>
          <w:b/>
          <w:color w:val="334155"/>
          <w:sz w:val="20"/>
        </w:rPr>
        <w:t>Curated Institutional Color Palette:</w:t>
      </w:r>
      <w:r>
        <w:rPr>
          <w:rFonts w:ascii="Calibri" w:hAnsi="Calibri"/>
          <w:color w:val="334155"/>
          <w:sz w:val="20"/>
        </w:rPr>
        <w:t xml:space="preserve"> Built around authoritative University Blue (</w:t>
      </w:r>
      <w:r>
        <w:rPr>
          <w:rFonts w:ascii="Consolas" w:hAnsi="Consolas"/>
          <w:color w:val="E11D48"/>
          <w:sz w:val="19"/>
          <w:shd w:fill="F1F5F9"/>
        </w:rPr>
        <w:t>#1A56DB</w:t>
      </w:r>
      <w:r>
        <w:rPr>
          <w:rFonts w:ascii="Calibri" w:hAnsi="Calibri"/>
          <w:color w:val="334155"/>
          <w:sz w:val="20"/>
        </w:rPr>
        <w:t>), Slate Charcoal (</w:t>
      </w:r>
      <w:r>
        <w:rPr>
          <w:rFonts w:ascii="Consolas" w:hAnsi="Consolas"/>
          <w:color w:val="E11D48"/>
          <w:sz w:val="19"/>
          <w:shd w:fill="F1F5F9"/>
        </w:rPr>
        <w:t>#0F172A</w:t>
      </w:r>
      <w:r>
        <w:rPr>
          <w:rFonts w:ascii="Calibri" w:hAnsi="Calibri"/>
          <w:color w:val="334155"/>
          <w:sz w:val="20"/>
        </w:rPr>
        <w:t>), Emerald Success (</w:t>
      </w:r>
      <w:r>
        <w:rPr>
          <w:rFonts w:ascii="Consolas" w:hAnsi="Consolas"/>
          <w:color w:val="E11D48"/>
          <w:sz w:val="19"/>
          <w:shd w:fill="F1F5F9"/>
        </w:rPr>
        <w:t>#16A34A</w:t>
      </w:r>
      <w:r>
        <w:rPr>
          <w:rFonts w:ascii="Calibri" w:hAnsi="Calibri"/>
          <w:color w:val="334155"/>
          <w:sz w:val="20"/>
        </w:rPr>
        <w:t>), and Amber Warning (</w:t>
      </w:r>
      <w:r>
        <w:rPr>
          <w:rFonts w:ascii="Consolas" w:hAnsi="Consolas"/>
          <w:color w:val="E11D48"/>
          <w:sz w:val="19"/>
          <w:shd w:fill="F1F5F9"/>
        </w:rPr>
        <w:t>#F59E0B</w:t>
      </w:r>
      <w:r>
        <w:rPr>
          <w:rFonts w:ascii="Calibri" w:hAnsi="Calibri"/>
          <w:color w:val="334155"/>
          <w:sz w:val="20"/>
        </w:rPr>
        <w:t>). Avoids generic raw primaries in favor of balanced HSL-derived functional tokens.</w:t>
      </w:r>
    </w:p>
    <w:p>
      <w:pPr>
        <w:spacing w:before="20" w:after="40" w:line="276" w:lineRule="auto"/>
        <w:ind w:left="288"/>
      </w:pPr>
      <w:r>
        <w:rPr>
          <w:color w:val="1A56DB"/>
          <w:sz w:val="18"/>
        </w:rPr>
        <w:t xml:space="preserve">▪  </w:t>
      </w:r>
      <w:r>
        <w:rPr>
          <w:rFonts w:ascii="Calibri" w:hAnsi="Calibri"/>
          <w:b/>
          <w:color w:val="334155"/>
          <w:sz w:val="20"/>
        </w:rPr>
        <w:t>Three-Tier Adaptive Breakpoint System:</w:t>
      </w:r>
    </w:p>
    <w:p>
      <w:pPr>
        <w:spacing w:before="20" w:after="40" w:line="276" w:lineRule="auto"/>
        <w:ind w:left="576"/>
      </w:pPr>
      <w:r>
        <w:rPr>
          <w:color w:val="1A56DB"/>
        </w:rPr>
        <w:t xml:space="preserve">◦  </w:t>
      </w:r>
      <w:r>
        <w:rPr>
          <w:rFonts w:ascii="Calibri" w:hAnsi="Calibri"/>
          <w:b/>
          <w:color w:val="334155"/>
          <w:sz w:val="20"/>
        </w:rPr>
        <w:t>Desktop (≥ 1200px):</w:t>
      </w:r>
      <w:r>
        <w:rPr>
          <w:rFonts w:ascii="Calibri" w:hAnsi="Calibri"/>
          <w:color w:val="334155"/>
          <w:sz w:val="20"/>
        </w:rPr>
        <w:t xml:space="preserve"> Permanent 260px administrative sidebar, dual-pane analytics grids, full-width multi-column data tables with pinned action rows.</w:t>
      </w:r>
    </w:p>
    <w:p>
      <w:pPr>
        <w:spacing w:before="20" w:after="40" w:line="276" w:lineRule="auto"/>
        <w:ind w:left="576"/>
      </w:pPr>
      <w:r>
        <w:rPr>
          <w:color w:val="1A56DB"/>
        </w:rPr>
        <w:t xml:space="preserve">◦  </w:t>
      </w:r>
      <w:r>
        <w:rPr>
          <w:rFonts w:ascii="Calibri" w:hAnsi="Calibri"/>
          <w:b/>
          <w:color w:val="334155"/>
          <w:sz w:val="20"/>
        </w:rPr>
        <w:t>Tablet (600px – 1199px):</w:t>
      </w:r>
      <w:r>
        <w:rPr>
          <w:rFonts w:ascii="Calibri" w:hAnsi="Calibri"/>
          <w:color w:val="334155"/>
          <w:sz w:val="20"/>
        </w:rPr>
        <w:t xml:space="preserve"> Collapsible 72px icon rail with auto-expansion on hover (220px), wrapping summary cards, and horizontally scrollable comparison matrixes.</w:t>
      </w:r>
    </w:p>
    <w:p>
      <w:pPr>
        <w:spacing w:before="20" w:after="40" w:line="276" w:lineRule="auto"/>
        <w:ind w:left="576"/>
      </w:pPr>
      <w:r>
        <w:rPr>
          <w:color w:val="1A56DB"/>
        </w:rPr>
        <w:t xml:space="preserve">◦  </w:t>
      </w:r>
      <w:r>
        <w:rPr>
          <w:rFonts w:ascii="Calibri" w:hAnsi="Calibri"/>
          <w:b/>
          <w:color w:val="334155"/>
          <w:sz w:val="20"/>
        </w:rPr>
        <w:t>Mobile (&lt; 600px):</w:t>
      </w:r>
      <w:r>
        <w:rPr>
          <w:rFonts w:ascii="Calibri" w:hAnsi="Calibri"/>
          <w:color w:val="334155"/>
          <w:sz w:val="20"/>
        </w:rPr>
        <w:t xml:space="preserve"> Elevation-zero AppBar, collapsible slide-over Drawer navigation, single-column responsive cards, and sticky action bottoms.</w:t>
      </w:r>
    </w:p>
    <w:p>
      <w:pPr>
        <w:spacing w:before="20" w:after="40" w:line="276" w:lineRule="auto"/>
        <w:ind w:left="288"/>
      </w:pPr>
      <w:r>
        <w:rPr>
          <w:color w:val="1A56DB"/>
          <w:sz w:val="18"/>
        </w:rPr>
        <w:t xml:space="preserve">▪  </w:t>
      </w:r>
      <w:r>
        <w:rPr>
          <w:rFonts w:ascii="Calibri" w:hAnsi="Calibri"/>
          <w:b/>
          <w:color w:val="334155"/>
          <w:sz w:val="20"/>
        </w:rPr>
        <w:t>Permission-Gated Navigation:</w:t>
      </w:r>
      <w:r>
        <w:rPr>
          <w:rFonts w:ascii="Calibri" w:hAnsi="Calibri"/>
          <w:color w:val="334155"/>
          <w:sz w:val="20"/>
        </w:rPr>
        <w:t xml:space="preserve"> Sidebar and drawer menus dynamically recalculate items based on the logged-in user's role—preventing cognitive clutter and accidental unauthorized clicks.</w:t>
      </w:r>
    </w:p>
    <w:p>
      <w:pPr>
        <w:spacing w:before="160" w:after="160"/>
        <w:pBdr>
          <w:bottom w:val="single" w:sz="6" w:space="1" w:color="E2E8F0"/>
        </w:pBdr>
      </w:pPr>
    </w:p>
    <w:p>
      <w:pPr>
        <w:keepNext/>
        <w:spacing w:before="280" w:after="80"/>
      </w:pPr>
      <w:r>
        <w:rPr>
          <w:rFonts w:ascii="Calibri" w:hAnsi="Calibri"/>
          <w:b/>
          <w:color w:val="0F172A"/>
          <w:sz w:val="30"/>
        </w:rPr>
        <w:t>4. Comprehensive Features &amp; Functionalities by Persona</w:t>
      </w:r>
    </w:p>
    <w:p>
      <w:pPr>
        <w:spacing w:before="40" w:after="80" w:line="276" w:lineRule="auto"/>
      </w:pPr>
      <w:r>
        <w:rPr>
          <w:rFonts w:ascii="Calibri" w:hAnsi="Calibri"/>
          <w:color w:val="334155"/>
          <w:sz w:val="21"/>
        </w:rPr>
        <w:t>UniProcure provides five specialized user roles, each equipped with an isolated operational cockpit and role-specific workflows:</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top w:val="single" w:sz="4" w:space="0" w:color="E2E8F0"/>
              <w:left w:val="single" w:sz="18" w:space="0" w:color="1A56DB"/>
              <w:bottom w:val="single" w:sz="4" w:space="0" w:color="E2E8F0"/>
              <w:right w:val="single" w:sz="4" w:space="0" w:color="E2E8F0"/>
            </w:tcBorders>
          </w:tcPr>
          <w:p>
            <w:pPr>
              <w:spacing w:before="40" w:after="40" w:line="276" w:lineRule="auto"/>
            </w:pPr>
            <w:r>
              <w:rPr>
                <w:rFonts w:ascii="Consolas" w:hAnsi="Consolas"/>
                <w:color w:val="1E293B"/>
                <w:sz w:val="17"/>
              </w:rPr>
              <w:t>+-----------------------------------------------------------------------------------+</w:t>
              <w:br/>
              <w:t>|                                 UniProcure Portal                                 |</w:t>
              <w:br/>
              <w:t>+-----------------------------------------------------------------------------------+</w:t>
              <w:br/>
              <w:t xml:space="preserve">       |                    |                     |                 |</w:t>
              <w:br/>
              <w:t xml:space="preserve">       v                    v                     v                 v</w:t>
              <w:br/>
              <w:t>[ Institutional ]    [ Requisition ]       [ Multi-Tiered ]    [ Registered ]    [ Finance &amp;  ]</w:t>
              <w:br/>
              <w:t>[ Administrator ]    [  Initiator  ]       [  Approvers   ]    [  Vendors   ]    [  Treasury  ]</w:t>
              <w:br/>
              <w:t xml:space="preserve">       |                    |                     |                 |                  |</w:t>
              <w:br/>
              <w:t>* Staff Directory    * Create Circular    * Dept Head        * Tender Browsing   * 3-Way Match</w:t>
              <w:br/>
              <w:t>* Vendor Approvals   * BOQ Specifications * Faculty Dean     * Online Quoting    * EFT Direct Payout</w:t>
              <w:br/>
              <w:t>* Policy Tiers       * Budget Cap Check   * Registrar / VC   * Bid Tracker       * Budget Ledgers</w:t>
              <w:br/>
              <w:t>* Spend Analytics    * Bid Monitoring     * History Tracker  * Work Order Invoicing</w:t>
            </w:r>
          </w:p>
        </w:tc>
      </w:tr>
    </w:tbl>
    <w:p>
      <w:pPr>
        <w:spacing w:before="0" w:after="80"/>
      </w:pPr>
    </w:p>
    <w:p>
      <w:pPr>
        <w:spacing w:before="160" w:after="160"/>
        <w:pBdr>
          <w:bottom w:val="single" w:sz="6" w:space="1" w:color="E2E8F0"/>
        </w:pBdr>
      </w:pPr>
    </w:p>
    <w:p>
      <w:pPr>
        <w:keepNext/>
        <w:spacing w:before="200" w:after="60"/>
      </w:pPr>
      <w:r>
        <w:rPr>
          <w:rFonts w:ascii="Calibri" w:hAnsi="Calibri"/>
          <w:b/>
          <w:color w:val="1A56DB"/>
          <w:sz w:val="25"/>
        </w:rPr>
        <w:t>4.1 Persona 1: Institutional Administrator (System Admin)</w:t>
      </w:r>
    </w:p>
    <w:p>
      <w:pPr>
        <w:spacing w:before="40" w:after="80" w:line="276" w:lineRule="auto"/>
      </w:pPr>
      <w:r>
        <w:rPr>
          <w:rFonts w:ascii="Calibri" w:hAnsi="Calibri"/>
          <w:color w:val="334155"/>
          <w:sz w:val="21"/>
        </w:rPr>
        <w:t>The System Admin controls enterprise governance, security policies, and institutional oversight:</w:t>
      </w:r>
    </w:p>
    <w:p>
      <w:pPr>
        <w:keepNext/>
        <w:spacing w:before="160" w:after="40"/>
      </w:pPr>
      <w:r>
        <w:rPr>
          <w:rFonts w:ascii="Calibri" w:hAnsi="Calibri"/>
          <w:b/>
          <w:color w:val="0F172A"/>
          <w:sz w:val="22"/>
        </w:rPr>
        <w:t>A. User Account &amp; Permission Management</w:t>
      </w:r>
    </w:p>
    <w:p>
      <w:pPr>
        <w:spacing w:before="20" w:after="40" w:line="276" w:lineRule="auto"/>
        <w:ind w:left="288"/>
      </w:pPr>
      <w:r>
        <w:rPr>
          <w:color w:val="1A56DB"/>
          <w:sz w:val="18"/>
        </w:rPr>
        <w:t xml:space="preserve">▪  </w:t>
      </w:r>
      <w:r>
        <w:rPr>
          <w:rFonts w:ascii="Calibri" w:hAnsi="Calibri"/>
          <w:b/>
          <w:color w:val="334155"/>
          <w:sz w:val="20"/>
        </w:rPr>
        <w:t>Staff Directory Grid:</w:t>
      </w:r>
      <w:r>
        <w:rPr>
          <w:rFonts w:ascii="Calibri" w:hAnsi="Calibri"/>
          <w:color w:val="334155"/>
          <w:sz w:val="20"/>
        </w:rPr>
        <w:t xml:space="preserve"> Searchable, filterable list of all university internal accounts (Initiators, Deans, Registrar, Finance Officers).</w:t>
      </w:r>
    </w:p>
    <w:p>
      <w:pPr>
        <w:spacing w:before="20" w:after="40" w:line="276" w:lineRule="auto"/>
        <w:ind w:left="288"/>
      </w:pPr>
      <w:r>
        <w:rPr>
          <w:color w:val="1A56DB"/>
          <w:sz w:val="18"/>
        </w:rPr>
        <w:t xml:space="preserve">▪  </w:t>
      </w:r>
      <w:r>
        <w:rPr>
          <w:rFonts w:ascii="Calibri" w:hAnsi="Calibri"/>
          <w:b/>
          <w:color w:val="334155"/>
          <w:sz w:val="20"/>
        </w:rPr>
        <w:t>Instant Account State Toggle:</w:t>
      </w:r>
      <w:r>
        <w:rPr>
          <w:rFonts w:ascii="Calibri" w:hAnsi="Calibri"/>
          <w:color w:val="334155"/>
          <w:sz w:val="20"/>
        </w:rPr>
        <w:t xml:space="preserve"> Single-click activation and deactivation of staff access with immediate session termination.</w:t>
      </w:r>
    </w:p>
    <w:p>
      <w:pPr>
        <w:spacing w:before="20" w:after="40" w:line="276" w:lineRule="auto"/>
        <w:ind w:left="288"/>
      </w:pPr>
      <w:r>
        <w:rPr>
          <w:color w:val="1A56DB"/>
          <w:sz w:val="18"/>
        </w:rPr>
        <w:t xml:space="preserve">▪  </w:t>
      </w:r>
      <w:r>
        <w:rPr>
          <w:rFonts w:ascii="Calibri" w:hAnsi="Calibri"/>
          <w:b/>
          <w:color w:val="334155"/>
          <w:sz w:val="20"/>
        </w:rPr>
        <w:t>Role Reassignment:</w:t>
      </w:r>
      <w:r>
        <w:rPr>
          <w:rFonts w:ascii="Calibri" w:hAnsi="Calibri"/>
          <w:color w:val="334155"/>
          <w:sz w:val="20"/>
        </w:rPr>
        <w:t xml:space="preserve"> Dynamic elevation of permissions across academic departments.</w:t>
      </w:r>
    </w:p>
    <w:p>
      <w:pPr>
        <w:keepNext/>
        <w:spacing w:before="160" w:after="40"/>
      </w:pPr>
      <w:r>
        <w:rPr>
          <w:rFonts w:ascii="Calibri" w:hAnsi="Calibri"/>
          <w:b/>
          <w:color w:val="0F172A"/>
          <w:sz w:val="22"/>
        </w:rPr>
        <w:t>B. Statutory Vendor Verification Queue</w:t>
      </w:r>
    </w:p>
    <w:p>
      <w:pPr>
        <w:spacing w:before="20" w:after="40" w:line="276" w:lineRule="auto"/>
        <w:ind w:left="288"/>
      </w:pPr>
      <w:r>
        <w:rPr>
          <w:color w:val="1A56DB"/>
          <w:sz w:val="18"/>
        </w:rPr>
        <w:t xml:space="preserve">▪  </w:t>
      </w:r>
      <w:r>
        <w:rPr>
          <w:rFonts w:ascii="Calibri" w:hAnsi="Calibri"/>
          <w:b/>
          <w:color w:val="334155"/>
          <w:sz w:val="20"/>
        </w:rPr>
        <w:t>Verification Workflow:</w:t>
      </w:r>
      <w:r>
        <w:rPr>
          <w:rFonts w:ascii="Calibri" w:hAnsi="Calibri"/>
          <w:color w:val="334155"/>
          <w:sz w:val="20"/>
        </w:rPr>
        <w:t xml:space="preserve"> Dedicated queue displaying newly registered commercial entities awaiting onboarding review.</w:t>
      </w:r>
    </w:p>
    <w:p>
      <w:pPr>
        <w:spacing w:before="20" w:after="40" w:line="276" w:lineRule="auto"/>
        <w:ind w:left="288"/>
      </w:pPr>
      <w:r>
        <w:rPr>
          <w:color w:val="1A56DB"/>
          <w:sz w:val="18"/>
        </w:rPr>
        <w:t xml:space="preserve">▪  </w:t>
      </w:r>
      <w:r>
        <w:rPr>
          <w:rFonts w:ascii="Calibri" w:hAnsi="Calibri"/>
          <w:b/>
          <w:color w:val="334155"/>
          <w:sz w:val="20"/>
        </w:rPr>
        <w:t>Statutory Compliance Checks:</w:t>
      </w:r>
      <w:r>
        <w:rPr>
          <w:rFonts w:ascii="Calibri" w:hAnsi="Calibri"/>
          <w:color w:val="334155"/>
          <w:sz w:val="20"/>
        </w:rPr>
        <w:t xml:space="preserve"> Comprehensive modal displaying the vendor's Tax Identification Number (TIN), Trade License Number, VAT Registration Certificate, Bank Solvency Certificate, and contact credentials.</w:t>
      </w:r>
    </w:p>
    <w:p>
      <w:pPr>
        <w:spacing w:before="20" w:after="40" w:line="276" w:lineRule="auto"/>
        <w:ind w:left="288"/>
      </w:pPr>
      <w:r>
        <w:rPr>
          <w:color w:val="1A56DB"/>
          <w:sz w:val="18"/>
        </w:rPr>
        <w:t xml:space="preserve">▪  </w:t>
      </w:r>
      <w:r>
        <w:rPr>
          <w:rFonts w:ascii="Calibri" w:hAnsi="Calibri"/>
          <w:b/>
          <w:color w:val="334155"/>
          <w:sz w:val="20"/>
        </w:rPr>
        <w:t>Formal Decisioning:</w:t>
      </w:r>
      <w:r>
        <w:rPr>
          <w:rFonts w:ascii="Calibri" w:hAnsi="Calibri"/>
          <w:color w:val="334155"/>
          <w:sz w:val="20"/>
        </w:rPr>
        <w:t xml:space="preserve"> Capabilities to Approve (promotes vendor to </w:t>
      </w:r>
      <w:r>
        <w:rPr>
          <w:rFonts w:ascii="Consolas" w:hAnsi="Consolas"/>
          <w:color w:val="E11D48"/>
          <w:sz w:val="19"/>
          <w:shd w:fill="F1F5F9"/>
        </w:rPr>
        <w:t>ACTIVE</w:t>
      </w:r>
      <w:r>
        <w:rPr>
          <w:rFonts w:ascii="Calibri" w:hAnsi="Calibri"/>
          <w:color w:val="334155"/>
          <w:sz w:val="20"/>
        </w:rPr>
        <w:t xml:space="preserve"> state with verification timestamp and officer signature) or Reject (with mandatory reason log).</w:t>
      </w:r>
    </w:p>
    <w:p>
      <w:pPr>
        <w:keepNext/>
        <w:spacing w:before="160" w:after="40"/>
      </w:pPr>
      <w:r>
        <w:rPr>
          <w:rFonts w:ascii="Calibri" w:hAnsi="Calibri"/>
          <w:b/>
          <w:color w:val="0F172A"/>
          <w:sz w:val="22"/>
        </w:rPr>
        <w:t>C. Dynamic Workflow Hierarchy &amp; Governance Engine</w:t>
      </w:r>
    </w:p>
    <w:p>
      <w:pPr>
        <w:spacing w:before="20" w:after="40" w:line="276" w:lineRule="auto"/>
        <w:ind w:left="288"/>
      </w:pPr>
      <w:r>
        <w:rPr>
          <w:color w:val="1A56DB"/>
          <w:sz w:val="18"/>
        </w:rPr>
        <w:t xml:space="preserve">▪  </w:t>
      </w:r>
      <w:r>
        <w:rPr>
          <w:rFonts w:ascii="Calibri" w:hAnsi="Calibri"/>
          <w:b/>
          <w:color w:val="334155"/>
          <w:sz w:val="20"/>
        </w:rPr>
        <w:t>Hierarchical Financial Sanction Thresholds:</w:t>
      </w:r>
      <w:r>
        <w:rPr>
          <w:rFonts w:ascii="Calibri" w:hAnsi="Calibri"/>
          <w:color w:val="334155"/>
          <w:sz w:val="20"/>
        </w:rPr>
        <w:t xml:space="preserve"> Interactive configuration of procurement tiers:</w:t>
      </w:r>
    </w:p>
    <w:p>
      <w:pPr>
        <w:spacing w:before="20" w:after="40" w:line="276" w:lineRule="auto"/>
        <w:ind w:left="576"/>
      </w:pPr>
      <w:r>
        <w:rPr>
          <w:color w:val="1A56DB"/>
        </w:rPr>
        <w:t xml:space="preserve">◦  </w:t>
      </w:r>
      <w:r>
        <w:rPr>
          <w:rFonts w:ascii="Calibri" w:hAnsi="Calibri"/>
          <w:i/>
          <w:color w:val="334155"/>
          <w:sz w:val="20"/>
        </w:rPr>
        <w:t>Tier 1 (Department Head):</w:t>
      </w:r>
      <w:r>
        <w:rPr>
          <w:rFonts w:ascii="Calibri" w:hAnsi="Calibri"/>
          <w:color w:val="334155"/>
          <w:sz w:val="20"/>
        </w:rPr>
        <w:t xml:space="preserve"> Up to \$25,000 (Routine departmental consumables &amp; minor lab supplies).</w:t>
      </w:r>
    </w:p>
    <w:p>
      <w:pPr>
        <w:spacing w:before="20" w:after="40" w:line="276" w:lineRule="auto"/>
        <w:ind w:left="576"/>
      </w:pPr>
      <w:r>
        <w:rPr>
          <w:color w:val="1A56DB"/>
        </w:rPr>
        <w:t xml:space="preserve">◦  </w:t>
      </w:r>
      <w:r>
        <w:rPr>
          <w:rFonts w:ascii="Calibri" w:hAnsi="Calibri"/>
          <w:i/>
          <w:color w:val="334155"/>
          <w:sz w:val="20"/>
        </w:rPr>
        <w:t>Tier 2 (Faculty Dean):</w:t>
      </w:r>
      <w:r>
        <w:rPr>
          <w:rFonts w:ascii="Calibri" w:hAnsi="Calibri"/>
          <w:color w:val="334155"/>
          <w:sz w:val="20"/>
        </w:rPr>
        <w:t xml:space="preserve"> \$25,001 to \$100,000 (Major IT infrastructure &amp; lab equipment).</w:t>
      </w:r>
    </w:p>
    <w:p>
      <w:pPr>
        <w:spacing w:before="20" w:after="40" w:line="276" w:lineRule="auto"/>
        <w:ind w:left="576"/>
      </w:pPr>
      <w:r>
        <w:rPr>
          <w:color w:val="1A56DB"/>
        </w:rPr>
        <w:t xml:space="preserve">◦  </w:t>
      </w:r>
      <w:r>
        <w:rPr>
          <w:rFonts w:ascii="Calibri" w:hAnsi="Calibri"/>
          <w:i/>
          <w:color w:val="334155"/>
          <w:sz w:val="20"/>
        </w:rPr>
        <w:t>Tier 3 (Registrar / Vice Chancellor):</w:t>
      </w:r>
      <w:r>
        <w:rPr>
          <w:rFonts w:ascii="Calibri" w:hAnsi="Calibri"/>
          <w:color w:val="334155"/>
          <w:sz w:val="20"/>
        </w:rPr>
        <w:t xml:space="preserve"> Above \$100,000 (Institutional capital expenditures &amp; campus-wide contracts).</w:t>
      </w:r>
    </w:p>
    <w:p>
      <w:pPr>
        <w:spacing w:before="20" w:after="40" w:line="276" w:lineRule="auto"/>
        <w:ind w:left="288"/>
      </w:pPr>
      <w:r>
        <w:rPr>
          <w:color w:val="1A56DB"/>
          <w:sz w:val="18"/>
        </w:rPr>
        <w:t xml:space="preserve">▪  </w:t>
      </w:r>
      <w:r>
        <w:rPr>
          <w:rFonts w:ascii="Calibri" w:hAnsi="Calibri"/>
          <w:b/>
          <w:color w:val="334155"/>
          <w:sz w:val="20"/>
        </w:rPr>
        <w:t>Auto-Escalation Timing Rules:</w:t>
      </w:r>
      <w:r>
        <w:rPr>
          <w:rFonts w:ascii="Calibri" w:hAnsi="Calibri"/>
          <w:color w:val="334155"/>
          <w:sz w:val="20"/>
        </w:rPr>
        <w:t xml:space="preserve"> Configurable inactivity threshold (default: 5 business days) that automatically flags overdue requests.</w:t>
      </w:r>
    </w:p>
    <w:p>
      <w:pPr>
        <w:spacing w:before="20" w:after="40" w:line="276" w:lineRule="auto"/>
        <w:ind w:left="288"/>
      </w:pPr>
      <w:r>
        <w:rPr>
          <w:color w:val="1A56DB"/>
          <w:sz w:val="18"/>
        </w:rPr>
        <w:t xml:space="preserve">▪  </w:t>
      </w:r>
      <w:r>
        <w:rPr>
          <w:rFonts w:ascii="Calibri" w:hAnsi="Calibri"/>
          <w:b/>
          <w:color w:val="334155"/>
          <w:sz w:val="20"/>
        </w:rPr>
        <w:t>Statutory Governance Toggles:</w:t>
      </w:r>
    </w:p>
    <w:p>
      <w:pPr>
        <w:spacing w:before="20" w:after="40" w:line="276" w:lineRule="auto"/>
        <w:ind w:left="576"/>
      </w:pPr>
      <w:r>
        <w:rPr>
          <w:color w:val="1A56DB"/>
        </w:rPr>
        <w:t xml:space="preserve">◦  </w:t>
      </w:r>
      <w:r>
        <w:rPr>
          <w:rFonts w:ascii="Calibri" w:hAnsi="Calibri"/>
          <w:i/>
          <w:color w:val="334155"/>
          <w:sz w:val="20"/>
        </w:rPr>
        <w:t>Enforce 3 Minimum Responsive Quotations:</w:t>
      </w:r>
      <w:r>
        <w:rPr>
          <w:rFonts w:ascii="Calibri" w:hAnsi="Calibri"/>
          <w:color w:val="334155"/>
          <w:sz w:val="20"/>
        </w:rPr>
        <w:t xml:space="preserve"> Disallows comparison matrix generation until at least 3 qualifying vendors bid.</w:t>
      </w:r>
    </w:p>
    <w:p>
      <w:pPr>
        <w:spacing w:before="20" w:after="40" w:line="276" w:lineRule="auto"/>
        <w:ind w:left="576"/>
      </w:pPr>
      <w:r>
        <w:rPr>
          <w:color w:val="1A56DB"/>
        </w:rPr>
        <w:t xml:space="preserve">◦  </w:t>
      </w:r>
      <w:r>
        <w:rPr>
          <w:rFonts w:ascii="Calibri" w:hAnsi="Calibri"/>
          <w:i/>
          <w:color w:val="334155"/>
          <w:sz w:val="20"/>
        </w:rPr>
        <w:t>Strict Departmental Budget Ceiling Enforcement:</w:t>
      </w:r>
      <w:r>
        <w:rPr>
          <w:rFonts w:ascii="Calibri" w:hAnsi="Calibri"/>
          <w:color w:val="334155"/>
          <w:sz w:val="20"/>
        </w:rPr>
        <w:t xml:space="preserve"> Blocks circular authoring if department allocation is exhausted.</w:t>
      </w:r>
    </w:p>
    <w:p>
      <w:pPr>
        <w:spacing w:before="20" w:after="40" w:line="276" w:lineRule="auto"/>
        <w:ind w:left="576"/>
      </w:pPr>
      <w:r>
        <w:rPr>
          <w:color w:val="1A56DB"/>
        </w:rPr>
        <w:t xml:space="preserve">◦  </w:t>
      </w:r>
      <w:r>
        <w:rPr>
          <w:rFonts w:ascii="Calibri" w:hAnsi="Calibri"/>
          <w:i/>
          <w:color w:val="334155"/>
          <w:sz w:val="20"/>
        </w:rPr>
        <w:t>Public Display Window Duration:</w:t>
      </w:r>
      <w:r>
        <w:rPr>
          <w:rFonts w:ascii="Calibri" w:hAnsi="Calibri"/>
          <w:color w:val="334155"/>
          <w:sz w:val="20"/>
        </w:rPr>
        <w:t xml:space="preserve"> Configurable mandatory bidding period (7 to 30 days).</w:t>
      </w:r>
    </w:p>
    <w:p>
      <w:pPr>
        <w:keepNext/>
        <w:spacing w:before="160" w:after="40"/>
      </w:pPr>
      <w:r>
        <w:rPr>
          <w:rFonts w:ascii="Calibri" w:hAnsi="Calibri"/>
          <w:b/>
          <w:color w:val="0F172A"/>
          <w:sz w:val="22"/>
        </w:rPr>
        <w:t>D. Executive Analytics &amp; Reporting Cockpit</w:t>
      </w:r>
    </w:p>
    <w:p>
      <w:pPr>
        <w:spacing w:before="20" w:after="40" w:line="276" w:lineRule="auto"/>
        <w:ind w:left="288"/>
      </w:pPr>
      <w:r>
        <w:rPr>
          <w:color w:val="1A56DB"/>
          <w:sz w:val="18"/>
        </w:rPr>
        <w:t xml:space="preserve">▪  </w:t>
      </w:r>
      <w:r>
        <w:rPr>
          <w:rFonts w:ascii="Calibri" w:hAnsi="Calibri"/>
          <w:b/>
          <w:color w:val="334155"/>
          <w:sz w:val="20"/>
        </w:rPr>
        <w:t>8-Point Institutional KPI Suite:</w:t>
      </w:r>
      <w:r>
        <w:rPr>
          <w:rFonts w:ascii="Calibri" w:hAnsi="Calibri"/>
          <w:color w:val="334155"/>
          <w:sz w:val="20"/>
        </w:rPr>
        <w:t xml:space="preserve"> Real-time visibility into Total Spend, Annual Fiscal Budget, Active Tenders, Registered Vendors, Pending Approvals, Verification Queue, Approval Turnaround, and On-Time Delivery Compliance.</w:t>
      </w:r>
    </w:p>
    <w:p>
      <w:pPr>
        <w:spacing w:before="20" w:after="40" w:line="276" w:lineRule="auto"/>
        <w:ind w:left="288"/>
      </w:pPr>
      <w:r>
        <w:rPr>
          <w:color w:val="1A56DB"/>
          <w:sz w:val="18"/>
        </w:rPr>
        <w:t xml:space="preserve">▪  </w:t>
      </w:r>
      <w:r>
        <w:rPr>
          <w:rFonts w:ascii="Calibri" w:hAnsi="Calibri"/>
          <w:b/>
          <w:color w:val="334155"/>
          <w:sz w:val="20"/>
        </w:rPr>
        <w:t>Spend by Category Distribution:</w:t>
      </w:r>
      <w:r>
        <w:rPr>
          <w:rFonts w:ascii="Calibri" w:hAnsi="Calibri"/>
          <w:color w:val="334155"/>
          <w:sz w:val="20"/>
        </w:rPr>
        <w:t xml:space="preserve"> Visual breakdown across Scientific &amp; Lab Equipment, IT &amp; Campus Networking, Heavy Workshop Machinery, Smart Classroom AV, and Office Automation.</w:t>
      </w:r>
    </w:p>
    <w:p>
      <w:pPr>
        <w:spacing w:before="20" w:after="40" w:line="276" w:lineRule="auto"/>
        <w:ind w:left="288"/>
      </w:pPr>
      <w:r>
        <w:rPr>
          <w:color w:val="1A56DB"/>
          <w:sz w:val="18"/>
        </w:rPr>
        <w:t xml:space="preserve">▪  </w:t>
      </w:r>
      <w:r>
        <w:rPr>
          <w:rFonts w:ascii="Calibri" w:hAnsi="Calibri"/>
          <w:b/>
          <w:color w:val="334155"/>
          <w:sz w:val="20"/>
        </w:rPr>
        <w:t>Monthly Spend &amp; Tender Trends:</w:t>
      </w:r>
      <w:r>
        <w:rPr>
          <w:rFonts w:ascii="Calibri" w:hAnsi="Calibri"/>
          <w:color w:val="334155"/>
          <w:sz w:val="20"/>
        </w:rPr>
        <w:t xml:space="preserve"> 6-month historical expenditure velocity curves.</w:t>
      </w:r>
    </w:p>
    <w:p>
      <w:pPr>
        <w:spacing w:before="20" w:after="40" w:line="276" w:lineRule="auto"/>
        <w:ind w:left="288"/>
      </w:pPr>
      <w:r>
        <w:rPr>
          <w:color w:val="1A56DB"/>
          <w:sz w:val="18"/>
        </w:rPr>
        <w:t xml:space="preserve">▪  </w:t>
      </w:r>
      <w:r>
        <w:rPr>
          <w:rFonts w:ascii="Calibri" w:hAnsi="Calibri"/>
          <w:b/>
          <w:color w:val="334155"/>
          <w:sz w:val="20"/>
        </w:rPr>
        <w:t>Vendor Performance Leaderboard:</w:t>
      </w:r>
      <w:r>
        <w:rPr>
          <w:rFonts w:ascii="Calibri" w:hAnsi="Calibri"/>
          <w:color w:val="334155"/>
          <w:sz w:val="20"/>
        </w:rPr>
        <w:t xml:space="preserve"> Ranked index of top university suppliers based on contract volume, milestone SLA compliance, and lab evaluation ratings.</w:t>
      </w:r>
    </w:p>
    <w:p>
      <w:pPr>
        <w:spacing w:before="160" w:after="160"/>
        <w:pBdr>
          <w:bottom w:val="single" w:sz="6" w:space="1" w:color="E2E8F0"/>
        </w:pBdr>
      </w:pPr>
    </w:p>
    <w:p>
      <w:pPr>
        <w:keepNext/>
        <w:spacing w:before="200" w:after="60"/>
      </w:pPr>
      <w:r>
        <w:rPr>
          <w:rFonts w:ascii="Calibri" w:hAnsi="Calibri"/>
          <w:b/>
          <w:color w:val="1A56DB"/>
          <w:sz w:val="25"/>
        </w:rPr>
        <w:t>4.2 Persona 2: Requisition Initiator (Department Heads / Lab Directors)</w:t>
      </w:r>
    </w:p>
    <w:p>
      <w:pPr>
        <w:spacing w:before="40" w:after="80" w:line="276" w:lineRule="auto"/>
      </w:pPr>
      <w:r>
        <w:rPr>
          <w:rFonts w:ascii="Calibri" w:hAnsi="Calibri"/>
          <w:color w:val="334155"/>
          <w:sz w:val="21"/>
        </w:rPr>
        <w:t>The Initiator authors procurement requests and monitors fulfillment:</w:t>
      </w:r>
    </w:p>
    <w:p>
      <w:pPr>
        <w:keepNext/>
        <w:spacing w:before="160" w:after="40"/>
      </w:pPr>
      <w:r>
        <w:rPr>
          <w:rFonts w:ascii="Calibri" w:hAnsi="Calibri"/>
          <w:b/>
          <w:color w:val="0F172A"/>
          <w:sz w:val="22"/>
        </w:rPr>
        <w:t>A. Requisition &amp; Circular Authoring Engine</w:t>
      </w:r>
    </w:p>
    <w:p>
      <w:pPr>
        <w:spacing w:before="20" w:after="40" w:line="276" w:lineRule="auto"/>
        <w:ind w:left="288"/>
      </w:pPr>
      <w:r>
        <w:rPr>
          <w:color w:val="1A56DB"/>
          <w:sz w:val="18"/>
        </w:rPr>
        <w:t xml:space="preserve">▪  </w:t>
      </w:r>
      <w:r>
        <w:rPr>
          <w:rFonts w:ascii="Calibri" w:hAnsi="Calibri"/>
          <w:b/>
          <w:color w:val="334155"/>
          <w:sz w:val="20"/>
        </w:rPr>
        <w:t>Structured Data Entry:</w:t>
      </w:r>
      <w:r>
        <w:rPr>
          <w:rFonts w:ascii="Calibri" w:hAnsi="Calibri"/>
          <w:color w:val="334155"/>
          <w:sz w:val="20"/>
        </w:rPr>
        <w:t xml:space="preserve"> Requisition title, originating department, category, estimated budget ceiling, and submission closing dates.</w:t>
      </w:r>
    </w:p>
    <w:p>
      <w:pPr>
        <w:spacing w:before="20" w:after="40" w:line="276" w:lineRule="auto"/>
        <w:ind w:left="288"/>
      </w:pPr>
      <w:r>
        <w:rPr>
          <w:color w:val="1A56DB"/>
          <w:sz w:val="18"/>
        </w:rPr>
        <w:t xml:space="preserve">▪  </w:t>
      </w:r>
      <w:r>
        <w:rPr>
          <w:rFonts w:ascii="Calibri" w:hAnsi="Calibri"/>
          <w:b/>
          <w:color w:val="334155"/>
          <w:sz w:val="20"/>
        </w:rPr>
        <w:t>Itemized Bill of Quantities (BOQ):</w:t>
      </w:r>
      <w:r>
        <w:rPr>
          <w:rFonts w:ascii="Calibri" w:hAnsi="Calibri"/>
          <w:color w:val="334155"/>
          <w:sz w:val="20"/>
        </w:rPr>
        <w:t xml:space="preserve"> Detailed item specification, technical parameters, unit requirements, and estimated unit costs.</w:t>
      </w:r>
    </w:p>
    <w:p>
      <w:pPr>
        <w:spacing w:before="20" w:after="40" w:line="276" w:lineRule="auto"/>
        <w:ind w:left="288"/>
      </w:pPr>
      <w:r>
        <w:rPr>
          <w:color w:val="1A56DB"/>
          <w:sz w:val="18"/>
        </w:rPr>
        <w:t xml:space="preserve">▪  </w:t>
      </w:r>
      <w:r>
        <w:rPr>
          <w:rFonts w:ascii="Calibri" w:hAnsi="Calibri"/>
          <w:b/>
          <w:color w:val="334155"/>
          <w:sz w:val="20"/>
        </w:rPr>
        <w:t>Document Attachment Support:</w:t>
      </w:r>
      <w:r>
        <w:rPr>
          <w:rFonts w:ascii="Calibri" w:hAnsi="Calibri"/>
          <w:color w:val="334155"/>
          <w:sz w:val="20"/>
        </w:rPr>
        <w:t xml:space="preserve"> Uploading technical drawings, terms of reference (TOR), and tender terms.</w:t>
      </w:r>
    </w:p>
    <w:p>
      <w:pPr>
        <w:keepNext/>
        <w:spacing w:before="160" w:after="40"/>
      </w:pPr>
      <w:r>
        <w:rPr>
          <w:rFonts w:ascii="Calibri" w:hAnsi="Calibri"/>
          <w:b/>
          <w:color w:val="0F172A"/>
          <w:sz w:val="22"/>
        </w:rPr>
        <w:t>B. Tender Lifecycle Tracking</w:t>
      </w:r>
    </w:p>
    <w:p>
      <w:pPr>
        <w:spacing w:before="20" w:after="40" w:line="276" w:lineRule="auto"/>
        <w:ind w:left="288"/>
      </w:pPr>
      <w:r>
        <w:rPr>
          <w:color w:val="1A56DB"/>
          <w:sz w:val="18"/>
        </w:rPr>
        <w:t xml:space="preserve">▪  </w:t>
      </w:r>
      <w:r>
        <w:rPr>
          <w:rFonts w:ascii="Calibri" w:hAnsi="Calibri"/>
          <w:b/>
          <w:color w:val="334155"/>
          <w:sz w:val="20"/>
        </w:rPr>
        <w:t>Real-Time Status Indicators:</w:t>
      </w:r>
      <w:r>
        <w:rPr>
          <w:rFonts w:ascii="Calibri" w:hAnsi="Calibri"/>
          <w:color w:val="334155"/>
          <w:sz w:val="20"/>
        </w:rPr>
        <w:t xml:space="preserve"> Visual chip states (</w:t>
      </w:r>
      <w:r>
        <w:rPr>
          <w:rFonts w:ascii="Consolas" w:hAnsi="Consolas"/>
          <w:color w:val="E11D48"/>
          <w:sz w:val="19"/>
          <w:shd w:fill="F1F5F9"/>
        </w:rPr>
        <w:t>Draft</w:t>
      </w:r>
      <w:r>
        <w:rPr>
          <w:rFonts w:ascii="Calibri" w:hAnsi="Calibri"/>
          <w:color w:val="334155"/>
          <w:sz w:val="20"/>
        </w:rPr>
        <w:t xml:space="preserve">, </w:t>
      </w:r>
      <w:r>
        <w:rPr>
          <w:rFonts w:ascii="Consolas" w:hAnsi="Consolas"/>
          <w:color w:val="E11D48"/>
          <w:sz w:val="19"/>
          <w:shd w:fill="F1F5F9"/>
        </w:rPr>
        <w:t>Published</w:t>
      </w:r>
      <w:r>
        <w:rPr>
          <w:rFonts w:ascii="Calibri" w:hAnsi="Calibri"/>
          <w:color w:val="334155"/>
          <w:sz w:val="20"/>
        </w:rPr>
        <w:t xml:space="preserve">, </w:t>
      </w:r>
      <w:r>
        <w:rPr>
          <w:rFonts w:ascii="Consolas" w:hAnsi="Consolas"/>
          <w:color w:val="E11D48"/>
          <w:sz w:val="19"/>
          <w:shd w:fill="F1F5F9"/>
        </w:rPr>
        <w:t>Evaluation</w:t>
      </w:r>
      <w:r>
        <w:rPr>
          <w:rFonts w:ascii="Calibri" w:hAnsi="Calibri"/>
          <w:color w:val="334155"/>
          <w:sz w:val="20"/>
        </w:rPr>
        <w:t xml:space="preserve">, </w:t>
      </w:r>
      <w:r>
        <w:rPr>
          <w:rFonts w:ascii="Consolas" w:hAnsi="Consolas"/>
          <w:color w:val="E11D48"/>
          <w:sz w:val="19"/>
          <w:shd w:fill="F1F5F9"/>
        </w:rPr>
        <w:t>Pending Approver</w:t>
      </w:r>
      <w:r>
        <w:rPr>
          <w:rFonts w:ascii="Calibri" w:hAnsi="Calibri"/>
          <w:color w:val="334155"/>
          <w:sz w:val="20"/>
        </w:rPr>
        <w:t xml:space="preserve">, </w:t>
      </w:r>
      <w:r>
        <w:rPr>
          <w:rFonts w:ascii="Consolas" w:hAnsi="Consolas"/>
          <w:color w:val="E11D48"/>
          <w:sz w:val="19"/>
          <w:shd w:fill="F1F5F9"/>
        </w:rPr>
        <w:t>Approved</w:t>
      </w:r>
      <w:r>
        <w:rPr>
          <w:rFonts w:ascii="Calibri" w:hAnsi="Calibri"/>
          <w:color w:val="334155"/>
          <w:sz w:val="20"/>
        </w:rPr>
        <w:t xml:space="preserve">, </w:t>
      </w:r>
      <w:r>
        <w:rPr>
          <w:rFonts w:ascii="Consolas" w:hAnsi="Consolas"/>
          <w:color w:val="E11D48"/>
          <w:sz w:val="19"/>
          <w:shd w:fill="F1F5F9"/>
        </w:rPr>
        <w:t>Awarded</w:t>
      </w:r>
      <w:r>
        <w:rPr>
          <w:rFonts w:ascii="Calibri" w:hAnsi="Calibri"/>
          <w:color w:val="334155"/>
          <w:sz w:val="20"/>
        </w:rPr>
        <w:t>).</w:t>
      </w:r>
    </w:p>
    <w:p>
      <w:pPr>
        <w:spacing w:before="20" w:after="40" w:line="276" w:lineRule="auto"/>
        <w:ind w:left="288"/>
      </w:pPr>
      <w:r>
        <w:rPr>
          <w:color w:val="1A56DB"/>
          <w:sz w:val="18"/>
        </w:rPr>
        <w:t xml:space="preserve">▪  </w:t>
      </w:r>
      <w:r>
        <w:rPr>
          <w:rFonts w:ascii="Calibri" w:hAnsi="Calibri"/>
          <w:b/>
          <w:color w:val="334155"/>
          <w:sz w:val="20"/>
        </w:rPr>
        <w:t>Bid Participation Radar:</w:t>
      </w:r>
      <w:r>
        <w:rPr>
          <w:rFonts w:ascii="Calibri" w:hAnsi="Calibri"/>
          <w:color w:val="334155"/>
          <w:sz w:val="20"/>
        </w:rPr>
        <w:t xml:space="preserve"> Live counter showing the number of participating vendor bids submitted against the circular.</w:t>
      </w:r>
    </w:p>
    <w:p>
      <w:pPr>
        <w:keepNext/>
        <w:spacing w:before="160" w:after="40"/>
      </w:pPr>
      <w:r>
        <w:rPr>
          <w:rFonts w:ascii="Calibri" w:hAnsi="Calibri"/>
          <w:b/>
          <w:color w:val="0F172A"/>
          <w:sz w:val="22"/>
        </w:rPr>
        <w:t>C. Completed Project Archives</w:t>
      </w:r>
    </w:p>
    <w:p>
      <w:pPr>
        <w:spacing w:before="20" w:after="40" w:line="276" w:lineRule="auto"/>
        <w:ind w:left="288"/>
      </w:pPr>
      <w:r>
        <w:rPr>
          <w:color w:val="1A56DB"/>
          <w:sz w:val="18"/>
        </w:rPr>
        <w:t xml:space="preserve">▪  </w:t>
      </w:r>
      <w:r>
        <w:rPr>
          <w:rFonts w:ascii="Calibri" w:hAnsi="Calibri"/>
          <w:b/>
          <w:color w:val="334155"/>
          <w:sz w:val="20"/>
        </w:rPr>
        <w:t>Historical Audit Repository:</w:t>
      </w:r>
      <w:r>
        <w:rPr>
          <w:rFonts w:ascii="Calibri" w:hAnsi="Calibri"/>
          <w:color w:val="334155"/>
          <w:sz w:val="20"/>
        </w:rPr>
        <w:t xml:space="preserve"> Comprehensive log of archived tenders, awarded contracts, delivery sign-offs, and final payouts.</w:t>
      </w:r>
    </w:p>
    <w:p>
      <w:pPr>
        <w:spacing w:before="160" w:after="160"/>
        <w:pBdr>
          <w:bottom w:val="single" w:sz="6" w:space="1" w:color="E2E8F0"/>
        </w:pBdr>
      </w:pPr>
    </w:p>
    <w:p>
      <w:pPr>
        <w:keepNext/>
        <w:spacing w:before="200" w:after="60"/>
      </w:pPr>
      <w:r>
        <w:rPr>
          <w:rFonts w:ascii="Calibri" w:hAnsi="Calibri"/>
          <w:b/>
          <w:color w:val="1A56DB"/>
          <w:sz w:val="25"/>
        </w:rPr>
        <w:t>4.3 Persona 3: Multi-Tiered Approvers (Dept Head, Dean, Registrar)</w:t>
      </w:r>
    </w:p>
    <w:p>
      <w:pPr>
        <w:spacing w:before="40" w:after="80" w:line="276" w:lineRule="auto"/>
      </w:pPr>
      <w:r>
        <w:rPr>
          <w:rFonts w:ascii="Calibri" w:hAnsi="Calibri"/>
          <w:color w:val="334155"/>
          <w:sz w:val="21"/>
        </w:rPr>
        <w:t>Hierarchical academic leaders responsible for vetting expenditure:</w:t>
      </w:r>
    </w:p>
    <w:p>
      <w:pPr>
        <w:keepNext/>
        <w:spacing w:before="160" w:after="40"/>
      </w:pPr>
      <w:r>
        <w:rPr>
          <w:rFonts w:ascii="Calibri" w:hAnsi="Calibri"/>
          <w:b/>
          <w:color w:val="0F172A"/>
          <w:sz w:val="22"/>
        </w:rPr>
        <w:t>A. Centralized Pending Approvals Queue</w:t>
      </w:r>
    </w:p>
    <w:p>
      <w:pPr>
        <w:spacing w:before="20" w:after="40" w:line="276" w:lineRule="auto"/>
        <w:ind w:left="288"/>
      </w:pPr>
      <w:r>
        <w:rPr>
          <w:color w:val="1A56DB"/>
          <w:sz w:val="18"/>
        </w:rPr>
        <w:t xml:space="preserve">▪  </w:t>
      </w:r>
      <w:r>
        <w:rPr>
          <w:rFonts w:ascii="Calibri" w:hAnsi="Calibri"/>
          <w:b/>
          <w:color w:val="334155"/>
          <w:sz w:val="20"/>
        </w:rPr>
        <w:t>Priority Escalation View:</w:t>
      </w:r>
      <w:r>
        <w:rPr>
          <w:rFonts w:ascii="Calibri" w:hAnsi="Calibri"/>
          <w:color w:val="334155"/>
          <w:sz w:val="20"/>
        </w:rPr>
        <w:t xml:space="preserve"> Highlighted approval requests sorted by monetary threshold and urgency.</w:t>
      </w:r>
    </w:p>
    <w:p>
      <w:pPr>
        <w:spacing w:before="20" w:after="40" w:line="276" w:lineRule="auto"/>
        <w:ind w:left="288"/>
      </w:pPr>
      <w:r>
        <w:rPr>
          <w:color w:val="1A56DB"/>
          <w:sz w:val="18"/>
        </w:rPr>
        <w:t xml:space="preserve">▪  </w:t>
      </w:r>
      <w:r>
        <w:rPr>
          <w:rFonts w:ascii="Calibri" w:hAnsi="Calibri"/>
          <w:b/>
          <w:color w:val="334155"/>
          <w:sz w:val="20"/>
        </w:rPr>
        <w:t>Pre-Evaluation Summaries:</w:t>
      </w:r>
      <w:r>
        <w:rPr>
          <w:rFonts w:ascii="Calibri" w:hAnsi="Calibri"/>
          <w:color w:val="334155"/>
          <w:sz w:val="20"/>
        </w:rPr>
        <w:t xml:space="preserve"> Quick glance cards displaying circular title, originating department, requested allocation, and committee lead.</w:t>
      </w:r>
    </w:p>
    <w:p>
      <w:pPr>
        <w:keepNext/>
        <w:spacing w:before="160" w:after="40"/>
      </w:pPr>
      <w:r>
        <w:rPr>
          <w:rFonts w:ascii="Calibri" w:hAnsi="Calibri"/>
          <w:b/>
          <w:color w:val="0F172A"/>
          <w:sz w:val="22"/>
        </w:rPr>
        <w:t>B. Direct Evaluation Matrix Access</w:t>
      </w:r>
    </w:p>
    <w:p>
      <w:pPr>
        <w:spacing w:before="20" w:after="40" w:line="276" w:lineRule="auto"/>
        <w:ind w:left="288"/>
      </w:pPr>
      <w:r>
        <w:rPr>
          <w:color w:val="1A56DB"/>
          <w:sz w:val="18"/>
        </w:rPr>
        <w:t xml:space="preserve">▪  </w:t>
      </w:r>
      <w:r>
        <w:rPr>
          <w:rFonts w:ascii="Calibri" w:hAnsi="Calibri"/>
          <w:b/>
          <w:color w:val="334155"/>
          <w:sz w:val="20"/>
        </w:rPr>
        <w:t>Context-Driven Review:</w:t>
      </w:r>
      <w:r>
        <w:rPr>
          <w:rFonts w:ascii="Calibri" w:hAnsi="Calibri"/>
          <w:color w:val="334155"/>
          <w:sz w:val="20"/>
        </w:rPr>
        <w:t xml:space="preserve"> Single-click navigation from the approval request directly into the full vendor comparison matrix.</w:t>
      </w:r>
    </w:p>
    <w:p>
      <w:pPr>
        <w:spacing w:before="20" w:after="40" w:line="276" w:lineRule="auto"/>
        <w:ind w:left="288"/>
      </w:pPr>
      <w:r>
        <w:rPr>
          <w:color w:val="1A56DB"/>
          <w:sz w:val="18"/>
        </w:rPr>
        <w:t xml:space="preserve">▪  </w:t>
      </w:r>
      <w:r>
        <w:rPr>
          <w:rFonts w:ascii="Calibri" w:hAnsi="Calibri"/>
          <w:b/>
          <w:color w:val="334155"/>
          <w:sz w:val="20"/>
        </w:rPr>
        <w:t>Bidder Lineage Inspection:</w:t>
      </w:r>
      <w:r>
        <w:rPr>
          <w:rFonts w:ascii="Calibri" w:hAnsi="Calibri"/>
          <w:color w:val="334155"/>
          <w:sz w:val="20"/>
        </w:rPr>
        <w:t xml:space="preserve"> Ability to review all competing vendor prices, delivery schedules, and technical scores before authorizing.</w:t>
      </w:r>
    </w:p>
    <w:p>
      <w:pPr>
        <w:keepNext/>
        <w:spacing w:before="160" w:after="40"/>
      </w:pPr>
      <w:r>
        <w:rPr>
          <w:rFonts w:ascii="Calibri" w:hAnsi="Calibri"/>
          <w:b/>
          <w:color w:val="0F172A"/>
          <w:sz w:val="22"/>
        </w:rPr>
        <w:t>C. Action Decisioning Cockpit</w:t>
      </w:r>
    </w:p>
    <w:p>
      <w:pPr>
        <w:spacing w:before="20" w:after="40" w:line="276" w:lineRule="auto"/>
        <w:ind w:left="288"/>
      </w:pPr>
      <w:r>
        <w:rPr>
          <w:color w:val="1A56DB"/>
          <w:sz w:val="18"/>
        </w:rPr>
        <w:t xml:space="preserve">▪  </w:t>
      </w:r>
      <w:r>
        <w:rPr>
          <w:rFonts w:ascii="Calibri" w:hAnsi="Calibri"/>
          <w:b/>
          <w:color w:val="334155"/>
          <w:sz w:val="20"/>
        </w:rPr>
        <w:t>Formal Approval Action:</w:t>
      </w:r>
      <w:r>
        <w:rPr>
          <w:rFonts w:ascii="Calibri" w:hAnsi="Calibri"/>
          <w:color w:val="334155"/>
          <w:sz w:val="20"/>
        </w:rPr>
        <w:t xml:space="preserve"> Sanctions the expenditure, automatically advancing the circular to the subsequent tier or to final </w:t>
      </w:r>
      <w:r>
        <w:rPr>
          <w:rFonts w:ascii="Consolas" w:hAnsi="Consolas"/>
          <w:color w:val="E11D48"/>
          <w:sz w:val="19"/>
          <w:shd w:fill="F1F5F9"/>
        </w:rPr>
        <w:t>AWARDED</w:t>
      </w:r>
      <w:r>
        <w:rPr>
          <w:rFonts w:ascii="Calibri" w:hAnsi="Calibri"/>
          <w:color w:val="334155"/>
          <w:sz w:val="20"/>
        </w:rPr>
        <w:t xml:space="preserve"> status.</w:t>
      </w:r>
    </w:p>
    <w:p>
      <w:pPr>
        <w:spacing w:before="20" w:after="40" w:line="276" w:lineRule="auto"/>
        <w:ind w:left="288"/>
      </w:pPr>
      <w:r>
        <w:rPr>
          <w:color w:val="1A56DB"/>
          <w:sz w:val="18"/>
        </w:rPr>
        <w:t xml:space="preserve">▪  </w:t>
      </w:r>
      <w:r>
        <w:rPr>
          <w:rFonts w:ascii="Calibri" w:hAnsi="Calibri"/>
          <w:b/>
          <w:color w:val="334155"/>
          <w:sz w:val="20"/>
        </w:rPr>
        <w:t>Rejection with Mandatory Comments:</w:t>
      </w:r>
      <w:r>
        <w:rPr>
          <w:rFonts w:ascii="Calibri" w:hAnsi="Calibri"/>
          <w:color w:val="334155"/>
          <w:sz w:val="20"/>
        </w:rPr>
        <w:t xml:space="preserve"> Returns the requisition with specific policy or budget critique.</w:t>
      </w:r>
    </w:p>
    <w:p>
      <w:pPr>
        <w:spacing w:before="20" w:after="40" w:line="276" w:lineRule="auto"/>
        <w:ind w:left="288"/>
      </w:pPr>
      <w:r>
        <w:rPr>
          <w:color w:val="1A56DB"/>
          <w:sz w:val="18"/>
        </w:rPr>
        <w:t xml:space="preserve">▪  </w:t>
      </w:r>
      <w:r>
        <w:rPr>
          <w:rFonts w:ascii="Calibri" w:hAnsi="Calibri"/>
          <w:b/>
          <w:color w:val="334155"/>
          <w:sz w:val="20"/>
        </w:rPr>
        <w:t>Request for Clarification / Resubmission:</w:t>
      </w:r>
      <w:r>
        <w:rPr>
          <w:rFonts w:ascii="Calibri" w:hAnsi="Calibri"/>
          <w:color w:val="334155"/>
          <w:sz w:val="20"/>
        </w:rPr>
        <w:t xml:space="preserve"> Routes circular back to Initiator for specification amendment without terminating the tender.</w:t>
      </w:r>
    </w:p>
    <w:p>
      <w:pPr>
        <w:keepNext/>
        <w:spacing w:before="160" w:after="40"/>
      </w:pPr>
      <w:r>
        <w:rPr>
          <w:rFonts w:ascii="Calibri" w:hAnsi="Calibri"/>
          <w:b/>
          <w:color w:val="0F172A"/>
          <w:sz w:val="22"/>
        </w:rPr>
        <w:t>D. Approval Progress Tracker</w:t>
      </w:r>
    </w:p>
    <w:p>
      <w:pPr>
        <w:spacing w:before="20" w:after="40" w:line="276" w:lineRule="auto"/>
        <w:ind w:left="288"/>
      </w:pPr>
      <w:r>
        <w:rPr>
          <w:color w:val="1A56DB"/>
          <w:sz w:val="18"/>
        </w:rPr>
        <w:t xml:space="preserve">▪  </w:t>
      </w:r>
      <w:r>
        <w:rPr>
          <w:rFonts w:ascii="Calibri" w:hAnsi="Calibri"/>
          <w:b/>
          <w:color w:val="334155"/>
          <w:sz w:val="20"/>
        </w:rPr>
        <w:t>Visual Stepper Timeline:</w:t>
      </w:r>
      <w:r>
        <w:rPr>
          <w:rFonts w:ascii="Calibri" w:hAnsi="Calibri"/>
          <w:color w:val="334155"/>
          <w:sz w:val="20"/>
        </w:rPr>
        <w:t xml:space="preserve"> Step-by-step audit diagram illustrating each approval stage, indicating officer identity, action timestamp, and recorded rationale.</w:t>
      </w:r>
    </w:p>
    <w:p>
      <w:pPr>
        <w:spacing w:before="160" w:after="160"/>
        <w:pBdr>
          <w:bottom w:val="single" w:sz="6" w:space="1" w:color="E2E8F0"/>
        </w:pBdr>
      </w:pPr>
    </w:p>
    <w:p>
      <w:pPr>
        <w:keepNext/>
        <w:spacing w:before="200" w:after="60"/>
      </w:pPr>
      <w:r>
        <w:rPr>
          <w:rFonts w:ascii="Calibri" w:hAnsi="Calibri"/>
          <w:b/>
          <w:color w:val="1A56DB"/>
          <w:sz w:val="25"/>
        </w:rPr>
        <w:t>4.4 Persona 4: Registered Vendors (Contractors &amp; Suppliers)</w:t>
      </w:r>
    </w:p>
    <w:p>
      <w:pPr>
        <w:spacing w:before="40" w:after="80" w:line="276" w:lineRule="auto"/>
      </w:pPr>
      <w:r>
        <w:rPr>
          <w:rFonts w:ascii="Calibri" w:hAnsi="Calibri"/>
          <w:color w:val="334155"/>
          <w:sz w:val="21"/>
        </w:rPr>
        <w:t>Commercial partners participating in institutional tenders:</w:t>
      </w:r>
    </w:p>
    <w:p>
      <w:pPr>
        <w:keepNext/>
        <w:spacing w:before="160" w:after="40"/>
      </w:pPr>
      <w:r>
        <w:rPr>
          <w:rFonts w:ascii="Calibri" w:hAnsi="Calibri"/>
          <w:b/>
          <w:color w:val="0F172A"/>
          <w:sz w:val="22"/>
        </w:rPr>
        <w:t>A. Vendor Onboarding &amp; Self-Service Portal</w:t>
      </w:r>
    </w:p>
    <w:p>
      <w:pPr>
        <w:spacing w:before="20" w:after="40" w:line="276" w:lineRule="auto"/>
        <w:ind w:left="288"/>
      </w:pPr>
      <w:r>
        <w:rPr>
          <w:color w:val="1A56DB"/>
          <w:sz w:val="18"/>
        </w:rPr>
        <w:t xml:space="preserve">▪  </w:t>
      </w:r>
      <w:r>
        <w:rPr>
          <w:rFonts w:ascii="Calibri" w:hAnsi="Calibri"/>
          <w:b/>
          <w:color w:val="334155"/>
          <w:sz w:val="20"/>
        </w:rPr>
        <w:t>Digital Registration:</w:t>
      </w:r>
      <w:r>
        <w:rPr>
          <w:rFonts w:ascii="Calibri" w:hAnsi="Calibri"/>
          <w:color w:val="334155"/>
          <w:sz w:val="20"/>
        </w:rPr>
        <w:t xml:space="preserve"> Submission of enterprise legal profile, incorporation details, and authorized representative data.</w:t>
      </w:r>
    </w:p>
    <w:p>
      <w:pPr>
        <w:spacing w:before="20" w:after="40" w:line="276" w:lineRule="auto"/>
        <w:ind w:left="288"/>
      </w:pPr>
      <w:r>
        <w:rPr>
          <w:color w:val="1A56DB"/>
          <w:sz w:val="18"/>
        </w:rPr>
        <w:t xml:space="preserve">▪  </w:t>
      </w:r>
      <w:r>
        <w:rPr>
          <w:rFonts w:ascii="Calibri" w:hAnsi="Calibri"/>
          <w:b/>
          <w:color w:val="334155"/>
          <w:sz w:val="20"/>
        </w:rPr>
        <w:t>Statutory Document Repository:</w:t>
      </w:r>
      <w:r>
        <w:rPr>
          <w:rFonts w:ascii="Calibri" w:hAnsi="Calibri"/>
          <w:color w:val="334155"/>
          <w:sz w:val="20"/>
        </w:rPr>
        <w:t xml:space="preserve"> Document uploading for Trade License, TIN, and VAT certificates.</w:t>
      </w:r>
    </w:p>
    <w:p>
      <w:pPr>
        <w:spacing w:before="20" w:after="40" w:line="276" w:lineRule="auto"/>
        <w:ind w:left="288"/>
      </w:pPr>
      <w:r>
        <w:rPr>
          <w:color w:val="1A56DB"/>
          <w:sz w:val="18"/>
        </w:rPr>
        <w:t xml:space="preserve">▪  </w:t>
      </w:r>
      <w:r>
        <w:rPr>
          <w:rFonts w:ascii="Calibri" w:hAnsi="Calibri"/>
          <w:b/>
          <w:color w:val="334155"/>
          <w:sz w:val="20"/>
        </w:rPr>
        <w:t>Account Status Tracking:</w:t>
      </w:r>
      <w:r>
        <w:rPr>
          <w:rFonts w:ascii="Calibri" w:hAnsi="Calibri"/>
          <w:color w:val="334155"/>
          <w:sz w:val="20"/>
        </w:rPr>
        <w:t xml:space="preserve"> Visual notification banners indicating </w:t>
      </w:r>
      <w:r>
        <w:rPr>
          <w:rFonts w:ascii="Consolas" w:hAnsi="Consolas"/>
          <w:color w:val="E11D48"/>
          <w:sz w:val="19"/>
          <w:shd w:fill="F1F5F9"/>
        </w:rPr>
        <w:t>Pending Verification</w:t>
      </w:r>
      <w:r>
        <w:rPr>
          <w:rFonts w:ascii="Calibri" w:hAnsi="Calibri"/>
          <w:color w:val="334155"/>
          <w:sz w:val="20"/>
        </w:rPr>
        <w:t xml:space="preserve">, </w:t>
      </w:r>
      <w:r>
        <w:rPr>
          <w:rFonts w:ascii="Consolas" w:hAnsi="Consolas"/>
          <w:color w:val="E11D48"/>
          <w:sz w:val="19"/>
          <w:shd w:fill="F1F5F9"/>
        </w:rPr>
        <w:t>Active</w:t>
      </w:r>
      <w:r>
        <w:rPr>
          <w:rFonts w:ascii="Calibri" w:hAnsi="Calibri"/>
          <w:color w:val="334155"/>
          <w:sz w:val="20"/>
        </w:rPr>
        <w:t xml:space="preserve">, or </w:t>
      </w:r>
      <w:r>
        <w:rPr>
          <w:rFonts w:ascii="Consolas" w:hAnsi="Consolas"/>
          <w:color w:val="E11D48"/>
          <w:sz w:val="19"/>
          <w:shd w:fill="F1F5F9"/>
        </w:rPr>
        <w:t>Correction Required</w:t>
      </w:r>
      <w:r>
        <w:rPr>
          <w:rFonts w:ascii="Calibri" w:hAnsi="Calibri"/>
          <w:color w:val="334155"/>
          <w:sz w:val="20"/>
        </w:rPr>
        <w:t>.</w:t>
      </w:r>
    </w:p>
    <w:p>
      <w:pPr>
        <w:keepNext/>
        <w:spacing w:before="160" w:after="40"/>
      </w:pPr>
      <w:r>
        <w:rPr>
          <w:rFonts w:ascii="Calibri" w:hAnsi="Calibri"/>
          <w:b/>
          <w:color w:val="0F172A"/>
          <w:sz w:val="22"/>
        </w:rPr>
        <w:t>B. Public Tender Discovery</w:t>
      </w:r>
    </w:p>
    <w:p>
      <w:pPr>
        <w:spacing w:before="20" w:after="40" w:line="276" w:lineRule="auto"/>
        <w:ind w:left="288"/>
      </w:pPr>
      <w:r>
        <w:rPr>
          <w:color w:val="1A56DB"/>
          <w:sz w:val="18"/>
        </w:rPr>
        <w:t xml:space="preserve">▪  </w:t>
      </w:r>
      <w:r>
        <w:rPr>
          <w:rFonts w:ascii="Calibri" w:hAnsi="Calibri"/>
          <w:b/>
          <w:color w:val="334155"/>
          <w:sz w:val="20"/>
        </w:rPr>
        <w:t>Active Circular Explorer:</w:t>
      </w:r>
      <w:r>
        <w:rPr>
          <w:rFonts w:ascii="Calibri" w:hAnsi="Calibri"/>
          <w:color w:val="334155"/>
          <w:sz w:val="20"/>
        </w:rPr>
        <w:t xml:space="preserve"> Searchable, categorized tender listings detailing requirements, deadlines, and eligibility terms.</w:t>
      </w:r>
    </w:p>
    <w:p>
      <w:pPr>
        <w:spacing w:before="20" w:after="40" w:line="276" w:lineRule="auto"/>
        <w:ind w:left="288"/>
      </w:pPr>
      <w:r>
        <w:rPr>
          <w:color w:val="1A56DB"/>
          <w:sz w:val="18"/>
        </w:rPr>
        <w:t xml:space="preserve">▪  </w:t>
      </w:r>
      <w:r>
        <w:rPr>
          <w:rFonts w:ascii="Calibri" w:hAnsi="Calibri"/>
          <w:b/>
          <w:color w:val="334155"/>
          <w:sz w:val="20"/>
        </w:rPr>
        <w:t>Tender Detail Modal:</w:t>
      </w:r>
      <w:r>
        <w:rPr>
          <w:rFonts w:ascii="Calibri" w:hAnsi="Calibri"/>
          <w:color w:val="334155"/>
          <w:sz w:val="20"/>
        </w:rPr>
        <w:t xml:space="preserve"> Complete access to technical specifications and downloadable procurement guidelines.</w:t>
      </w:r>
    </w:p>
    <w:p>
      <w:pPr>
        <w:keepNext/>
        <w:spacing w:before="160" w:after="40"/>
      </w:pPr>
      <w:r>
        <w:rPr>
          <w:rFonts w:ascii="Calibri" w:hAnsi="Calibri"/>
          <w:b/>
          <w:color w:val="0F172A"/>
          <w:sz w:val="22"/>
        </w:rPr>
        <w:t>C. Competitive Quotation Submission Engine</w:t>
      </w:r>
    </w:p>
    <w:p>
      <w:pPr>
        <w:spacing w:before="20" w:after="40" w:line="276" w:lineRule="auto"/>
        <w:ind w:left="288"/>
      </w:pPr>
      <w:r>
        <w:rPr>
          <w:color w:val="1A56DB"/>
          <w:sz w:val="18"/>
        </w:rPr>
        <w:t xml:space="preserve">▪  </w:t>
      </w:r>
      <w:r>
        <w:rPr>
          <w:rFonts w:ascii="Calibri" w:hAnsi="Calibri"/>
          <w:b/>
          <w:color w:val="334155"/>
          <w:sz w:val="20"/>
        </w:rPr>
        <w:t>Bid Input Form:</w:t>
      </w:r>
      <w:r>
        <w:rPr>
          <w:rFonts w:ascii="Calibri" w:hAnsi="Calibri"/>
          <w:color w:val="334155"/>
          <w:sz w:val="20"/>
        </w:rPr>
        <w:t xml:space="preserve"> Total quoted commercial price, promised calendar delivery timeline, and warranty duration.</w:t>
      </w:r>
    </w:p>
    <w:p>
      <w:pPr>
        <w:spacing w:before="20" w:after="40" w:line="276" w:lineRule="auto"/>
        <w:ind w:left="288"/>
      </w:pPr>
      <w:r>
        <w:rPr>
          <w:color w:val="1A56DB"/>
          <w:sz w:val="18"/>
        </w:rPr>
        <w:t xml:space="preserve">▪  </w:t>
      </w:r>
      <w:r>
        <w:rPr>
          <w:rFonts w:ascii="Calibri" w:hAnsi="Calibri"/>
          <w:b/>
          <w:color w:val="334155"/>
          <w:sz w:val="20"/>
        </w:rPr>
        <w:t>Technical Compliance Attestation:</w:t>
      </w:r>
      <w:r>
        <w:rPr>
          <w:rFonts w:ascii="Calibri" w:hAnsi="Calibri"/>
          <w:color w:val="334155"/>
          <w:sz w:val="20"/>
        </w:rPr>
        <w:t xml:space="preserve"> Checkbox legal certification guaranteeing adherence to specifications.</w:t>
      </w:r>
    </w:p>
    <w:p>
      <w:pPr>
        <w:spacing w:before="20" w:after="40" w:line="276" w:lineRule="auto"/>
        <w:ind w:left="288"/>
      </w:pPr>
      <w:r>
        <w:rPr>
          <w:color w:val="1A56DB"/>
          <w:sz w:val="18"/>
        </w:rPr>
        <w:t xml:space="preserve">▪  </w:t>
      </w:r>
      <w:r>
        <w:rPr>
          <w:rFonts w:ascii="Calibri" w:hAnsi="Calibri"/>
          <w:b/>
          <w:color w:val="334155"/>
          <w:sz w:val="20"/>
        </w:rPr>
        <w:t>Proposal Attachment:</w:t>
      </w:r>
      <w:r>
        <w:rPr>
          <w:rFonts w:ascii="Calibri" w:hAnsi="Calibri"/>
          <w:color w:val="334155"/>
          <w:sz w:val="20"/>
        </w:rPr>
        <w:t xml:space="preserve"> Multi-file attachment for technical proposal dossiers, catalog cut-sheets, and OEM manufacturer authorization certificates.</w:t>
      </w:r>
    </w:p>
    <w:p>
      <w:pPr>
        <w:keepNext/>
        <w:spacing w:before="160" w:after="40"/>
      </w:pPr>
      <w:r>
        <w:rPr>
          <w:rFonts w:ascii="Calibri" w:hAnsi="Calibri"/>
          <w:b/>
          <w:color w:val="0F172A"/>
          <w:sz w:val="22"/>
        </w:rPr>
        <w:t>D. Bid Portfolio &amp; Work Order Dashboard</w:t>
      </w:r>
    </w:p>
    <w:p>
      <w:pPr>
        <w:spacing w:before="20" w:after="40" w:line="276" w:lineRule="auto"/>
        <w:ind w:left="288"/>
      </w:pPr>
      <w:r>
        <w:rPr>
          <w:color w:val="1A56DB"/>
          <w:sz w:val="18"/>
        </w:rPr>
        <w:t xml:space="preserve">▪  </w:t>
      </w:r>
      <w:r>
        <w:rPr>
          <w:rFonts w:ascii="Calibri" w:hAnsi="Calibri"/>
          <w:b/>
          <w:color w:val="334155"/>
          <w:sz w:val="20"/>
        </w:rPr>
        <w:t>'My Bids' Tracker:</w:t>
      </w:r>
      <w:r>
        <w:rPr>
          <w:rFonts w:ascii="Calibri" w:hAnsi="Calibri"/>
          <w:color w:val="334155"/>
          <w:sz w:val="20"/>
        </w:rPr>
        <w:t xml:space="preserve"> Real-time feedback on submitted bids (</w:t>
      </w:r>
      <w:r>
        <w:rPr>
          <w:rFonts w:ascii="Consolas" w:hAnsi="Consolas"/>
          <w:color w:val="E11D48"/>
          <w:sz w:val="19"/>
          <w:shd w:fill="F1F5F9"/>
        </w:rPr>
        <w:t>Under Evaluation</w:t>
      </w:r>
      <w:r>
        <w:rPr>
          <w:rFonts w:ascii="Calibri" w:hAnsi="Calibri"/>
          <w:color w:val="334155"/>
          <w:sz w:val="20"/>
        </w:rPr>
        <w:t xml:space="preserve">, </w:t>
      </w:r>
      <w:r>
        <w:rPr>
          <w:rFonts w:ascii="Consolas" w:hAnsi="Consolas"/>
          <w:color w:val="E11D48"/>
          <w:sz w:val="19"/>
          <w:shd w:fill="F1F5F9"/>
        </w:rPr>
        <w:t>Qualified</w:t>
      </w:r>
      <w:r>
        <w:rPr>
          <w:rFonts w:ascii="Calibri" w:hAnsi="Calibri"/>
          <w:color w:val="334155"/>
          <w:sz w:val="20"/>
        </w:rPr>
        <w:t xml:space="preserve">, </w:t>
      </w:r>
      <w:r>
        <w:rPr>
          <w:rFonts w:ascii="Consolas" w:hAnsi="Consolas"/>
          <w:color w:val="E11D48"/>
          <w:sz w:val="19"/>
          <w:shd w:fill="F1F5F9"/>
        </w:rPr>
        <w:t>Awarded</w:t>
      </w:r>
      <w:r>
        <w:rPr>
          <w:rFonts w:ascii="Calibri" w:hAnsi="Calibri"/>
          <w:color w:val="334155"/>
          <w:sz w:val="20"/>
        </w:rPr>
        <w:t xml:space="preserve">, </w:t>
      </w:r>
      <w:r>
        <w:rPr>
          <w:rFonts w:ascii="Consolas" w:hAnsi="Consolas"/>
          <w:color w:val="E11D48"/>
          <w:sz w:val="19"/>
          <w:shd w:fill="F1F5F9"/>
        </w:rPr>
        <w:t>Disqualified</w:t>
      </w:r>
      <w:r>
        <w:rPr>
          <w:rFonts w:ascii="Calibri" w:hAnsi="Calibri"/>
          <w:color w:val="334155"/>
          <w:sz w:val="20"/>
        </w:rPr>
        <w:t>).</w:t>
      </w:r>
    </w:p>
    <w:p>
      <w:pPr>
        <w:spacing w:before="20" w:after="40" w:line="276" w:lineRule="auto"/>
        <w:ind w:left="288"/>
      </w:pPr>
      <w:r>
        <w:rPr>
          <w:color w:val="1A56DB"/>
          <w:sz w:val="18"/>
        </w:rPr>
        <w:t xml:space="preserve">▪  </w:t>
      </w:r>
      <w:r>
        <w:rPr>
          <w:rFonts w:ascii="Calibri" w:hAnsi="Calibri"/>
          <w:b/>
          <w:color w:val="334155"/>
          <w:sz w:val="20"/>
        </w:rPr>
        <w:t>Contract Work Orders:</w:t>
      </w:r>
      <w:r>
        <w:rPr>
          <w:rFonts w:ascii="Calibri" w:hAnsi="Calibri"/>
          <w:color w:val="334155"/>
          <w:sz w:val="20"/>
        </w:rPr>
        <w:t xml:space="preserve"> Overview of awarded contracts, delivery terms, and milestone requirements.</w:t>
      </w:r>
    </w:p>
    <w:p>
      <w:pPr>
        <w:spacing w:before="20" w:after="40" w:line="276" w:lineRule="auto"/>
        <w:ind w:left="288"/>
      </w:pPr>
      <w:r>
        <w:rPr>
          <w:color w:val="1A56DB"/>
          <w:sz w:val="18"/>
        </w:rPr>
        <w:t xml:space="preserve">▪  </w:t>
      </w:r>
      <w:r>
        <w:rPr>
          <w:rFonts w:ascii="Calibri" w:hAnsi="Calibri"/>
          <w:b/>
          <w:color w:val="334155"/>
          <w:sz w:val="20"/>
        </w:rPr>
        <w:t>Invoice Claim Submission:</w:t>
      </w:r>
      <w:r>
        <w:rPr>
          <w:rFonts w:ascii="Calibri" w:hAnsi="Calibri"/>
          <w:color w:val="334155"/>
          <w:sz w:val="20"/>
        </w:rPr>
        <w:t xml:space="preserve"> Uploading delivery challans and commercial tax invoices for completed supplies.</w:t>
      </w:r>
    </w:p>
    <w:p>
      <w:pPr>
        <w:spacing w:before="160" w:after="160"/>
        <w:pBdr>
          <w:bottom w:val="single" w:sz="6" w:space="1" w:color="E2E8F0"/>
        </w:pBdr>
      </w:pPr>
    </w:p>
    <w:p>
      <w:pPr>
        <w:keepNext/>
        <w:spacing w:before="200" w:after="60"/>
      </w:pPr>
      <w:r>
        <w:rPr>
          <w:rFonts w:ascii="Calibri" w:hAnsi="Calibri"/>
          <w:b/>
          <w:color w:val="1A56DB"/>
          <w:sz w:val="25"/>
        </w:rPr>
        <w:t>4.5 Persona 5: Finance &amp; Treasury Officers</w:t>
      </w:r>
    </w:p>
    <w:p>
      <w:pPr>
        <w:spacing w:before="40" w:after="80" w:line="276" w:lineRule="auto"/>
      </w:pPr>
      <w:r>
        <w:rPr>
          <w:rFonts w:ascii="Calibri" w:hAnsi="Calibri"/>
          <w:color w:val="334155"/>
          <w:sz w:val="21"/>
        </w:rPr>
        <w:t>University financial controllers who oversee budget integrity and disbursements:</w:t>
      </w:r>
    </w:p>
    <w:p>
      <w:pPr>
        <w:keepNext/>
        <w:spacing w:before="160" w:after="40"/>
      </w:pPr>
      <w:r>
        <w:rPr>
          <w:rFonts w:ascii="Calibri" w:hAnsi="Calibri"/>
          <w:b/>
          <w:color w:val="0F172A"/>
          <w:sz w:val="22"/>
        </w:rPr>
        <w:t>A. Treasury &amp; Fiscal Governance Cockpit</w:t>
      </w:r>
    </w:p>
    <w:p>
      <w:pPr>
        <w:spacing w:before="20" w:after="40" w:line="276" w:lineRule="auto"/>
        <w:ind w:left="288"/>
      </w:pPr>
      <w:r>
        <w:rPr>
          <w:color w:val="1A56DB"/>
          <w:sz w:val="18"/>
        </w:rPr>
        <w:t xml:space="preserve">▪  </w:t>
      </w:r>
      <w:r>
        <w:rPr>
          <w:rFonts w:ascii="Calibri" w:hAnsi="Calibri"/>
          <w:b/>
          <w:color w:val="334155"/>
          <w:sz w:val="20"/>
        </w:rPr>
        <w:t>Annual Budget Burn Tracking:</w:t>
      </w:r>
      <w:r>
        <w:rPr>
          <w:rFonts w:ascii="Calibri" w:hAnsi="Calibri"/>
          <w:color w:val="334155"/>
          <w:sz w:val="20"/>
        </w:rPr>
        <w:t xml:space="preserve"> Visual tracking of Total Fiscal Budget (\$3.5M baseline), Committed Liabilities, Disbursed Payments, and Uncommitted Balance.</w:t>
      </w:r>
    </w:p>
    <w:p>
      <w:pPr>
        <w:spacing w:before="20" w:after="40" w:line="276" w:lineRule="auto"/>
        <w:ind w:left="288"/>
      </w:pPr>
      <w:r>
        <w:rPr>
          <w:color w:val="1A56DB"/>
          <w:sz w:val="18"/>
        </w:rPr>
        <w:t xml:space="preserve">▪  </w:t>
      </w:r>
      <w:r>
        <w:rPr>
          <w:rFonts w:ascii="Calibri" w:hAnsi="Calibri"/>
          <w:b/>
          <w:color w:val="334155"/>
          <w:sz w:val="20"/>
        </w:rPr>
        <w:t>EFT Direct Settlement Rate:</w:t>
      </w:r>
      <w:r>
        <w:rPr>
          <w:rFonts w:ascii="Calibri" w:hAnsi="Calibri"/>
          <w:color w:val="334155"/>
          <w:sz w:val="20"/>
        </w:rPr>
        <w:t xml:space="preserve"> Real-time metric monitoring BEFTN / RTGS electronic bank clearance percentages.</w:t>
      </w:r>
    </w:p>
    <w:p>
      <w:pPr>
        <w:keepNext/>
        <w:spacing w:before="160" w:after="40"/>
      </w:pPr>
      <w:r>
        <w:rPr>
          <w:rFonts w:ascii="Calibri" w:hAnsi="Calibri"/>
          <w:b/>
          <w:color w:val="0F172A"/>
          <w:sz w:val="22"/>
        </w:rPr>
        <w:t>B. 3-Way Matching &amp; Invoice Claim Audit</w:t>
      </w:r>
    </w:p>
    <w:p>
      <w:pPr>
        <w:spacing w:before="20" w:after="40" w:line="276" w:lineRule="auto"/>
        <w:ind w:left="288"/>
      </w:pPr>
      <w:r>
        <w:rPr>
          <w:color w:val="1A56DB"/>
          <w:sz w:val="18"/>
        </w:rPr>
        <w:t xml:space="preserve">▪  </w:t>
      </w:r>
      <w:r>
        <w:rPr>
          <w:rFonts w:ascii="Calibri" w:hAnsi="Calibri"/>
          <w:b/>
          <w:color w:val="334155"/>
          <w:sz w:val="20"/>
        </w:rPr>
        <w:t>Automated 3-Way Match Verification:</w:t>
      </w:r>
      <w:r>
        <w:rPr>
          <w:rFonts w:ascii="Calibri" w:hAnsi="Calibri"/>
          <w:color w:val="334155"/>
          <w:sz w:val="20"/>
        </w:rPr>
        <w:t xml:space="preserve"> Cross-comparison between:</w:t>
      </w:r>
    </w:p>
    <w:p>
      <w:pPr>
        <w:spacing w:before="20" w:after="40" w:line="276" w:lineRule="auto"/>
        <w:ind w:left="648"/>
      </w:pPr>
      <w:r>
        <w:rPr>
          <w:b/>
          <w:color w:val="1A56DB"/>
        </w:rPr>
        <w:t xml:space="preserve">1. </w:t>
      </w:r>
      <w:r>
        <w:rPr>
          <w:rFonts w:ascii="Calibri" w:hAnsi="Calibri"/>
          <w:color w:val="334155"/>
          <w:sz w:val="20"/>
        </w:rPr>
        <w:t>Original Awarded Purchase Order Amount.</w:t>
      </w:r>
    </w:p>
    <w:p>
      <w:pPr>
        <w:spacing w:before="20" w:after="40" w:line="276" w:lineRule="auto"/>
        <w:ind w:left="648"/>
      </w:pPr>
      <w:r>
        <w:rPr>
          <w:b/>
          <w:color w:val="1A56DB"/>
        </w:rPr>
        <w:t xml:space="preserve">2. </w:t>
      </w:r>
      <w:r>
        <w:rPr>
          <w:rFonts w:ascii="Calibri" w:hAnsi="Calibri"/>
          <w:color w:val="334155"/>
          <w:sz w:val="20"/>
        </w:rPr>
        <w:t>Initiator Lab Delivery Acceptance Note.</w:t>
      </w:r>
    </w:p>
    <w:p>
      <w:pPr>
        <w:spacing w:before="20" w:after="40" w:line="276" w:lineRule="auto"/>
        <w:ind w:left="648"/>
      </w:pPr>
      <w:r>
        <w:rPr>
          <w:b/>
          <w:color w:val="1A56DB"/>
        </w:rPr>
        <w:t xml:space="preserve">3. </w:t>
      </w:r>
      <w:r>
        <w:rPr>
          <w:rFonts w:ascii="Calibri" w:hAnsi="Calibri"/>
          <w:color w:val="334155"/>
          <w:sz w:val="20"/>
        </w:rPr>
        <w:t>Vendor Commercial Tax Invoice.</w:t>
      </w:r>
    </w:p>
    <w:p>
      <w:pPr>
        <w:spacing w:before="20" w:after="40" w:line="276" w:lineRule="auto"/>
        <w:ind w:left="288"/>
      </w:pPr>
      <w:r>
        <w:rPr>
          <w:color w:val="1A56DB"/>
          <w:sz w:val="18"/>
        </w:rPr>
        <w:t xml:space="preserve">▪  </w:t>
      </w:r>
      <w:r>
        <w:rPr>
          <w:rFonts w:ascii="Calibri" w:hAnsi="Calibri"/>
          <w:b/>
          <w:color w:val="334155"/>
          <w:sz w:val="20"/>
        </w:rPr>
        <w:t>Discrepancy Highlighting:</w:t>
      </w:r>
      <w:r>
        <w:rPr>
          <w:rFonts w:ascii="Calibri" w:hAnsi="Calibri"/>
          <w:color w:val="334155"/>
          <w:sz w:val="20"/>
        </w:rPr>
        <w:t xml:space="preserve"> Color-coded warning badges when invoice figures deviate from contract terms.</w:t>
      </w:r>
    </w:p>
    <w:p>
      <w:pPr>
        <w:keepNext/>
        <w:spacing w:before="160" w:after="40"/>
      </w:pPr>
      <w:r>
        <w:rPr>
          <w:rFonts w:ascii="Calibri" w:hAnsi="Calibri"/>
          <w:b/>
          <w:color w:val="0F172A"/>
          <w:sz w:val="22"/>
        </w:rPr>
        <w:t>C. Disbursement Processing</w:t>
      </w:r>
    </w:p>
    <w:p>
      <w:pPr>
        <w:spacing w:before="20" w:after="40" w:line="276" w:lineRule="auto"/>
        <w:ind w:left="288"/>
      </w:pPr>
      <w:r>
        <w:rPr>
          <w:color w:val="1A56DB"/>
          <w:sz w:val="18"/>
        </w:rPr>
        <w:t xml:space="preserve">▪  </w:t>
      </w:r>
      <w:r>
        <w:rPr>
          <w:rFonts w:ascii="Calibri" w:hAnsi="Calibri"/>
          <w:b/>
          <w:color w:val="334155"/>
          <w:sz w:val="20"/>
        </w:rPr>
        <w:t>Approve &amp; Settle Payment:</w:t>
      </w:r>
      <w:r>
        <w:rPr>
          <w:rFonts w:ascii="Calibri" w:hAnsi="Calibri"/>
          <w:color w:val="334155"/>
          <w:sz w:val="20"/>
        </w:rPr>
        <w:t xml:space="preserve"> Generates an official Electronic Funds Transfer (EFT) transaction reference and logs the disbursing officer's credentials.</w:t>
      </w:r>
    </w:p>
    <w:p>
      <w:pPr>
        <w:spacing w:before="20" w:after="40" w:line="276" w:lineRule="auto"/>
        <w:ind w:left="288"/>
      </w:pPr>
      <w:r>
        <w:rPr>
          <w:color w:val="1A56DB"/>
          <w:sz w:val="18"/>
        </w:rPr>
        <w:t xml:space="preserve">▪  </w:t>
      </w:r>
      <w:r>
        <w:rPr>
          <w:rFonts w:ascii="Calibri" w:hAnsi="Calibri"/>
          <w:b/>
          <w:color w:val="334155"/>
          <w:sz w:val="20"/>
        </w:rPr>
        <w:t>Return for Clarification:</w:t>
      </w:r>
      <w:r>
        <w:rPr>
          <w:rFonts w:ascii="Calibri" w:hAnsi="Calibri"/>
          <w:color w:val="334155"/>
          <w:sz w:val="20"/>
        </w:rPr>
        <w:t xml:space="preserve"> Flags missing challans or tax calculation errors back to the vendor.</w:t>
      </w:r>
    </w:p>
    <w:p>
      <w:pPr>
        <w:spacing w:before="160" w:after="160"/>
        <w:pBdr>
          <w:bottom w:val="single" w:sz="6" w:space="1" w:color="E2E8F0"/>
        </w:pBdr>
      </w:pPr>
    </w:p>
    <w:p>
      <w:pPr>
        <w:keepNext/>
        <w:spacing w:before="200" w:after="60"/>
      </w:pPr>
      <w:r>
        <w:rPr>
          <w:rFonts w:ascii="Calibri" w:hAnsi="Calibri"/>
          <w:b/>
          <w:color w:val="1A56DB"/>
          <w:sz w:val="25"/>
        </w:rPr>
        <w:t>4.6 Standalone Feature: Automated Bid Comparison Matrix (QCBS)</w:t>
      </w:r>
    </w:p>
    <w:p>
      <w:pPr>
        <w:spacing w:before="40" w:after="80" w:line="276" w:lineRule="auto"/>
      </w:pPr>
      <w:r>
        <w:rPr>
          <w:rFonts w:ascii="Calibri" w:hAnsi="Calibri"/>
          <w:color w:val="334155"/>
          <w:sz w:val="21"/>
        </w:rPr>
        <w:t>A signature capability of UniProcure is its automated evaluation matrix:</w:t>
      </w:r>
    </w:p>
    <w:p>
      <w:pPr>
        <w:spacing w:before="20" w:after="40" w:line="276" w:lineRule="auto"/>
        <w:ind w:left="288"/>
      </w:pPr>
      <w:r>
        <w:rPr>
          <w:color w:val="1A56DB"/>
          <w:sz w:val="18"/>
        </w:rPr>
        <w:t xml:space="preserve">▪  </w:t>
      </w:r>
      <w:r>
        <w:rPr>
          <w:rFonts w:ascii="Calibri" w:hAnsi="Calibri"/>
          <w:b/>
          <w:color w:val="334155"/>
          <w:sz w:val="20"/>
        </w:rPr>
        <w:t>Quality &amp; Cost-Based Selection (QCBS) Model:</w:t>
      </w:r>
      <w:r>
        <w:rPr>
          <w:rFonts w:ascii="Calibri" w:hAnsi="Calibri"/>
          <w:color w:val="334155"/>
          <w:sz w:val="20"/>
        </w:rPr>
        <w:t xml:space="preserve"> Combines Technical Scoring (e.g., 70% weight) and Financial Scoring (e.g., 30% weight) into an automated Composite Score.</w:t>
      </w:r>
    </w:p>
    <w:p>
      <w:pPr>
        <w:spacing w:before="20" w:after="40" w:line="276" w:lineRule="auto"/>
        <w:ind w:left="288"/>
      </w:pPr>
      <w:r>
        <w:rPr>
          <w:color w:val="1A56DB"/>
          <w:sz w:val="18"/>
        </w:rPr>
        <w:t xml:space="preserve">▪  </w:t>
      </w:r>
      <w:r>
        <w:rPr>
          <w:rFonts w:ascii="Calibri" w:hAnsi="Calibri"/>
          <w:b/>
          <w:color w:val="334155"/>
          <w:sz w:val="20"/>
        </w:rPr>
        <w:t>Automatic Budget Delta Calculation:</w:t>
      </w:r>
      <w:r>
        <w:rPr>
          <w:rFonts w:ascii="Calibri" w:hAnsi="Calibri"/>
          <w:color w:val="334155"/>
          <w:sz w:val="20"/>
        </w:rPr>
        <w:t xml:space="preserve"> Computes financial difference relative to the institution's approved ceiling.</w:t>
      </w:r>
    </w:p>
    <w:p>
      <w:pPr>
        <w:spacing w:before="20" w:after="40" w:line="276" w:lineRule="auto"/>
        <w:ind w:left="288"/>
      </w:pPr>
      <w:r>
        <w:rPr>
          <w:color w:val="1A56DB"/>
          <w:sz w:val="18"/>
        </w:rPr>
        <w:t xml:space="preserve">▪  </w:t>
      </w:r>
      <w:r>
        <w:rPr>
          <w:rFonts w:ascii="Calibri" w:hAnsi="Calibri"/>
          <w:b/>
          <w:color w:val="334155"/>
          <w:sz w:val="20"/>
        </w:rPr>
        <w:t>Lowest Price Highlight:</w:t>
      </w:r>
      <w:r>
        <w:rPr>
          <w:rFonts w:ascii="Calibri" w:hAnsi="Calibri"/>
          <w:color w:val="334155"/>
          <w:sz w:val="20"/>
        </w:rPr>
        <w:t xml:space="preserve"> Automated green banner highlighting the most economically advantageous tender.</w:t>
      </w:r>
    </w:p>
    <w:p>
      <w:pPr>
        <w:spacing w:before="20" w:after="40" w:line="276" w:lineRule="auto"/>
        <w:ind w:left="288"/>
      </w:pPr>
      <w:r>
        <w:rPr>
          <w:color w:val="1A56DB"/>
          <w:sz w:val="18"/>
        </w:rPr>
        <w:t xml:space="preserve">▪  </w:t>
      </w:r>
      <w:r>
        <w:rPr>
          <w:rFonts w:ascii="Calibri" w:hAnsi="Calibri"/>
          <w:b/>
          <w:color w:val="334155"/>
          <w:sz w:val="20"/>
        </w:rPr>
        <w:t>Committee Recommendation Output:</w:t>
      </w:r>
      <w:r>
        <w:rPr>
          <w:rFonts w:ascii="Calibri" w:hAnsi="Calibri"/>
          <w:color w:val="334155"/>
          <w:sz w:val="20"/>
        </w:rPr>
        <w:t xml:space="preserve"> Automatically synthesizes formal award recommendations for submission to the Faculty Dean and Registrar.</w:t>
      </w:r>
    </w:p>
    <w:p>
      <w:pPr>
        <w:spacing w:before="160" w:after="160"/>
        <w:pBdr>
          <w:bottom w:val="single" w:sz="6" w:space="1" w:color="E2E8F0"/>
        </w:pBdr>
      </w:pPr>
    </w:p>
    <w:p>
      <w:pPr>
        <w:keepNext/>
        <w:spacing w:before="280" w:after="80"/>
      </w:pPr>
      <w:r>
        <w:rPr>
          <w:rFonts w:ascii="Calibri" w:hAnsi="Calibri"/>
          <w:b/>
          <w:color w:val="0F172A"/>
          <w:sz w:val="30"/>
        </w:rPr>
        <w:t>5. Web Production Readiness &amp; Security Strategy for Flutter Web</w:t>
      </w:r>
    </w:p>
    <w:p>
      <w:pPr>
        <w:spacing w:before="40" w:after="80" w:line="276" w:lineRule="auto"/>
      </w:pPr>
      <w:r>
        <w:rPr>
          <w:rFonts w:ascii="Calibri" w:hAnsi="Calibri"/>
          <w:color w:val="334155"/>
          <w:sz w:val="21"/>
        </w:rPr>
        <w:t>Publishing a Flutter Web enterprise application properly and securely requires addressing web-specific considerations:</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top w:val="single" w:sz="4" w:space="0" w:color="E2E8F0"/>
              <w:left w:val="single" w:sz="18" w:space="0" w:color="1A56DB"/>
              <w:bottom w:val="single" w:sz="4" w:space="0" w:color="E2E8F0"/>
              <w:right w:val="single" w:sz="4" w:space="0" w:color="E2E8F0"/>
            </w:tcBorders>
          </w:tcPr>
          <w:p>
            <w:pPr>
              <w:spacing w:before="40" w:after="40" w:line="276" w:lineRule="auto"/>
            </w:pPr>
            <w:r>
              <w:rPr>
                <w:rFonts w:ascii="Consolas" w:hAnsi="Consolas"/>
                <w:color w:val="1E293B"/>
                <w:sz w:val="17"/>
              </w:rPr>
              <w:t>+---------------------------------------------------------------------------------+</w:t>
              <w:br/>
              <w:t>|                       Production Flutter Web Architecture                       |</w:t>
              <w:br/>
              <w:t>+---------------------------------------------------------------------------------+</w:t>
              <w:br/>
              <w:t xml:space="preserve">          |                                                   |</w:t>
              <w:br/>
              <w:t xml:space="preserve">          v                                                   v</w:t>
              <w:br/>
              <w:t>[ Performance &amp; Rendering ]                         [ Web Security Hardening ]</w:t>
              <w:br/>
              <w:t xml:space="preserve">  * CanvasKit Engine with Local Caching               * Strict Content Security Policy (CSP)</w:t>
              <w:br/>
              <w:t xml:space="preserve">  * Font Subsetting &amp; Web Workers                     * HTTP Strict Transport Security (HSTS)</w:t>
              <w:br/>
              <w:t xml:space="preserve">  * Tree-Shaken Release Bundles                       * In-Memory Token Handling + Secure Cookies</w:t>
              <w:br/>
              <w:t xml:space="preserve">  * Gzip/Brotli Edge Compression                      * Anti-XSS Sanitization &amp; Byte Validations</w:t>
            </w:r>
          </w:p>
        </w:tc>
      </w:tr>
    </w:tbl>
    <w:p>
      <w:pPr>
        <w:spacing w:before="0" w:after="80"/>
      </w:pPr>
    </w:p>
    <w:p>
      <w:pPr>
        <w:keepNext/>
        <w:spacing w:before="200" w:after="60"/>
      </w:pPr>
      <w:r>
        <w:rPr>
          <w:rFonts w:ascii="Calibri" w:hAnsi="Calibri"/>
          <w:b/>
          <w:color w:val="1A56DB"/>
          <w:sz w:val="25"/>
        </w:rPr>
        <w:t>5.1 Rendering Engine Optimization</w:t>
      </w:r>
    </w:p>
    <w:p>
      <w:pPr>
        <w:spacing w:before="20" w:after="40" w:line="276" w:lineRule="auto"/>
        <w:ind w:left="288"/>
      </w:pPr>
      <w:r>
        <w:rPr>
          <w:color w:val="1A56DB"/>
          <w:sz w:val="18"/>
        </w:rPr>
        <w:t xml:space="preserve">▪  </w:t>
      </w:r>
      <w:r>
        <w:rPr>
          <w:rFonts w:ascii="Calibri" w:hAnsi="Calibri"/>
          <w:b/>
          <w:color w:val="334155"/>
          <w:sz w:val="20"/>
        </w:rPr>
        <w:t>Renderer Selection:</w:t>
      </w:r>
      <w:r>
        <w:rPr>
          <w:rFonts w:ascii="Calibri" w:hAnsi="Calibri"/>
          <w:color w:val="334155"/>
          <w:sz w:val="20"/>
        </w:rPr>
        <w:t xml:space="preserve"> Built for deployment using Flutter's </w:t>
      </w:r>
      <w:r>
        <w:rPr>
          <w:rFonts w:ascii="Calibri" w:hAnsi="Calibri"/>
          <w:b/>
          <w:color w:val="334155"/>
          <w:sz w:val="20"/>
        </w:rPr>
        <w:t>CanvasKit</w:t>
      </w:r>
      <w:r>
        <w:rPr>
          <w:rFonts w:ascii="Calibri" w:hAnsi="Calibri"/>
          <w:color w:val="334155"/>
          <w:sz w:val="20"/>
        </w:rPr>
        <w:t xml:space="preserve"> renderer (</w:t>
      </w:r>
      <w:r>
        <w:rPr>
          <w:rFonts w:ascii="Consolas" w:hAnsi="Consolas"/>
          <w:color w:val="E11D48"/>
          <w:sz w:val="19"/>
          <w:shd w:fill="F1F5F9"/>
        </w:rPr>
        <w:t>flutter build web --release --no-wasm-dry-run</w:t>
      </w:r>
      <w:r>
        <w:rPr>
          <w:rFonts w:ascii="Calibri" w:hAnsi="Calibri"/>
          <w:color w:val="334155"/>
          <w:sz w:val="20"/>
        </w:rPr>
        <w:t>). CanvasKit leverages Skia compiled to WebAssembly (WASM), ensuring that high-density data tables, graphs, and font metrics render identically across Chrome, Safari, Firefox, and Edge.</w:t>
      </w:r>
    </w:p>
    <w:p>
      <w:pPr>
        <w:spacing w:before="20" w:after="40" w:line="276" w:lineRule="auto"/>
        <w:ind w:left="288"/>
      </w:pPr>
      <w:r>
        <w:rPr>
          <w:color w:val="1A56DB"/>
          <w:sz w:val="18"/>
        </w:rPr>
        <w:t xml:space="preserve">▪  </w:t>
      </w:r>
      <w:r>
        <w:rPr>
          <w:rFonts w:ascii="Calibri" w:hAnsi="Calibri"/>
          <w:b/>
          <w:color w:val="334155"/>
          <w:sz w:val="20"/>
        </w:rPr>
        <w:t>CanvasKit Pre-caching:</w:t>
      </w:r>
      <w:r>
        <w:rPr>
          <w:rFonts w:ascii="Calibri" w:hAnsi="Calibri"/>
          <w:color w:val="334155"/>
          <w:sz w:val="20"/>
        </w:rPr>
        <w:t xml:space="preserve"> Host the </w:t>
      </w:r>
      <w:r>
        <w:rPr>
          <w:rFonts w:ascii="Consolas" w:hAnsi="Consolas"/>
          <w:color w:val="E11D48"/>
          <w:sz w:val="19"/>
          <w:shd w:fill="F1F5F9"/>
        </w:rPr>
        <w:t>canvaskit.wasm</w:t>
      </w:r>
      <w:r>
        <w:rPr>
          <w:rFonts w:ascii="Calibri" w:hAnsi="Calibri"/>
          <w:color w:val="334155"/>
          <w:sz w:val="20"/>
        </w:rPr>
        <w:t xml:space="preserve"> and </w:t>
      </w:r>
      <w:r>
        <w:rPr>
          <w:rFonts w:ascii="Consolas" w:hAnsi="Consolas"/>
          <w:color w:val="E11D48"/>
          <w:sz w:val="19"/>
          <w:shd w:fill="F1F5F9"/>
        </w:rPr>
        <w:t>canvaskit.js</w:t>
      </w:r>
      <w:r>
        <w:rPr>
          <w:rFonts w:ascii="Calibri" w:hAnsi="Calibri"/>
          <w:color w:val="334155"/>
          <w:sz w:val="20"/>
        </w:rPr>
        <w:t xml:space="preserve"> binaries on the application CDN to eliminate third-party CDN lookup latencies and comply with strict intranet security regulations.</w:t>
      </w:r>
    </w:p>
    <w:p>
      <w:pPr>
        <w:spacing w:before="20" w:after="40" w:line="276" w:lineRule="auto"/>
        <w:ind w:left="288"/>
      </w:pPr>
      <w:r>
        <w:rPr>
          <w:color w:val="1A56DB"/>
          <w:sz w:val="18"/>
        </w:rPr>
        <w:t xml:space="preserve">▪  </w:t>
      </w:r>
      <w:r>
        <w:rPr>
          <w:rFonts w:ascii="Calibri" w:hAnsi="Calibri"/>
          <w:b/>
          <w:color w:val="334155"/>
          <w:sz w:val="20"/>
        </w:rPr>
        <w:t>Service Worker Caching Strategy:</w:t>
      </w:r>
      <w:r>
        <w:rPr>
          <w:rFonts w:ascii="Calibri" w:hAnsi="Calibri"/>
          <w:color w:val="334155"/>
          <w:sz w:val="20"/>
        </w:rPr>
        <w:t xml:space="preserve"> The application includes a cache-busting registration script in </w:t>
      </w:r>
      <w:r>
        <w:rPr>
          <w:rFonts w:ascii="Consolas" w:hAnsi="Consolas"/>
          <w:color w:val="E11D48"/>
          <w:sz w:val="19"/>
          <w:shd w:fill="F1F5F9"/>
        </w:rPr>
        <w:t>web/index.html</w:t>
      </w:r>
      <w:r>
        <w:rPr>
          <w:rFonts w:ascii="Calibri" w:hAnsi="Calibri"/>
          <w:color w:val="334155"/>
          <w:sz w:val="20"/>
        </w:rPr>
        <w:t xml:space="preserve"> ensuring that when newer releases are deployed, obsolete service workers and assets are automatically evicted from browser cache.</w:t>
      </w:r>
    </w:p>
    <w:p>
      <w:pPr>
        <w:keepNext/>
        <w:spacing w:before="200" w:after="60"/>
      </w:pPr>
      <w:r>
        <w:rPr>
          <w:rFonts w:ascii="Calibri" w:hAnsi="Calibri"/>
          <w:b/>
          <w:color w:val="1A56DB"/>
          <w:sz w:val="25"/>
        </w:rPr>
        <w:t>5.2 Enterprise Web Security Architecture</w:t>
      </w:r>
    </w:p>
    <w:p>
      <w:pPr>
        <w:spacing w:before="40" w:after="80" w:line="276" w:lineRule="auto"/>
      </w:pPr>
      <w:r>
        <w:rPr>
          <w:rFonts w:ascii="Calibri" w:hAnsi="Calibri"/>
          <w:color w:val="334155"/>
          <w:sz w:val="21"/>
        </w:rPr>
        <w:t>To deploy UniProcure securely into production, the following frontend security configurations must be applied at the edge server / CDN layer:</w:t>
      </w:r>
    </w:p>
    <w:p>
      <w:pPr>
        <w:keepNext/>
        <w:spacing w:before="160" w:after="40"/>
      </w:pPr>
      <w:r>
        <w:rPr>
          <w:rFonts w:ascii="Calibri" w:hAnsi="Calibri"/>
          <w:b/>
          <w:color w:val="0F172A"/>
          <w:sz w:val="22"/>
        </w:rPr>
        <w:t>A. Content Security Policy (CSP)</w:t>
      </w:r>
    </w:p>
    <w:p>
      <w:pPr>
        <w:spacing w:before="40" w:after="80" w:line="276" w:lineRule="auto"/>
      </w:pPr>
      <w:r>
        <w:rPr>
          <w:rFonts w:ascii="Calibri" w:hAnsi="Calibri"/>
          <w:color w:val="334155"/>
          <w:sz w:val="21"/>
        </w:rPr>
        <w:t>A rigid CSP header must be configured on the host server (e.g. Vercel, Nginx, Cloudflare) to prevent Cross-Site Scripting (XSS) and arbitrary code injection:</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top w:val="single" w:sz="4" w:space="0" w:color="E2E8F0"/>
              <w:left w:val="single" w:sz="18" w:space="0" w:color="1A56DB"/>
              <w:bottom w:val="single" w:sz="4" w:space="0" w:color="E2E8F0"/>
              <w:right w:val="single" w:sz="4" w:space="0" w:color="E2E8F0"/>
            </w:tcBorders>
          </w:tcPr>
          <w:p>
            <w:pPr>
              <w:spacing w:before="40" w:after="40" w:line="276" w:lineRule="auto"/>
            </w:pPr>
            <w:r>
              <w:rPr>
                <w:rFonts w:ascii="Consolas" w:hAnsi="Consolas"/>
                <w:color w:val="1E293B"/>
                <w:sz w:val="17"/>
              </w:rPr>
              <w:t xml:space="preserve">Content-Security-Policy: default-src 'self'; </w:t>
              <w:br/>
              <w:t xml:space="preserve">  script-src 'self' 'wasm-unsafe-eval' https://fonts.googleapis.com; </w:t>
              <w:br/>
              <w:t xml:space="preserve">  style-src 'self' 'unsafe-inline' https://fonts.googleapis.com; </w:t>
              <w:br/>
              <w:t xml:space="preserve">  font-src 'self' https://fonts.gstatic.com; </w:t>
              <w:br/>
              <w:t xml:space="preserve">  img-src 'self' data: blob: https:; </w:t>
              <w:br/>
              <w:t xml:space="preserve">  connect-src 'self' http://localhost:8000 https://api.uniprocure.edu; </w:t>
              <w:br/>
              <w:t xml:space="preserve">  object-src 'none'; </w:t>
              <w:br/>
              <w:t xml:space="preserve">  frame-ancestors 'none'; </w:t>
              <w:br/>
              <w:t xml:space="preserve">  base-uri 'self'; </w:t>
              <w:br/>
              <w:t xml:space="preserve">  form-action 'self';</w:t>
            </w:r>
          </w:p>
        </w:tc>
      </w:tr>
    </w:tbl>
    <w:p>
      <w:pPr>
        <w:spacing w:before="0" w:after="80"/>
      </w:pPr>
    </w:p>
    <w:p>
      <w:pPr>
        <w:keepNext/>
        <w:spacing w:before="160" w:after="40"/>
      </w:pPr>
      <w:r>
        <w:rPr>
          <w:rFonts w:ascii="Calibri" w:hAnsi="Calibri"/>
          <w:b/>
          <w:color w:val="0F172A"/>
          <w:sz w:val="22"/>
        </w:rPr>
        <w:t>B. Additional Security Headers</w:t>
      </w:r>
    </w:p>
    <w:p>
      <w:pPr>
        <w:spacing w:before="20" w:after="40" w:line="276" w:lineRule="auto"/>
        <w:ind w:left="288"/>
      </w:pPr>
      <w:r>
        <w:rPr>
          <w:color w:val="1A56DB"/>
          <w:sz w:val="18"/>
        </w:rPr>
        <w:t xml:space="preserve">▪  </w:t>
      </w:r>
      <w:r>
        <w:rPr>
          <w:rFonts w:ascii="Calibri" w:hAnsi="Calibri"/>
          <w:b/>
          <w:color w:val="334155"/>
          <w:sz w:val="20"/>
        </w:rPr>
        <w:t>HSTS (HTTP Strict Transport Security):</w:t>
      </w:r>
      <w:r>
        <w:rPr>
          <w:rFonts w:ascii="Calibri" w:hAnsi="Calibri"/>
          <w:color w:val="334155"/>
          <w:sz w:val="20"/>
        </w:rPr>
        <w:t xml:space="preserve"> </w:t>
      </w:r>
      <w:r>
        <w:rPr>
          <w:rFonts w:ascii="Consolas" w:hAnsi="Consolas"/>
          <w:color w:val="E11D48"/>
          <w:sz w:val="19"/>
          <w:shd w:fill="F1F5F9"/>
        </w:rPr>
        <w:t>Strict-Transport-Security: max-age=31536000; includeSubDomains; preload</w:t>
      </w:r>
      <w:r>
        <w:rPr>
          <w:rFonts w:ascii="Calibri" w:hAnsi="Calibri"/>
          <w:color w:val="334155"/>
          <w:sz w:val="20"/>
        </w:rPr>
        <w:t xml:space="preserve"> forces encrypted TLS communication.</w:t>
      </w:r>
    </w:p>
    <w:p>
      <w:pPr>
        <w:spacing w:before="20" w:after="40" w:line="276" w:lineRule="auto"/>
        <w:ind w:left="288"/>
      </w:pPr>
      <w:r>
        <w:rPr>
          <w:color w:val="1A56DB"/>
          <w:sz w:val="18"/>
        </w:rPr>
        <w:t xml:space="preserve">▪  </w:t>
      </w:r>
      <w:r>
        <w:rPr>
          <w:rFonts w:ascii="Calibri" w:hAnsi="Calibri"/>
          <w:b/>
          <w:color w:val="334155"/>
          <w:sz w:val="20"/>
        </w:rPr>
        <w:t>X-Content-Type-Options:</w:t>
      </w:r>
      <w:r>
        <w:rPr>
          <w:rFonts w:ascii="Calibri" w:hAnsi="Calibri"/>
          <w:color w:val="334155"/>
          <w:sz w:val="20"/>
        </w:rPr>
        <w:t xml:space="preserve"> </w:t>
      </w:r>
      <w:r>
        <w:rPr>
          <w:rFonts w:ascii="Consolas" w:hAnsi="Consolas"/>
          <w:color w:val="E11D48"/>
          <w:sz w:val="19"/>
          <w:shd w:fill="F1F5F9"/>
        </w:rPr>
        <w:t>nosniff</w:t>
      </w:r>
      <w:r>
        <w:rPr>
          <w:rFonts w:ascii="Calibri" w:hAnsi="Calibri"/>
          <w:color w:val="334155"/>
          <w:sz w:val="20"/>
        </w:rPr>
        <w:t xml:space="preserve"> blocks MIME-type sniffing.</w:t>
      </w:r>
    </w:p>
    <w:p>
      <w:pPr>
        <w:spacing w:before="20" w:after="40" w:line="276" w:lineRule="auto"/>
        <w:ind w:left="288"/>
      </w:pPr>
      <w:r>
        <w:rPr>
          <w:color w:val="1A56DB"/>
          <w:sz w:val="18"/>
        </w:rPr>
        <w:t xml:space="preserve">▪  </w:t>
      </w:r>
      <w:r>
        <w:rPr>
          <w:rFonts w:ascii="Calibri" w:hAnsi="Calibri"/>
          <w:b/>
          <w:color w:val="334155"/>
          <w:sz w:val="20"/>
        </w:rPr>
        <w:t>X-Frame-Options:</w:t>
      </w:r>
      <w:r>
        <w:rPr>
          <w:rFonts w:ascii="Calibri" w:hAnsi="Calibri"/>
          <w:color w:val="334155"/>
          <w:sz w:val="20"/>
        </w:rPr>
        <w:t xml:space="preserve"> </w:t>
      </w:r>
      <w:r>
        <w:rPr>
          <w:rFonts w:ascii="Consolas" w:hAnsi="Consolas"/>
          <w:color w:val="E11D48"/>
          <w:sz w:val="19"/>
          <w:shd w:fill="F1F5F9"/>
        </w:rPr>
        <w:t>DENY</w:t>
      </w:r>
      <w:r>
        <w:rPr>
          <w:rFonts w:ascii="Calibri" w:hAnsi="Calibri"/>
          <w:color w:val="334155"/>
          <w:sz w:val="20"/>
        </w:rPr>
        <w:t xml:space="preserve"> protects against clickjacking attacks.</w:t>
      </w:r>
    </w:p>
    <w:p>
      <w:pPr>
        <w:spacing w:before="20" w:after="40" w:line="276" w:lineRule="auto"/>
        <w:ind w:left="288"/>
      </w:pPr>
      <w:r>
        <w:rPr>
          <w:color w:val="1A56DB"/>
          <w:sz w:val="18"/>
        </w:rPr>
        <w:t xml:space="preserve">▪  </w:t>
      </w:r>
      <w:r>
        <w:rPr>
          <w:rFonts w:ascii="Calibri" w:hAnsi="Calibri"/>
          <w:b/>
          <w:color w:val="334155"/>
          <w:sz w:val="20"/>
        </w:rPr>
        <w:t>Referrer-Policy:</w:t>
      </w:r>
      <w:r>
        <w:rPr>
          <w:rFonts w:ascii="Calibri" w:hAnsi="Calibri"/>
          <w:color w:val="334155"/>
          <w:sz w:val="20"/>
        </w:rPr>
        <w:t xml:space="preserve"> </w:t>
      </w:r>
      <w:r>
        <w:rPr>
          <w:rFonts w:ascii="Consolas" w:hAnsi="Consolas"/>
          <w:color w:val="E11D48"/>
          <w:sz w:val="19"/>
          <w:shd w:fill="F1F5F9"/>
        </w:rPr>
        <w:t>strict-origin-when-cross-origin</w:t>
      </w:r>
      <w:r>
        <w:rPr>
          <w:rFonts w:ascii="Calibri" w:hAnsi="Calibri"/>
          <w:color w:val="334155"/>
          <w:sz w:val="20"/>
        </w:rPr>
        <w:t xml:space="preserve"> shields private query parameters from leaking to external referrers.</w:t>
      </w:r>
    </w:p>
    <w:p>
      <w:pPr>
        <w:keepNext/>
        <w:spacing w:before="160" w:after="40"/>
      </w:pPr>
      <w:r>
        <w:rPr>
          <w:rFonts w:ascii="Calibri" w:hAnsi="Calibri"/>
          <w:b/>
          <w:color w:val="0F172A"/>
          <w:sz w:val="22"/>
        </w:rPr>
        <w:t>C. Client-Side Authentication &amp; Session Hardening</w:t>
      </w:r>
    </w:p>
    <w:p>
      <w:pPr>
        <w:spacing w:before="20" w:after="40" w:line="276" w:lineRule="auto"/>
        <w:ind w:left="288"/>
      </w:pPr>
      <w:r>
        <w:rPr>
          <w:color w:val="1A56DB"/>
          <w:sz w:val="18"/>
        </w:rPr>
        <w:t xml:space="preserve">▪  </w:t>
      </w:r>
      <w:r>
        <w:rPr>
          <w:rFonts w:ascii="Calibri" w:hAnsi="Calibri"/>
          <w:b/>
          <w:color w:val="334155"/>
          <w:sz w:val="20"/>
        </w:rPr>
        <w:t>Storage Protection:</w:t>
      </w:r>
      <w:r>
        <w:rPr>
          <w:rFonts w:ascii="Calibri" w:hAnsi="Calibri"/>
          <w:color w:val="334155"/>
          <w:sz w:val="20"/>
        </w:rPr>
        <w:t xml:space="preserve"> Access tokens are managed via </w:t>
      </w:r>
      <w:r>
        <w:rPr>
          <w:rFonts w:ascii="Consolas" w:hAnsi="Consolas"/>
          <w:color w:val="E11D48"/>
          <w:sz w:val="19"/>
          <w:shd w:fill="F1F5F9"/>
        </w:rPr>
        <w:t>StorageService</w:t>
      </w:r>
      <w:r>
        <w:rPr>
          <w:rFonts w:ascii="Calibri" w:hAnsi="Calibri"/>
          <w:color w:val="334155"/>
          <w:sz w:val="20"/>
        </w:rPr>
        <w:t xml:space="preserve"> using abstracted keys. In production web mode, tokens should never be stored in plaintext </w:t>
      </w:r>
      <w:r>
        <w:rPr>
          <w:rFonts w:ascii="Consolas" w:hAnsi="Consolas"/>
          <w:color w:val="E11D48"/>
          <w:sz w:val="19"/>
          <w:shd w:fill="F1F5F9"/>
        </w:rPr>
        <w:t>window.localStorage</w:t>
      </w:r>
      <w:r>
        <w:rPr>
          <w:rFonts w:ascii="Calibri" w:hAnsi="Calibri"/>
          <w:color w:val="334155"/>
          <w:sz w:val="20"/>
        </w:rPr>
        <w:t xml:space="preserve"> if vulnerable to third-party scripts. The recommended architecture pairs short-lived in-memory JWTs with HTTP-Only, Secure, SameSite=Strict cookies for refresh operations.</w:t>
      </w:r>
    </w:p>
    <w:p>
      <w:pPr>
        <w:spacing w:before="20" w:after="40" w:line="276" w:lineRule="auto"/>
        <w:ind w:left="288"/>
      </w:pPr>
      <w:r>
        <w:rPr>
          <w:color w:val="1A56DB"/>
          <w:sz w:val="18"/>
        </w:rPr>
        <w:t xml:space="preserve">▪  </w:t>
      </w:r>
      <w:r>
        <w:rPr>
          <w:rFonts w:ascii="Calibri" w:hAnsi="Calibri"/>
          <w:b/>
          <w:color w:val="334155"/>
          <w:sz w:val="20"/>
        </w:rPr>
        <w:t>Client-Side Permission Guards:</w:t>
      </w:r>
      <w:r>
        <w:rPr>
          <w:rFonts w:ascii="Calibri" w:hAnsi="Calibri"/>
          <w:color w:val="334155"/>
          <w:sz w:val="20"/>
        </w:rPr>
        <w:t xml:space="preserve"> </w:t>
      </w:r>
      <w:r>
        <w:rPr>
          <w:rFonts w:ascii="Consolas" w:hAnsi="Consolas"/>
          <w:color w:val="E11D48"/>
          <w:sz w:val="19"/>
          <w:shd w:fill="F1F5F9"/>
        </w:rPr>
        <w:t>AuthGuard</w:t>
      </w:r>
      <w:r>
        <w:rPr>
          <w:rFonts w:ascii="Calibri" w:hAnsi="Calibri"/>
          <w:color w:val="334155"/>
          <w:sz w:val="20"/>
        </w:rPr>
        <w:t xml:space="preserve"> and </w:t>
      </w:r>
      <w:r>
        <w:rPr>
          <w:rFonts w:ascii="Consolas" w:hAnsi="Consolas"/>
          <w:color w:val="E11D48"/>
          <w:sz w:val="19"/>
          <w:shd w:fill="F1F5F9"/>
        </w:rPr>
        <w:t>PermissionService.canAccess()</w:t>
      </w:r>
      <w:r>
        <w:rPr>
          <w:rFonts w:ascii="Calibri" w:hAnsi="Calibri"/>
          <w:color w:val="334155"/>
          <w:sz w:val="20"/>
        </w:rPr>
        <w:t xml:space="preserve"> evaluate role tokens prior to route transitions. Any unauthorized deep link (e.g., a vendor navigating directly to </w:t>
      </w:r>
      <w:r>
        <w:rPr>
          <w:rFonts w:ascii="Consolas" w:hAnsi="Consolas"/>
          <w:color w:val="E11D48"/>
          <w:sz w:val="19"/>
          <w:shd w:fill="F1F5F9"/>
        </w:rPr>
        <w:t>/admin/workflow-settings</w:t>
      </w:r>
      <w:r>
        <w:rPr>
          <w:rFonts w:ascii="Calibri" w:hAnsi="Calibri"/>
          <w:color w:val="334155"/>
          <w:sz w:val="20"/>
        </w:rPr>
        <w:t>) is immediately intercepted and routed to safe fallbacks.</w:t>
      </w:r>
    </w:p>
    <w:p>
      <w:pPr>
        <w:spacing w:before="20" w:after="40" w:line="276" w:lineRule="auto"/>
        <w:ind w:left="288"/>
      </w:pPr>
      <w:r>
        <w:rPr>
          <w:color w:val="1A56DB"/>
          <w:sz w:val="18"/>
        </w:rPr>
        <w:t xml:space="preserve">▪  </w:t>
      </w:r>
      <w:r>
        <w:rPr>
          <w:rFonts w:ascii="Calibri" w:hAnsi="Calibri"/>
          <w:b/>
          <w:color w:val="334155"/>
          <w:sz w:val="20"/>
        </w:rPr>
        <w:t>Automatic Session Eviction:</w:t>
      </w:r>
      <w:r>
        <w:rPr>
          <w:rFonts w:ascii="Calibri" w:hAnsi="Calibri"/>
          <w:color w:val="334155"/>
          <w:sz w:val="20"/>
        </w:rPr>
        <w:t xml:space="preserve"> Inactivity timeouts automatically invoke </w:t>
      </w:r>
      <w:r>
        <w:rPr>
          <w:rFonts w:ascii="Consolas" w:hAnsi="Consolas"/>
          <w:color w:val="E11D48"/>
          <w:sz w:val="19"/>
          <w:shd w:fill="F1F5F9"/>
        </w:rPr>
        <w:t>logout()</w:t>
      </w:r>
      <w:r>
        <w:rPr>
          <w:rFonts w:ascii="Calibri" w:hAnsi="Calibri"/>
          <w:color w:val="334155"/>
          <w:sz w:val="20"/>
        </w:rPr>
        <w:t xml:space="preserve">, flushing cached user profiles and redirecting to </w:t>
      </w:r>
      <w:r>
        <w:rPr>
          <w:rFonts w:ascii="Consolas" w:hAnsi="Consolas"/>
          <w:color w:val="E11D48"/>
          <w:sz w:val="19"/>
          <w:shd w:fill="F1F5F9"/>
        </w:rPr>
        <w:t>/login</w:t>
      </w:r>
      <w:r>
        <w:rPr>
          <w:rFonts w:ascii="Calibri" w:hAnsi="Calibri"/>
          <w:color w:val="334155"/>
          <w:sz w:val="20"/>
        </w:rPr>
        <w:t>.</w:t>
      </w:r>
    </w:p>
    <w:p>
      <w:pPr>
        <w:keepNext/>
        <w:spacing w:before="160" w:after="40"/>
      </w:pPr>
      <w:r>
        <w:rPr>
          <w:rFonts w:ascii="Calibri" w:hAnsi="Calibri"/>
          <w:b/>
          <w:color w:val="0F172A"/>
          <w:sz w:val="22"/>
        </w:rPr>
        <w:t>D. Input Sanitization &amp; Payload Verification</w:t>
      </w:r>
    </w:p>
    <w:p>
      <w:pPr>
        <w:spacing w:before="20" w:after="40" w:line="276" w:lineRule="auto"/>
        <w:ind w:left="288"/>
      </w:pPr>
      <w:r>
        <w:rPr>
          <w:color w:val="1A56DB"/>
          <w:sz w:val="18"/>
        </w:rPr>
        <w:t xml:space="preserve">▪  </w:t>
      </w:r>
      <w:r>
        <w:rPr>
          <w:rFonts w:ascii="Calibri" w:hAnsi="Calibri"/>
          <w:b/>
          <w:color w:val="334155"/>
          <w:sz w:val="20"/>
        </w:rPr>
        <w:t>Strict Client Form Validators:</w:t>
      </w:r>
      <w:r>
        <w:rPr>
          <w:rFonts w:ascii="Calibri" w:hAnsi="Calibri"/>
          <w:color w:val="334155"/>
          <w:sz w:val="20"/>
        </w:rPr>
        <w:t xml:space="preserve"> All inputs (quotations, delivery days, TIN, contact details) pass through regex-based validators (</w:t>
      </w:r>
      <w:r>
        <w:rPr>
          <w:rFonts w:ascii="Consolas" w:hAnsi="Consolas"/>
          <w:color w:val="E11D48"/>
          <w:sz w:val="19"/>
          <w:shd w:fill="F1F5F9"/>
        </w:rPr>
        <w:t>lib/core/utils/validators.dart</w:t>
      </w:r>
      <w:r>
        <w:rPr>
          <w:rFonts w:ascii="Calibri" w:hAnsi="Calibri"/>
          <w:color w:val="334155"/>
          <w:sz w:val="20"/>
        </w:rPr>
        <w:t>) before submission.</w:t>
      </w:r>
    </w:p>
    <w:p>
      <w:pPr>
        <w:spacing w:before="20" w:after="40" w:line="276" w:lineRule="auto"/>
        <w:ind w:left="288"/>
      </w:pPr>
      <w:r>
        <w:rPr>
          <w:color w:val="1A56DB"/>
          <w:sz w:val="18"/>
        </w:rPr>
        <w:t xml:space="preserve">▪  </w:t>
      </w:r>
      <w:r>
        <w:rPr>
          <w:rFonts w:ascii="Calibri" w:hAnsi="Calibri"/>
          <w:b/>
          <w:color w:val="334155"/>
          <w:sz w:val="20"/>
        </w:rPr>
        <w:t>File Upload Defense:</w:t>
      </w:r>
      <w:r>
        <w:rPr>
          <w:rFonts w:ascii="Calibri" w:hAnsi="Calibri"/>
          <w:color w:val="334155"/>
          <w:sz w:val="20"/>
        </w:rPr>
        <w:t xml:space="preserve"> Document uploads are capped at 5 MB (</w:t>
      </w:r>
      <w:r>
        <w:rPr>
          <w:rFonts w:ascii="Consolas" w:hAnsi="Consolas"/>
          <w:color w:val="E11D48"/>
          <w:sz w:val="19"/>
          <w:shd w:fill="F1F5F9"/>
        </w:rPr>
        <w:t>AppConstants.maxUploadSizeBytes</w:t>
      </w:r>
      <w:r>
        <w:rPr>
          <w:rFonts w:ascii="Calibri" w:hAnsi="Calibri"/>
          <w:color w:val="334155"/>
          <w:sz w:val="20"/>
        </w:rPr>
        <w:t>), with strict extension whitelisting (</w:t>
      </w:r>
      <w:r>
        <w:rPr>
          <w:rFonts w:ascii="Consolas" w:hAnsi="Consolas"/>
          <w:color w:val="E11D48"/>
          <w:sz w:val="19"/>
          <w:shd w:fill="F1F5F9"/>
        </w:rPr>
        <w:t>['pdf', 'jpg', 'jpeg', 'png']</w:t>
      </w:r>
      <w:r>
        <w:rPr>
          <w:rFonts w:ascii="Calibri" w:hAnsi="Calibri"/>
          <w:color w:val="334155"/>
          <w:sz w:val="20"/>
        </w:rPr>
        <w:t>) and binary MIME sniffing before dispatch to API endpoints.</w:t>
      </w:r>
    </w:p>
    <w:p>
      <w:pPr>
        <w:spacing w:before="160" w:after="160"/>
        <w:pBdr>
          <w:bottom w:val="single" w:sz="6" w:space="1" w:color="E2E8F0"/>
        </w:pBdr>
      </w:pPr>
    </w:p>
    <w:p>
      <w:pPr>
        <w:keepNext/>
        <w:spacing w:before="280" w:after="80"/>
      </w:pPr>
      <w:r>
        <w:rPr>
          <w:rFonts w:ascii="Calibri" w:hAnsi="Calibri"/>
          <w:b/>
          <w:color w:val="0F172A"/>
          <w:sz w:val="30"/>
        </w:rPr>
        <w:t>6. Strategic Product Roadmap (Future Enhancements)</w:t>
      </w:r>
    </w:p>
    <w:p>
      <w:pPr>
        <w:spacing w:before="40" w:after="80" w:line="276" w:lineRule="auto"/>
      </w:pPr>
      <w:r>
        <w:rPr>
          <w:rFonts w:ascii="Calibri" w:hAnsi="Calibri"/>
          <w:color w:val="334155"/>
          <w:sz w:val="21"/>
        </w:rPr>
        <w:t>To expand commercial scope and close institutional contracts, the following high-value enhancements represent the strategic roadmap for subsequent development phases:</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top w:val="single" w:sz="4" w:space="0" w:color="E2E8F0"/>
              <w:left w:val="single" w:sz="18" w:space="0" w:color="1A56DB"/>
              <w:bottom w:val="single" w:sz="4" w:space="0" w:color="E2E8F0"/>
              <w:right w:val="single" w:sz="4" w:space="0" w:color="E2E8F0"/>
            </w:tcBorders>
          </w:tcPr>
          <w:p>
            <w:pPr>
              <w:spacing w:before="40" w:after="40" w:line="276" w:lineRule="auto"/>
            </w:pPr>
            <w:r>
              <w:rPr>
                <w:rFonts w:ascii="Consolas" w:hAnsi="Consolas"/>
                <w:color w:val="1E293B"/>
                <w:sz w:val="17"/>
              </w:rPr>
              <w:t>[ PHASE 1: COMPLIANCE ] ──&gt; [ PHASE 2: AUTOMATION ] ──&gt; [ PHASE 3: SCALE ]</w:t>
              <w:br/>
              <w:t>* PKI Digital Signatures     * Real-time WebSockets      * Multi-Campus Federation</w:t>
              <w:br/>
              <w:t>* Automated Tax Withholding  * Native PDF Generation    * Anti-Collusion Analytics</w:t>
            </w:r>
          </w:p>
        </w:tc>
      </w:tr>
    </w:tbl>
    <w:p>
      <w:pPr>
        <w:spacing w:before="0" w:after="80"/>
      </w:pPr>
    </w:p>
    <w:p>
      <w:pPr>
        <w:keepNext/>
        <w:spacing w:before="200" w:after="60"/>
      </w:pPr>
      <w:r>
        <w:rPr>
          <w:rFonts w:ascii="Calibri" w:hAnsi="Calibri"/>
          <w:b/>
          <w:color w:val="1A56DB"/>
          <w:sz w:val="25"/>
        </w:rPr>
        <w:t>Phase 1: Cryptographic Digital Signatures &amp; e-Signatures</w:t>
      </w:r>
    </w:p>
    <w:p>
      <w:pPr>
        <w:spacing w:before="20" w:after="40" w:line="276" w:lineRule="auto"/>
        <w:ind w:left="288"/>
      </w:pPr>
      <w:r>
        <w:rPr>
          <w:color w:val="1A56DB"/>
          <w:sz w:val="18"/>
        </w:rPr>
        <w:t xml:space="preserve">▪  </w:t>
      </w:r>
      <w:r>
        <w:rPr>
          <w:rFonts w:ascii="Calibri" w:hAnsi="Calibri"/>
          <w:b/>
          <w:color w:val="334155"/>
          <w:sz w:val="20"/>
        </w:rPr>
        <w:t>Objective:</w:t>
      </w:r>
      <w:r>
        <w:rPr>
          <w:rFonts w:ascii="Calibri" w:hAnsi="Calibri"/>
          <w:color w:val="334155"/>
          <w:sz w:val="20"/>
        </w:rPr>
        <w:t xml:space="preserve"> Enable legally binding approvals under National Digital Signature Acts.</w:t>
      </w:r>
    </w:p>
    <w:p>
      <w:pPr>
        <w:spacing w:before="20" w:after="40" w:line="276" w:lineRule="auto"/>
        <w:ind w:left="288"/>
      </w:pPr>
      <w:r>
        <w:rPr>
          <w:color w:val="1A56DB"/>
          <w:sz w:val="18"/>
        </w:rPr>
        <w:t xml:space="preserve">▪  </w:t>
      </w:r>
      <w:r>
        <w:rPr>
          <w:rFonts w:ascii="Calibri" w:hAnsi="Calibri"/>
          <w:b/>
          <w:color w:val="334155"/>
          <w:sz w:val="20"/>
        </w:rPr>
        <w:t>Functionality:</w:t>
      </w:r>
      <w:r>
        <w:rPr>
          <w:rFonts w:ascii="Calibri" w:hAnsi="Calibri"/>
          <w:color w:val="334155"/>
          <w:sz w:val="20"/>
        </w:rPr>
        <w:t xml:space="preserve"> Approving Deans and Registrars can sign sanction orders and comparative statements using digital certificate signatures (PKI X.509) or enterprise e-sign integrations (DocuSign / Adobe Sign API).</w:t>
      </w:r>
    </w:p>
    <w:p>
      <w:pPr>
        <w:keepNext/>
        <w:spacing w:before="200" w:after="60"/>
      </w:pPr>
      <w:r>
        <w:rPr>
          <w:rFonts w:ascii="Calibri" w:hAnsi="Calibri"/>
          <w:b/>
          <w:color w:val="1A56DB"/>
          <w:sz w:val="25"/>
        </w:rPr>
        <w:t>Phase 2: Real-Time Event Streaming &amp; Push Notifications</w:t>
      </w:r>
    </w:p>
    <w:p>
      <w:pPr>
        <w:spacing w:before="20" w:after="40" w:line="276" w:lineRule="auto"/>
        <w:ind w:left="288"/>
      </w:pPr>
      <w:r>
        <w:rPr>
          <w:color w:val="1A56DB"/>
          <w:sz w:val="18"/>
        </w:rPr>
        <w:t xml:space="preserve">▪  </w:t>
      </w:r>
      <w:r>
        <w:rPr>
          <w:rFonts w:ascii="Calibri" w:hAnsi="Calibri"/>
          <w:b/>
          <w:color w:val="334155"/>
          <w:sz w:val="20"/>
        </w:rPr>
        <w:t>Objective:</w:t>
      </w:r>
      <w:r>
        <w:rPr>
          <w:rFonts w:ascii="Calibri" w:hAnsi="Calibri"/>
          <w:color w:val="334155"/>
          <w:sz w:val="20"/>
        </w:rPr>
        <w:t xml:space="preserve"> Eliminate manual polling for deadline countdowns and urgent reviews.</w:t>
      </w:r>
    </w:p>
    <w:p>
      <w:pPr>
        <w:spacing w:before="20" w:after="40" w:line="276" w:lineRule="auto"/>
        <w:ind w:left="288"/>
      </w:pPr>
      <w:r>
        <w:rPr>
          <w:color w:val="1A56DB"/>
          <w:sz w:val="18"/>
        </w:rPr>
        <w:t xml:space="preserve">▪  </w:t>
      </w:r>
      <w:r>
        <w:rPr>
          <w:rFonts w:ascii="Calibri" w:hAnsi="Calibri"/>
          <w:b/>
          <w:color w:val="334155"/>
          <w:sz w:val="20"/>
        </w:rPr>
        <w:t>Functionality:</w:t>
      </w:r>
      <w:r>
        <w:rPr>
          <w:rFonts w:ascii="Calibri" w:hAnsi="Calibri"/>
          <w:color w:val="334155"/>
          <w:sz w:val="20"/>
        </w:rPr>
        <w:t xml:space="preserve"> Integration of WebSockets / Server-Sent Events (SSE) to broadcast real-time tender closure alerts, outbid notifications to suppliers, and instant approval requests to academic executives.</w:t>
      </w:r>
    </w:p>
    <w:p>
      <w:pPr>
        <w:keepNext/>
        <w:spacing w:before="200" w:after="60"/>
      </w:pPr>
      <w:r>
        <w:rPr>
          <w:rFonts w:ascii="Calibri" w:hAnsi="Calibri"/>
          <w:b/>
          <w:color w:val="1A56DB"/>
          <w:sz w:val="25"/>
        </w:rPr>
        <w:t>Phase 3: In-Browser Client PDF &amp; Excel Reporting Engine</w:t>
      </w:r>
    </w:p>
    <w:p>
      <w:pPr>
        <w:spacing w:before="20" w:after="40" w:line="276" w:lineRule="auto"/>
        <w:ind w:left="288"/>
      </w:pPr>
      <w:r>
        <w:rPr>
          <w:color w:val="1A56DB"/>
          <w:sz w:val="18"/>
        </w:rPr>
        <w:t xml:space="preserve">▪  </w:t>
      </w:r>
      <w:r>
        <w:rPr>
          <w:rFonts w:ascii="Calibri" w:hAnsi="Calibri"/>
          <w:b/>
          <w:color w:val="334155"/>
          <w:sz w:val="20"/>
        </w:rPr>
        <w:t>Objective:</w:t>
      </w:r>
      <w:r>
        <w:rPr>
          <w:rFonts w:ascii="Calibri" w:hAnsi="Calibri"/>
          <w:color w:val="334155"/>
          <w:sz w:val="20"/>
        </w:rPr>
        <w:t xml:space="preserve"> Allow one-click generation of audit-compliant documentation without server latency.</w:t>
      </w:r>
    </w:p>
    <w:p>
      <w:pPr>
        <w:spacing w:before="20" w:after="40" w:line="276" w:lineRule="auto"/>
        <w:ind w:left="288"/>
      </w:pPr>
      <w:r>
        <w:rPr>
          <w:color w:val="1A56DB"/>
          <w:sz w:val="18"/>
        </w:rPr>
        <w:t xml:space="preserve">▪  </w:t>
      </w:r>
      <w:r>
        <w:rPr>
          <w:rFonts w:ascii="Calibri" w:hAnsi="Calibri"/>
          <w:b/>
          <w:color w:val="334155"/>
          <w:sz w:val="20"/>
        </w:rPr>
        <w:t>Functionality:</w:t>
      </w:r>
      <w:r>
        <w:rPr>
          <w:rFonts w:ascii="Calibri" w:hAnsi="Calibri"/>
          <w:color w:val="334155"/>
          <w:sz w:val="20"/>
        </w:rPr>
        <w:t xml:space="preserve"> Generating printable Purchase Orders, Comparative Evaluation Statements, and Treasury Disbursement Ledgers directly in the client using client-side PDF rendering.</w:t>
      </w:r>
    </w:p>
    <w:p>
      <w:pPr>
        <w:keepNext/>
        <w:spacing w:before="200" w:after="60"/>
      </w:pPr>
      <w:r>
        <w:rPr>
          <w:rFonts w:ascii="Calibri" w:hAnsi="Calibri"/>
          <w:b/>
          <w:color w:val="1A56DB"/>
          <w:sz w:val="25"/>
        </w:rPr>
        <w:t>Phase 4: Automated Tax (AIT), VAT &amp; Statutory Withholding Engine</w:t>
      </w:r>
    </w:p>
    <w:p>
      <w:pPr>
        <w:spacing w:before="20" w:after="40" w:line="276" w:lineRule="auto"/>
        <w:ind w:left="288"/>
      </w:pPr>
      <w:r>
        <w:rPr>
          <w:color w:val="1A56DB"/>
          <w:sz w:val="18"/>
        </w:rPr>
        <w:t xml:space="preserve">▪  </w:t>
      </w:r>
      <w:r>
        <w:rPr>
          <w:rFonts w:ascii="Calibri" w:hAnsi="Calibri"/>
          <w:b/>
          <w:color w:val="334155"/>
          <w:sz w:val="20"/>
        </w:rPr>
        <w:t>Objective:</w:t>
      </w:r>
      <w:r>
        <w:rPr>
          <w:rFonts w:ascii="Calibri" w:hAnsi="Calibri"/>
          <w:color w:val="334155"/>
          <w:sz w:val="20"/>
        </w:rPr>
        <w:t xml:space="preserve"> Prevent accounting errors in vendor claims.</w:t>
      </w:r>
    </w:p>
    <w:p>
      <w:pPr>
        <w:spacing w:before="20" w:after="40" w:line="276" w:lineRule="auto"/>
        <w:ind w:left="288"/>
      </w:pPr>
      <w:r>
        <w:rPr>
          <w:color w:val="1A56DB"/>
          <w:sz w:val="18"/>
        </w:rPr>
        <w:t xml:space="preserve">▪  </w:t>
      </w:r>
      <w:r>
        <w:rPr>
          <w:rFonts w:ascii="Calibri" w:hAnsi="Calibri"/>
          <w:b/>
          <w:color w:val="334155"/>
          <w:sz w:val="20"/>
        </w:rPr>
        <w:t>Functionality:</w:t>
      </w:r>
      <w:r>
        <w:rPr>
          <w:rFonts w:ascii="Calibri" w:hAnsi="Calibri"/>
          <w:color w:val="334155"/>
          <w:sz w:val="20"/>
        </w:rPr>
        <w:t xml:space="preserve"> Dynamic calculation engine that automatically deducts Advanced Income Tax (AIT) and Value Added Tax (VAT) at source according to statutory government revenue brackets prior to EFT clearing.</w:t>
      </w:r>
    </w:p>
    <w:p>
      <w:pPr>
        <w:keepNext/>
        <w:spacing w:before="200" w:after="60"/>
      </w:pPr>
      <w:r>
        <w:rPr>
          <w:rFonts w:ascii="Calibri" w:hAnsi="Calibri"/>
          <w:b/>
          <w:color w:val="1A56DB"/>
          <w:sz w:val="25"/>
        </w:rPr>
        <w:t>Phase 5: Supplier Performance Scorecard &amp; Predictive Risk Index</w:t>
      </w:r>
    </w:p>
    <w:p>
      <w:pPr>
        <w:spacing w:before="20" w:after="40" w:line="276" w:lineRule="auto"/>
        <w:ind w:left="288"/>
      </w:pPr>
      <w:r>
        <w:rPr>
          <w:color w:val="1A56DB"/>
          <w:sz w:val="18"/>
        </w:rPr>
        <w:t xml:space="preserve">▪  </w:t>
      </w:r>
      <w:r>
        <w:rPr>
          <w:rFonts w:ascii="Calibri" w:hAnsi="Calibri"/>
          <w:b/>
          <w:color w:val="334155"/>
          <w:sz w:val="20"/>
        </w:rPr>
        <w:t>Objective:</w:t>
      </w:r>
      <w:r>
        <w:rPr>
          <w:rFonts w:ascii="Calibri" w:hAnsi="Calibri"/>
          <w:color w:val="334155"/>
          <w:sz w:val="20"/>
        </w:rPr>
        <w:t xml:space="preserve"> Protect the university from delinquent contractors.</w:t>
      </w:r>
    </w:p>
    <w:p>
      <w:pPr>
        <w:spacing w:before="20" w:after="40" w:line="276" w:lineRule="auto"/>
        <w:ind w:left="288"/>
      </w:pPr>
      <w:r>
        <w:rPr>
          <w:color w:val="1A56DB"/>
          <w:sz w:val="18"/>
        </w:rPr>
        <w:t xml:space="preserve">▪  </w:t>
      </w:r>
      <w:r>
        <w:rPr>
          <w:rFonts w:ascii="Calibri" w:hAnsi="Calibri"/>
          <w:b/>
          <w:color w:val="334155"/>
          <w:sz w:val="20"/>
        </w:rPr>
        <w:t>Functionality:</w:t>
      </w:r>
      <w:r>
        <w:rPr>
          <w:rFonts w:ascii="Calibri" w:hAnsi="Calibri"/>
          <w:color w:val="334155"/>
          <w:sz w:val="20"/>
        </w:rPr>
        <w:t xml:space="preserve"> Algorithmic vendor rating that penalizes suppliers for delivery delays, defect ratios, and SLA violations, automatically factoring historical scores into future bid evaluations.</w:t>
      </w:r>
    </w:p>
    <w:p>
      <w:pPr>
        <w:keepNext/>
        <w:spacing w:before="200" w:after="60"/>
      </w:pPr>
      <w:r>
        <w:rPr>
          <w:rFonts w:ascii="Calibri" w:hAnsi="Calibri"/>
          <w:b/>
          <w:color w:val="1A56DB"/>
          <w:sz w:val="25"/>
        </w:rPr>
        <w:t>Phase 6: Multi-Campus Federation &amp; Departmental Sub-Ledgers</w:t>
      </w:r>
    </w:p>
    <w:p>
      <w:pPr>
        <w:spacing w:before="20" w:after="40" w:line="276" w:lineRule="auto"/>
        <w:ind w:left="288"/>
      </w:pPr>
      <w:r>
        <w:rPr>
          <w:color w:val="1A56DB"/>
          <w:sz w:val="18"/>
        </w:rPr>
        <w:t xml:space="preserve">▪  </w:t>
      </w:r>
      <w:r>
        <w:rPr>
          <w:rFonts w:ascii="Calibri" w:hAnsi="Calibri"/>
          <w:b/>
          <w:color w:val="334155"/>
          <w:sz w:val="20"/>
        </w:rPr>
        <w:t>Objective:</w:t>
      </w:r>
      <w:r>
        <w:rPr>
          <w:rFonts w:ascii="Calibri" w:hAnsi="Calibri"/>
          <w:color w:val="334155"/>
          <w:sz w:val="20"/>
        </w:rPr>
        <w:t xml:space="preserve"> Scale to university systems with distributed medical colleges, regional campuses, and autonomous institutes.</w:t>
      </w:r>
    </w:p>
    <w:p>
      <w:pPr>
        <w:spacing w:before="20" w:after="40" w:line="276" w:lineRule="auto"/>
        <w:ind w:left="288"/>
      </w:pPr>
      <w:r>
        <w:rPr>
          <w:color w:val="1A56DB"/>
          <w:sz w:val="18"/>
        </w:rPr>
        <w:t xml:space="preserve">▪  </w:t>
      </w:r>
      <w:r>
        <w:rPr>
          <w:rFonts w:ascii="Calibri" w:hAnsi="Calibri"/>
          <w:b/>
          <w:color w:val="334155"/>
          <w:sz w:val="20"/>
        </w:rPr>
        <w:t>Functionality:</w:t>
      </w:r>
      <w:r>
        <w:rPr>
          <w:rFonts w:ascii="Calibri" w:hAnsi="Calibri"/>
          <w:color w:val="334155"/>
          <w:sz w:val="20"/>
        </w:rPr>
        <w:t xml:space="preserve"> Multi-tenant organization selector allowing institutional switching under unified administration.</w:t>
      </w:r>
    </w:p>
    <w:p>
      <w:pPr>
        <w:spacing w:before="160" w:after="160"/>
        <w:pBdr>
          <w:bottom w:val="single" w:sz="6" w:space="1" w:color="E2E8F0"/>
        </w:pBdr>
      </w:pPr>
    </w:p>
    <w:p>
      <w:pPr>
        <w:keepNext/>
        <w:spacing w:before="280" w:after="80"/>
      </w:pPr>
      <w:r>
        <w:rPr>
          <w:rFonts w:ascii="Calibri" w:hAnsi="Calibri"/>
          <w:b/>
          <w:color w:val="0F172A"/>
          <w:sz w:val="30"/>
        </w:rPr>
        <w:t>7. Build, Deployment &amp; Verification Summary</w:t>
      </w:r>
    </w:p>
    <w:p>
      <w:pPr>
        <w:keepNext/>
        <w:spacing w:before="200" w:after="60"/>
      </w:pPr>
      <w:r>
        <w:rPr>
          <w:rFonts w:ascii="Calibri" w:hAnsi="Calibri"/>
          <w:b/>
          <w:color w:val="1A56DB"/>
          <w:sz w:val="25"/>
        </w:rPr>
        <w:t>7.1 Production Build Command</w:t>
      </w:r>
    </w:p>
    <w:p>
      <w:pPr>
        <w:spacing w:before="40" w:after="80" w:line="276" w:lineRule="auto"/>
      </w:pPr>
      <w:r>
        <w:rPr>
          <w:rFonts w:ascii="Calibri" w:hAnsi="Calibri"/>
          <w:color w:val="334155"/>
          <w:sz w:val="21"/>
        </w:rPr>
        <w:t>To produce the release-ready static web bundle for deployment:</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top w:val="single" w:sz="4" w:space="0" w:color="E2E8F0"/>
              <w:left w:val="single" w:sz="18" w:space="0" w:color="1A56DB"/>
              <w:bottom w:val="single" w:sz="4" w:space="0" w:color="E2E8F0"/>
              <w:right w:val="single" w:sz="4" w:space="0" w:color="E2E8F0"/>
            </w:tcBorders>
          </w:tcPr>
          <w:p>
            <w:pPr>
              <w:spacing w:before="40" w:after="40" w:line="276" w:lineRule="auto"/>
            </w:pPr>
            <w:r>
              <w:rPr>
                <w:rFonts w:ascii="Consolas" w:hAnsi="Consolas"/>
                <w:color w:val="1E293B"/>
                <w:sz w:val="17"/>
              </w:rPr>
              <w:t>flutter build web --release --no-wasm-dry-run --pwa-strategy=none</w:t>
            </w:r>
          </w:p>
        </w:tc>
      </w:tr>
    </w:tbl>
    <w:p>
      <w:pPr>
        <w:spacing w:before="0" w:after="80"/>
      </w:pPr>
    </w:p>
    <w:p>
      <w:pPr>
        <w:keepNext/>
        <w:spacing w:before="200" w:after="60"/>
      </w:pPr>
      <w:r>
        <w:rPr>
          <w:rFonts w:ascii="Calibri" w:hAnsi="Calibri"/>
          <w:b/>
          <w:color w:val="1A56DB"/>
          <w:sz w:val="25"/>
        </w:rPr>
        <w:t>7.2 Hosting Infrastructure</w:t>
      </w:r>
    </w:p>
    <w:p>
      <w:pPr>
        <w:spacing w:before="20" w:after="40" w:line="276" w:lineRule="auto"/>
        <w:ind w:left="288"/>
      </w:pPr>
      <w:r>
        <w:rPr>
          <w:color w:val="1A56DB"/>
          <w:sz w:val="18"/>
        </w:rPr>
        <w:t xml:space="preserve">▪  </w:t>
      </w:r>
      <w:r>
        <w:rPr>
          <w:rFonts w:ascii="Calibri" w:hAnsi="Calibri"/>
          <w:b/>
          <w:color w:val="334155"/>
          <w:sz w:val="20"/>
        </w:rPr>
        <w:t>Hosting Target:</w:t>
      </w:r>
      <w:r>
        <w:rPr>
          <w:rFonts w:ascii="Calibri" w:hAnsi="Calibri"/>
          <w:color w:val="334155"/>
          <w:sz w:val="20"/>
        </w:rPr>
        <w:t xml:space="preserve"> Vercel Global Edge Network / AWS CloudFront / Nginx Enterprise.</w:t>
      </w:r>
    </w:p>
    <w:p>
      <w:pPr>
        <w:spacing w:before="20" w:after="40" w:line="276" w:lineRule="auto"/>
        <w:ind w:left="288"/>
      </w:pPr>
      <w:r>
        <w:rPr>
          <w:color w:val="1A56DB"/>
          <w:sz w:val="18"/>
        </w:rPr>
        <w:t xml:space="preserve">▪  </w:t>
      </w:r>
      <w:r>
        <w:rPr>
          <w:rFonts w:ascii="Calibri" w:hAnsi="Calibri"/>
          <w:b/>
          <w:color w:val="334155"/>
          <w:sz w:val="20"/>
        </w:rPr>
        <w:t>Rewrites:</w:t>
      </w:r>
      <w:r>
        <w:rPr>
          <w:rFonts w:ascii="Calibri" w:hAnsi="Calibri"/>
          <w:color w:val="334155"/>
          <w:sz w:val="20"/>
        </w:rPr>
        <w:t xml:space="preserve"> Fully configured in </w:t>
      </w:r>
      <w:r>
        <w:rPr>
          <w:rFonts w:ascii="Consolas" w:hAnsi="Consolas"/>
          <w:color w:val="E11D48"/>
          <w:sz w:val="19"/>
          <w:shd w:fill="F1F5F9"/>
        </w:rPr>
        <w:t>vercel.json</w:t>
      </w:r>
      <w:r>
        <w:rPr>
          <w:rFonts w:ascii="Calibri" w:hAnsi="Calibri"/>
          <w:color w:val="334155"/>
          <w:sz w:val="20"/>
        </w:rPr>
        <w:t xml:space="preserve"> to route all virtual paths (</w:t>
      </w:r>
      <w:r>
        <w:rPr>
          <w:rFonts w:ascii="Consolas" w:hAnsi="Consolas"/>
          <w:color w:val="E11D48"/>
          <w:sz w:val="19"/>
          <w:shd w:fill="F1F5F9"/>
        </w:rPr>
        <w:t>/(.*)</w:t>
      </w:r>
      <w:r>
        <w:rPr>
          <w:rFonts w:ascii="Calibri" w:hAnsi="Calibri"/>
          <w:color w:val="334155"/>
          <w:sz w:val="20"/>
        </w:rPr>
        <w:t xml:space="preserve">) to </w:t>
      </w:r>
      <w:r>
        <w:rPr>
          <w:rFonts w:ascii="Consolas" w:hAnsi="Consolas"/>
          <w:color w:val="E11D48"/>
          <w:sz w:val="19"/>
          <w:shd w:fill="F1F5F9"/>
        </w:rPr>
        <w:t>/index.html</w:t>
      </w:r>
      <w:r>
        <w:rPr>
          <w:rFonts w:ascii="Calibri" w:hAnsi="Calibri"/>
          <w:color w:val="334155"/>
          <w:sz w:val="20"/>
        </w:rPr>
        <w:t xml:space="preserve"> for HTML5 browser history navigation.</w:t>
      </w:r>
    </w:p>
    <w:p>
      <w:pPr>
        <w:spacing w:before="160" w:after="160"/>
        <w:pBdr>
          <w:bottom w:val="single" w:sz="6" w:space="1" w:color="E2E8F0"/>
        </w:pBdr>
      </w:pPr>
    </w:p>
    <w:p>
      <w:pPr>
        <w:spacing w:before="40" w:after="80" w:line="276" w:lineRule="auto"/>
      </w:pPr>
      <w:r>
        <w:rPr>
          <w:rFonts w:ascii="Calibri" w:hAnsi="Calibri"/>
          <w:i/>
          <w:color w:val="334155"/>
          <w:sz w:val="21"/>
        </w:rPr>
        <w:t>Report prepared by the Engineering &amp; Product Architecture Team for Institutional Stakeholder Demonstration.</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UniProcure — Frontend System Specification | Confidential &amp; Institutional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