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Agencias Estatales de Financiamiento de Vivienda de EE. UU. — FY2025</w:t>
      </w:r>
      <w:r>
        <w:br/>
      </w:r>
      <w:r>
        <w:rPr>
          <w:b/>
          <w:i w:val="0"/>
        </w:rPr>
        <w:t>Análisis del ACFR y de los Estados Financieros</w:t>
      </w:r>
    </w:p>
    <w:p>
      <w:r>
        <w:rPr>
          <w:b w:val="0"/>
          <w:i/>
        </w:rPr>
        <w:t>Preparado: 7 de agosto de 2026 | Cobertura: 51 estados/territorios | Informes obtenidos: 43 presentaciones del FY2025</w:t>
      </w:r>
    </w:p>
    <w:p>
      <w:pPr>
        <w:pStyle w:val="Heading1"/>
      </w:pPr>
      <w:r>
        <w:rPr>
          <w:b w:val="0"/>
          <w:i w:val="0"/>
        </w:rPr>
        <w:t>I. Resumen ejecutivo</w:t>
      </w:r>
    </w:p>
    <w:p>
      <w:r>
        <w:rPr>
          <w:b w:val="0"/>
          <w:i w:val="0"/>
        </w:rPr>
        <w:t>El ejercicio fiscal 2025 (concluido el 30 de junio de 2025 para la mayoría de las agencias; algunas informan por año calendario) fue un período de gran relevancia para las Agencias Estatales de Financiamiento de Vivienda (HFA, por sus siglas en inglés). Las tasas de interés se relajaron, la competencia por los Créditos Fiscales para Vivienda de Bajos Ingresos (LIHTC) se intensificó, y los programas para compradores de vivienda primerizos siguieron expandiéndose. Este informe recopila y compara los ACFR y estados financieros auditados de acceso público correspondientes a las HFA de los 51 estados y el Distrito de Columbia. A la fecha de elaboración, se obtuvieron 43 informes del FY2025 (84 % de cobertura).</w:t>
      </w:r>
    </w:p>
    <w:p>
      <w:r>
        <w:rPr>
          <w:b w:val="0"/>
          <w:i w:val="0"/>
        </w:rPr>
        <w:t>Entre las 42 agencias con indicadores extraídos, el activo neto agregado asciende a aproximadamente 42,760 millones de dólares y el activo total agregado a aproximadamente 147,970 millones de dólares. Estas cifras agregadas solo son indicativas de la escala del sector y no son comparables con estados financieros consolidados, dadas las diferentes bases de presentación. Las HFA estatales funcionan principalmente como intermediarias financiadas mediante bonos: préstamos hipotecarios y de desarrollo del lado del activo, y bonos de vivienda del lado del pasivo. El índice de activo neto (activo neto dividido entre activo total) es un indicador útil del colchón financiero y la resiliencia de la agencia.</w:t>
      </w:r>
    </w:p>
    <w:p>
      <w:r>
        <w:rPr>
          <w:b w:val="0"/>
          <w:i w:val="0"/>
        </w:rPr>
        <w:t>El mayor incremento interanual del activo neto lo registró Luisiana (LHC), con un +31,9 %, que llevó su activo neto a 821,7 millones de dólares. Este tipo de incrementos suele coincidir con una mayor emisión de bonos, el crecimiento de la cartera o la recuperación del valor razonable, y debe interpretarse junto con indicadores de producción de vivienda (por ejemplo, unidades financiadas).</w:t>
      </w:r>
    </w:p>
    <w:p>
      <w:pPr>
        <w:pStyle w:val="Heading1"/>
      </w:pPr>
      <w:r>
        <w:rPr>
          <w:b w:val="0"/>
          <w:i w:val="0"/>
        </w:rPr>
        <w:t>II. Clasificaciones</w:t>
      </w:r>
    </w:p>
    <w:p>
      <w:pPr>
        <w:pStyle w:val="Heading2"/>
      </w:pPr>
      <w:r>
        <w:rPr>
          <w:b w:val="0"/>
          <w:i w:val="0"/>
        </w:rPr>
        <w:t>2.1 Los 10 primeros por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Activo neto FY2025</w:t>
            </w:r>
          </w:p>
        </w:tc>
        <w:tc>
          <w:tcPr>
            <w:tcW w:type="dxa" w:w="1440"/>
          </w:tcPr>
          <w:p>
            <w:r/>
            <w:r>
              <w:rPr>
                <w:b/>
              </w:rPr>
              <w:t>Activo total FY2025</w:t>
            </w:r>
          </w:p>
        </w:tc>
        <w:tc>
          <w:tcPr>
            <w:tcW w:type="dxa" w:w="1440"/>
          </w:tcPr>
          <w:p>
            <w:r/>
            <w:r>
              <w:rPr>
                <w:b/>
              </w:rPr>
              <w:t>Índice de activo neto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7</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8</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r>
        <w:tc>
          <w:tcPr>
            <w:tcW w:type="dxa" w:w="1440"/>
          </w:tcPr>
          <w:p>
            <w:r/>
            <w:r>
              <w:t>9</w:t>
            </w:r>
          </w:p>
        </w:tc>
        <w:tc>
          <w:tcPr>
            <w:tcW w:type="dxa" w:w="1440"/>
          </w:tcPr>
          <w:p>
            <w:r/>
            <w:r>
              <w:t>MI</w:t>
            </w:r>
          </w:p>
        </w:tc>
        <w:tc>
          <w:tcPr>
            <w:tcW w:type="dxa" w:w="1440"/>
          </w:tcPr>
          <w:p>
            <w:r/>
            <w:r>
              <w:t>MSHDA</w:t>
            </w:r>
          </w:p>
        </w:tc>
        <w:tc>
          <w:tcPr>
            <w:tcW w:type="dxa" w:w="1440"/>
          </w:tcPr>
          <w:p>
            <w:r/>
            <w:r>
              <w:t>$1,292.0M</w:t>
            </w:r>
          </w:p>
        </w:tc>
        <w:tc>
          <w:tcPr>
            <w:tcW w:type="dxa" w:w="1440"/>
          </w:tcPr>
          <w:p>
            <w:r/>
            <w:r>
              <w:t>$8,027.8M</w:t>
            </w:r>
          </w:p>
        </w:tc>
        <w:tc>
          <w:tcPr>
            <w:tcW w:type="dxa" w:w="1440"/>
          </w:tcPr>
          <w:p>
            <w:r/>
            <w:r>
              <w:t>+16.1%</w:t>
            </w:r>
          </w:p>
        </w:tc>
      </w:tr>
      <w:tr>
        <w:tc>
          <w:tcPr>
            <w:tcW w:type="dxa" w:w="1440"/>
          </w:tcPr>
          <w:p>
            <w:r/>
            <w:r>
              <w:t>10</w:t>
            </w:r>
          </w:p>
        </w:tc>
        <w:tc>
          <w:tcPr>
            <w:tcW w:type="dxa" w:w="1440"/>
          </w:tcPr>
          <w:p>
            <w:r/>
            <w:r>
              <w:t>WI</w:t>
            </w:r>
          </w:p>
        </w:tc>
        <w:tc>
          <w:tcPr>
            <w:tcW w:type="dxa" w:w="1440"/>
          </w:tcPr>
          <w:p>
            <w:r/>
            <w:r>
              <w:t>WHEDA</w:t>
            </w:r>
          </w:p>
        </w:tc>
        <w:tc>
          <w:tcPr>
            <w:tcW w:type="dxa" w:w="1440"/>
          </w:tcPr>
          <w:p>
            <w:r/>
            <w:r>
              <w:t>$1,134.1M</w:t>
            </w:r>
          </w:p>
        </w:tc>
        <w:tc>
          <w:tcPr>
            <w:tcW w:type="dxa" w:w="1440"/>
          </w:tcPr>
          <w:p>
            <w:r/>
            <w:r>
              <w:t>$4,467.4M</w:t>
            </w:r>
          </w:p>
        </w:tc>
        <w:tc>
          <w:tcPr>
            <w:tcW w:type="dxa" w:w="1440"/>
          </w:tcPr>
          <w:p>
            <w:r/>
            <w:r>
              <w:t>+25.4%</w:t>
            </w:r>
          </w:p>
        </w:tc>
      </w:tr>
    </w:tbl>
    <w:p/>
    <w:p>
      <w:r>
        <w:rPr>
          <w:b w:val="0"/>
          <w:i w:val="0"/>
        </w:rPr>
        <w:t>Florida, Virginia y California encabezan la clasificación por activo neto, seguidas de Hawái y Massachusetts. Las agencias más grandes suelen operar tanto programas de bonos de ingresos para vivienda multifamiliar como programas hipotecarios unifamiliares. El tamaño no es en sí mismo un indicador de desempeño, pero suele correlacionarse con un mejor acceso al mercado, menores costos marginales de financiamiento y mayor capacidad para financiar grandes operaciones de vivienda asequible cuando cambia la política federal.</w:t>
      </w:r>
    </w:p>
    <w:p>
      <w:pPr>
        <w:pStyle w:val="Heading2"/>
      </w:pPr>
      <w:r>
        <w:rPr>
          <w:b w:val="0"/>
          <w:i w:val="0"/>
        </w:rPr>
        <w:t>2.2 Los 10 primeros por crecimiento del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Variación del activo neto</w:t>
            </w:r>
          </w:p>
        </w:tc>
        <w:tc>
          <w:tcPr>
            <w:tcW w:type="dxa" w:w="1440"/>
          </w:tcPr>
          <w:p>
            <w:r/>
            <w:r>
              <w:rPr>
                <w:b/>
              </w:rPr>
              <w:t>Tasa de crecimiento</w:t>
            </w:r>
          </w:p>
        </w:tc>
        <w:tc>
          <w:tcPr>
            <w:tcW w:type="dxa" w:w="1440"/>
          </w:tcPr>
          <w:p>
            <w:r/>
            <w:r>
              <w:rPr>
                <w:b/>
              </w:rPr>
              <w:t>Activo neto FY2025</w:t>
            </w:r>
          </w:p>
        </w:tc>
      </w:tr>
      <w:tr>
        <w:tc>
          <w:tcPr>
            <w:tcW w:type="dxa" w:w="1440"/>
          </w:tcPr>
          <w:p>
            <w:r/>
            <w:r>
              <w:t>1</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2</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3</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4</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5</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6</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7</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8</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r>
        <w:tc>
          <w:tcPr>
            <w:tcW w:type="dxa" w:w="1440"/>
          </w:tcPr>
          <w:p>
            <w:r/>
            <w:r>
              <w:t>9</w:t>
            </w:r>
          </w:p>
        </w:tc>
        <w:tc>
          <w:tcPr>
            <w:tcW w:type="dxa" w:w="1440"/>
          </w:tcPr>
          <w:p>
            <w:r/>
            <w:r>
              <w:t>MA</w:t>
            </w:r>
          </w:p>
        </w:tc>
        <w:tc>
          <w:tcPr>
            <w:tcW w:type="dxa" w:w="1440"/>
          </w:tcPr>
          <w:p>
            <w:r/>
            <w:r>
              <w:t>MassHousing</w:t>
            </w:r>
          </w:p>
        </w:tc>
        <w:tc>
          <w:tcPr>
            <w:tcW w:type="dxa" w:w="1440"/>
          </w:tcPr>
          <w:p>
            <w:r/>
            <w:r>
              <w:t>$260.7M</w:t>
            </w:r>
          </w:p>
        </w:tc>
        <w:tc>
          <w:tcPr>
            <w:tcW w:type="dxa" w:w="1440"/>
          </w:tcPr>
          <w:p>
            <w:r/>
            <w:r>
              <w:t>+14.3%</w:t>
            </w:r>
          </w:p>
        </w:tc>
        <w:tc>
          <w:tcPr>
            <w:tcW w:type="dxa" w:w="1440"/>
          </w:tcPr>
          <w:p>
            <w:r/>
            <w:r>
              <w:t>$2,083.9M</w:t>
            </w:r>
          </w:p>
        </w:tc>
      </w:tr>
      <w:tr>
        <w:tc>
          <w:tcPr>
            <w:tcW w:type="dxa" w:w="1440"/>
          </w:tcPr>
          <w:p>
            <w:r/>
            <w:r>
              <w:t>10</w:t>
            </w:r>
          </w:p>
        </w:tc>
        <w:tc>
          <w:tcPr>
            <w:tcW w:type="dxa" w:w="1440"/>
          </w:tcPr>
          <w:p>
            <w:r/>
            <w:r>
              <w:t>NC</w:t>
            </w:r>
          </w:p>
        </w:tc>
        <w:tc>
          <w:tcPr>
            <w:tcW w:type="dxa" w:w="1440"/>
          </w:tcPr>
          <w:p>
            <w:r/>
            <w:r>
              <w:t>NCHFA</w:t>
            </w:r>
          </w:p>
        </w:tc>
        <w:tc>
          <w:tcPr>
            <w:tcW w:type="dxa" w:w="1440"/>
          </w:tcPr>
          <w:p>
            <w:r/>
            <w:r>
              <w:t>$122.6M</w:t>
            </w:r>
          </w:p>
        </w:tc>
        <w:tc>
          <w:tcPr>
            <w:tcW w:type="dxa" w:w="1440"/>
          </w:tcPr>
          <w:p>
            <w:r/>
            <w:r>
              <w:t>+14.3%</w:t>
            </w:r>
          </w:p>
        </w:tc>
        <w:tc>
          <w:tcPr>
            <w:tcW w:type="dxa" w:w="1440"/>
          </w:tcPr>
          <w:p>
            <w:r/>
            <w:r>
              <w:t>$979.8M</w:t>
            </w:r>
          </w:p>
        </w:tc>
      </w:tr>
    </w:tbl>
    <w:p/>
    <w:p>
      <w:r>
        <w:rPr>
          <w:b w:val="0"/>
          <w:i w:val="0"/>
        </w:rPr>
        <w:t>Luisiana registró el mayor crecimiento interanual del activo neto, mientras que Connecticut, Indiana, Ohio, Minnesota y Utah también reportaron incrementos de entre poco más del 15 % y mediados de los 20 %. Un crecimiento rápido suele reflejar un repunte en la emisión de bonos, liberaciones de reservas para pérdidas crediticias o ganancias de valor razonable, o mayores ingresos por comisiones y márgenes de los programas estatales para compradores de vivienda. Las ganancias impulsadas principalmente por cambios en el valor razonable, y no por resultados operativos, pueden resultar menos duraderas.</w:t>
      </w:r>
    </w:p>
    <w:p>
      <w:pPr>
        <w:pStyle w:val="Heading2"/>
      </w:pPr>
      <w:r>
        <w:rPr>
          <w:b w:val="0"/>
          <w:i w:val="0"/>
        </w:rPr>
        <w:t>2.3 Los 10 primeros por activo total</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N.º</w:t>
            </w:r>
          </w:p>
        </w:tc>
        <w:tc>
          <w:tcPr>
            <w:tcW w:type="dxa" w:w="1728"/>
          </w:tcPr>
          <w:p>
            <w:r/>
            <w:r>
              <w:rPr>
                <w:b/>
              </w:rPr>
              <w:t>Estado</w:t>
            </w:r>
          </w:p>
        </w:tc>
        <w:tc>
          <w:tcPr>
            <w:tcW w:type="dxa" w:w="1728"/>
          </w:tcPr>
          <w:p>
            <w:r/>
            <w:r>
              <w:rPr>
                <w:b/>
              </w:rPr>
              <w:t>Agencia</w:t>
            </w:r>
          </w:p>
        </w:tc>
        <w:tc>
          <w:tcPr>
            <w:tcW w:type="dxa" w:w="1728"/>
          </w:tcPr>
          <w:p>
            <w:r/>
            <w:r>
              <w:rPr>
                <w:b/>
              </w:rPr>
              <w:t>Activo total FY2025</w:t>
            </w:r>
          </w:p>
        </w:tc>
        <w:tc>
          <w:tcPr>
            <w:tcW w:type="dxa" w:w="1728"/>
          </w:tcPr>
          <w:p>
            <w:r/>
            <w:r>
              <w:rPr>
                <w:b/>
              </w:rPr>
              <w:t>Activo neto FY2025</w:t>
            </w:r>
          </w:p>
        </w:tc>
      </w:tr>
      <w:tr>
        <w:tc>
          <w:tcPr>
            <w:tcW w:type="dxa" w:w="1728"/>
          </w:tcPr>
          <w:p>
            <w:r/>
            <w:r>
              <w:t>1</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2</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3</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4</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5</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6</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7</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8</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r>
        <w:tc>
          <w:tcPr>
            <w:tcW w:type="dxa" w:w="1728"/>
          </w:tcPr>
          <w:p>
            <w:r/>
            <w:r>
              <w:t>9</w:t>
            </w:r>
          </w:p>
        </w:tc>
        <w:tc>
          <w:tcPr>
            <w:tcW w:type="dxa" w:w="1728"/>
          </w:tcPr>
          <w:p>
            <w:r/>
            <w:r>
              <w:t>IA</w:t>
            </w:r>
          </w:p>
        </w:tc>
        <w:tc>
          <w:tcPr>
            <w:tcW w:type="dxa" w:w="1728"/>
          </w:tcPr>
          <w:p>
            <w:r/>
            <w:r>
              <w:t>IFA</w:t>
            </w:r>
          </w:p>
        </w:tc>
        <w:tc>
          <w:tcPr>
            <w:tcW w:type="dxa" w:w="1728"/>
          </w:tcPr>
          <w:p>
            <w:r/>
            <w:r>
              <w:t>$6,173.2M</w:t>
            </w:r>
          </w:p>
        </w:tc>
        <w:tc>
          <w:tcPr>
            <w:tcW w:type="dxa" w:w="1728"/>
          </w:tcPr>
          <w:p>
            <w:r/>
            <w:r>
              <w:t>$1,664.6M</w:t>
            </w:r>
          </w:p>
        </w:tc>
      </w:tr>
      <w:tr>
        <w:tc>
          <w:tcPr>
            <w:tcW w:type="dxa" w:w="1728"/>
          </w:tcPr>
          <w:p>
            <w:r/>
            <w:r>
              <w:t>10</w:t>
            </w:r>
          </w:p>
        </w:tc>
        <w:tc>
          <w:tcPr>
            <w:tcW w:type="dxa" w:w="1728"/>
          </w:tcPr>
          <w:p>
            <w:r/>
            <w:r>
              <w:t>ID</w:t>
            </w:r>
          </w:p>
        </w:tc>
        <w:tc>
          <w:tcPr>
            <w:tcW w:type="dxa" w:w="1728"/>
          </w:tcPr>
          <w:p>
            <w:r/>
            <w:r>
              <w:t>IHFA</w:t>
            </w:r>
          </w:p>
        </w:tc>
        <w:tc>
          <w:tcPr>
            <w:tcW w:type="dxa" w:w="1728"/>
          </w:tcPr>
          <w:p>
            <w:r/>
            <w:r>
              <w:t>$6,026.2M</w:t>
            </w:r>
          </w:p>
        </w:tc>
        <w:tc>
          <w:tcPr>
            <w:tcW w:type="dxa" w:w="1728"/>
          </w:tcPr>
          <w:p>
            <w:r/>
            <w:r>
              <w:t>$716.0M</w:t>
            </w:r>
          </w:p>
        </w:tc>
      </w:tr>
    </w:tbl>
    <w:p/>
    <w:p>
      <w:pPr>
        <w:pStyle w:val="Heading2"/>
      </w:pPr>
      <w:r>
        <w:rPr>
          <w:b w:val="0"/>
          <w:i w:val="0"/>
        </w:rPr>
        <w:t>2.4 Los 10 primeros por índice de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Índice de activo neto</w:t>
            </w:r>
          </w:p>
        </w:tc>
        <w:tc>
          <w:tcPr>
            <w:tcW w:type="dxa" w:w="1440"/>
          </w:tcPr>
          <w:p>
            <w:r/>
            <w:r>
              <w:rPr>
                <w:b/>
              </w:rPr>
              <w:t>Activo neto FY2025</w:t>
            </w:r>
          </w:p>
        </w:tc>
        <w:tc>
          <w:tcPr>
            <w:tcW w:type="dxa" w:w="1440"/>
          </w:tcPr>
          <w:p>
            <w:r/>
            <w:r>
              <w:rPr>
                <w:b/>
              </w:rPr>
              <w:t>Activo total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Entre las agencias más grandes, Hawái y California presentan los índices de activo neto más altos; Florida y Luisiana también se sitúan muy por encima del nivel típico de sus pares. Las HFA más pequeñas pueden mostrar índices elevados debido a balances más simples, por lo que el tamaño y el índice deben interpretarse en conjunto. Un colchón financiero más amplio generalmente ofrece mayor flexibilidad ante deterioros de activos, presión de tasas de interés o ventanas de refinanciamiento más estrechas.</w:t>
      </w:r>
    </w:p>
    <w:p>
      <w:pPr>
        <w:pStyle w:val="Heading1"/>
      </w:pPr>
      <w:r>
        <w:rPr>
          <w:b w:val="0"/>
          <w:i w:val="0"/>
        </w:rPr>
        <w:t>III. Modelos operativos: cinco arquetipos</w:t>
      </w:r>
    </w:p>
    <w:p>
      <w:r>
        <w:rPr>
          <w:b w:val="0"/>
          <w:i w:val="0"/>
        </w:rPr>
        <w:t>Las revelaciones del FY2025 sugieren cinco modelos operativos generales útiles para la comparación entre estados:</w:t>
      </w:r>
    </w:p>
    <w:p>
      <w:pPr>
        <w:pStyle w:val="ListBullet"/>
      </w:pPr>
      <w:r>
        <w:rPr>
          <w:b/>
          <w:i w:val="0"/>
        </w:rPr>
        <w:t xml:space="preserve">Grandes agencias financiadas con bonos: </w:t>
      </w:r>
      <w:r>
        <w:rPr>
          <w:b w:val="0"/>
          <w:i w:val="0"/>
        </w:rPr>
        <w:t>Entre los ejemplos se incluyen Virginia, Minnesota, Colorado, Connecticut, Míchigan e Illinois: bases de activos amplias con pasivos que se expanden en paralelo, y una fuerte dependencia de programas de bonos multifamiliares y unifamiliares, así como de los canales de las GSE (entidades patrocinadas por el gobierno).</w:t>
      </w:r>
    </w:p>
    <w:p>
      <w:pPr>
        <w:pStyle w:val="ListBullet"/>
      </w:pPr>
      <w:r>
        <w:rPr>
          <w:b/>
          <w:i w:val="0"/>
        </w:rPr>
        <w:t xml:space="preserve">Agencias medianas a grandes de alto crecimiento: </w:t>
      </w:r>
      <w:r>
        <w:rPr>
          <w:b w:val="0"/>
          <w:i w:val="0"/>
        </w:rPr>
        <w:t>Entre los ejemplos se incluyen Luisiana, Connecticut, Indiana, Ohio y Utah: crecimiento de dos dígitos en el activo neto sobre balances de tamaño mediano a grande, lo que ilustra cómo los ciclos de emisión y la combinación de programas pueden fortalecer el capital.</w:t>
      </w:r>
    </w:p>
    <w:p>
      <w:pPr>
        <w:pStyle w:val="ListBullet"/>
      </w:pPr>
      <w:r>
        <w:rPr>
          <w:b/>
          <w:i w:val="0"/>
        </w:rPr>
        <w:t xml:space="preserve">Modelos integrados de departamento estatal: </w:t>
      </w:r>
      <w:r>
        <w:rPr>
          <w:b w:val="0"/>
          <w:i w:val="0"/>
        </w:rPr>
        <w:t>El TDHCA de Texas es representativo: los fondos gubernamentales y los de tipo empresarial operan en paralelo, por lo que la base de revelación y el alcance de la consolidación requieren una lectura cuidadosa.</w:t>
      </w:r>
    </w:p>
    <w:p>
      <w:pPr>
        <w:pStyle w:val="ListBullet"/>
      </w:pPr>
      <w:r>
        <w:rPr>
          <w:b/>
          <w:i w:val="0"/>
        </w:rPr>
        <w:t xml:space="preserve">Mercados costeros de alto costo: </w:t>
      </w:r>
      <w:r>
        <w:rPr>
          <w:b w:val="0"/>
          <w:i w:val="0"/>
        </w:rPr>
        <w:t>California y Washington son ilustrativos (las presentaciones a nivel de entidad de Nueva York siguen siendo limitadas). Los resultados siguen de cerca los precios de la vivienda, los costos de construcción y la cartera de proyectos. En el FY2025, CalHFA reportó un activo neto de aproximadamente 3,440 millones de dólares y un activo total cercano a 5,000 millones de dólares, manteniéndose entre las mayores agencias estatales de financiamiento de vivienda.</w:t>
      </w:r>
    </w:p>
    <w:p>
      <w:pPr>
        <w:pStyle w:val="ListBullet"/>
      </w:pPr>
      <w:r>
        <w:rPr>
          <w:b/>
          <w:i w:val="0"/>
        </w:rPr>
        <w:t xml:space="preserve">Estados de recursos y baja densidad: </w:t>
      </w:r>
      <w:r>
        <w:rPr>
          <w:b w:val="0"/>
          <w:i w:val="0"/>
        </w:rPr>
        <w:t>Wyoming, Dakota del Norte, Dakota del Sur y Nuevo México suelen mostrar ciclos de emisión más volátiles; proyectos individuales pueden mover de forma significativa los estados financieros.</w:t>
      </w:r>
    </w:p>
    <w:p>
      <w:pPr>
        <w:pStyle w:val="Heading1"/>
      </w:pPr>
      <w:r>
        <w:rPr>
          <w:b w:val="0"/>
          <w:i w:val="0"/>
        </w:rPr>
        <w:t>IV. Interpretación de las cifras</w:t>
      </w:r>
    </w:p>
    <w:p>
      <w:r>
        <w:rPr>
          <w:b/>
          <w:i w:val="0"/>
        </w:rPr>
        <w:t xml:space="preserve">La escala no garantiza seguridad. </w:t>
      </w:r>
      <w:r>
        <w:rPr>
          <w:b w:val="0"/>
          <w:i w:val="0"/>
        </w:rPr>
        <w:t>Las bases de activos más grandes suelen conllevar también los mayores pasivos y la mayor exposición a derivados. Dado que la trayectoria de las tasas de interés sigue siendo incierta, el índice de activo neto y la capacidad de flujo de caja merecen tanta atención como la clasificación por tamaño de activos.</w:t>
      </w:r>
    </w:p>
    <w:p>
      <w:r>
        <w:rPr>
          <w:b/>
          <w:i w:val="0"/>
        </w:rPr>
        <w:t xml:space="preserve">El crecimiento del activo neto no equivale a producción de vivienda. </w:t>
      </w:r>
      <w:r>
        <w:rPr>
          <w:b w:val="0"/>
          <w:i w:val="0"/>
        </w:rPr>
        <w:t>Conforme a los principios contables GAAP, el activo neto puede variar por el valor razonable de las inversiones, las provisiones por pérdidas o la amortización de primas de bonos. La producción de vivienda debe validarse con los informes de los programas (unidades financiadas, bonos emitidos).</w:t>
      </w:r>
    </w:p>
    <w:p>
      <w:r>
        <w:rPr>
          <w:b/>
          <w:i w:val="0"/>
        </w:rPr>
        <w:t xml:space="preserve">La calidad de la revelación de información tiene valor de mercado. </w:t>
      </w:r>
      <w:r>
        <w:rPr>
          <w:b w:val="0"/>
          <w:i w:val="0"/>
        </w:rPr>
        <w:t>Las agencias que obtienen el Certificado de Logro de la GFOA (por ejemplo, IHDA de Illinois) tienden a publicar un análisis y comentarios de la gerencia (MD&amp;A) más claro, lo que puede reducir los costos de diligencia debida de los inversionistas y, de forma indirecta, favorecer diferenciales de bonos más ajustados.</w:t>
      </w:r>
    </w:p>
    <w:p>
      <w:pPr>
        <w:pStyle w:val="Heading1"/>
      </w:pPr>
      <w:r>
        <w:rPr>
          <w:b w:val="0"/>
          <w:i w:val="0"/>
        </w:rPr>
        <w:t>V. Recomendaciones para el FY2026 y años posteriores</w:t>
      </w:r>
    </w:p>
    <w:p>
      <w:pPr>
        <w:pStyle w:val="ListNumber"/>
      </w:pPr>
      <w:r>
        <w:rPr>
          <w:b/>
          <w:i w:val="0"/>
        </w:rPr>
        <w:t xml:space="preserve">Adoptar un marco común de salud financiera para las HFA. </w:t>
      </w:r>
      <w:r>
        <w:rPr>
          <w:b w:val="0"/>
          <w:i w:val="0"/>
        </w:rPr>
        <w:t>Estandarizar la revelación del índice de activo neto, la cobertura del servicio de la deuda, las tasas de morosidad, la cartera de proyectos LIHTC y la combinación entre programas unifamiliares y multifamiliares, de modo que los relatos fragmentados puedan sustituirse por indicadores comparables.</w:t>
      </w:r>
    </w:p>
    <w:p>
      <w:pPr>
        <w:pStyle w:val="ListNumber"/>
      </w:pPr>
      <w:r>
        <w:rPr>
          <w:b/>
          <w:i w:val="0"/>
        </w:rPr>
        <w:t xml:space="preserve">Vincular los resultados de asequibilidad con los estados financieros. </w:t>
      </w:r>
      <w:r>
        <w:rPr>
          <w:b w:val="0"/>
          <w:i w:val="0"/>
        </w:rPr>
        <w:t>Añadir al MD&amp;A indicadores de costo por unidad —unidades asequibles por cada millón de dólares de ingresos por bonos, y compradores primerizos atendidos por cada dólar de activo neto— para conectar las finanzas reportadas con los resultados en materia de vivienda.</w:t>
      </w:r>
    </w:p>
    <w:p>
      <w:pPr>
        <w:pStyle w:val="ListNumber"/>
      </w:pPr>
      <w:r>
        <w:rPr>
          <w:b/>
          <w:i w:val="0"/>
        </w:rPr>
        <w:t xml:space="preserve">Ampliar la mancomunación regional de bonos y el reparto de riesgos. </w:t>
      </w:r>
      <w:r>
        <w:rPr>
          <w:b w:val="0"/>
          <w:i w:val="0"/>
        </w:rPr>
        <w:t>Las HFA más pequeñas podrían reducir sus costos de emisión mediante fondos regionales de bonos compartidos. Las HFA más grandes podrían beneficiarse de coberturas más estandarizadas frente a riesgos de desastres y de tasas de interés.</w:t>
      </w:r>
    </w:p>
    <w:p>
      <w:pPr>
        <w:pStyle w:val="ListNumber"/>
      </w:pPr>
      <w:r>
        <w:rPr>
          <w:b/>
          <w:i w:val="0"/>
        </w:rPr>
        <w:t xml:space="preserve">Publicar información en formatos legibles por máquina. </w:t>
      </w:r>
      <w:r>
        <w:rPr>
          <w:b w:val="0"/>
          <w:i w:val="0"/>
        </w:rPr>
        <w:t>Los suplementos en XBRL o CSV estructurado ayudarían a investigadores, agencias calificadoras y socios federales a monitorear a las HFA de manera más oportuna.</w:t>
      </w:r>
    </w:p>
    <w:p>
      <w:pPr>
        <w:pStyle w:val="ListNumber"/>
      </w:pPr>
      <w:r>
        <w:rPr>
          <w:b/>
          <w:i w:val="0"/>
        </w:rPr>
        <w:t xml:space="preserve">Dar seguimiento al segmento de ingresos medios desatendido (80 %–120 % del AMI). </w:t>
      </w:r>
      <w:r>
        <w:rPr>
          <w:b w:val="0"/>
          <w:i w:val="0"/>
        </w:rPr>
        <w:t>Tratar los proyectos de ingresos medios como una categoría de planificación diferenciada, para que los recursos no se concentren únicamente en los niveles más bajos del AMI y en el extremo de precio de mercado, lo cual puede dejar desatendidos a docentes, personal de enfermería y trabajadores similares.</w:t>
      </w:r>
    </w:p>
    <w:p>
      <w:pPr>
        <w:pStyle w:val="Heading1"/>
      </w:pPr>
      <w:r>
        <w:rPr>
          <w:b w:val="0"/>
          <w:i w:val="0"/>
        </w:rPr>
        <w:t>VI. Cobertura de datos e inventario de archivos</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Estado</w:t>
            </w:r>
          </w:p>
        </w:tc>
        <w:tc>
          <w:tcPr>
            <w:tcW w:type="dxa" w:w="1728"/>
          </w:tcPr>
          <w:p>
            <w:r/>
            <w:r>
              <w:rPr>
                <w:b/>
              </w:rPr>
              <w:t>Agencia</w:t>
            </w:r>
          </w:p>
        </w:tc>
        <w:tc>
          <w:tcPr>
            <w:tcW w:type="dxa" w:w="1728"/>
          </w:tcPr>
          <w:p>
            <w:r/>
            <w:r>
              <w:rPr>
                <w:b/>
              </w:rPr>
              <w:t>Situación</w:t>
            </w:r>
          </w:p>
        </w:tc>
        <w:tc>
          <w:tcPr>
            <w:tcW w:type="dxa" w:w="1728"/>
          </w:tcPr>
          <w:p>
            <w:r/>
            <w:r>
              <w:rPr>
                <w:b/>
              </w:rPr>
              <w:t>Nombre del archivo</w:t>
            </w:r>
          </w:p>
        </w:tc>
        <w:tc>
          <w:tcPr>
            <w:tcW w:type="dxa" w:w="1728"/>
          </w:tcPr>
          <w:p>
            <w:r/>
            <w:r>
              <w:rPr>
                <w:b/>
              </w:rPr>
              <w:t>Notas</w:t>
            </w:r>
          </w:p>
        </w:tc>
      </w:tr>
      <w:tr>
        <w:tc>
          <w:tcPr>
            <w:tcW w:type="dxa" w:w="1728"/>
          </w:tcPr>
          <w:p>
            <w:r/>
            <w:r>
              <w:t>AK</w:t>
            </w:r>
          </w:p>
        </w:tc>
        <w:tc>
          <w:tcPr>
            <w:tcW w:type="dxa" w:w="1728"/>
          </w:tcPr>
          <w:p>
            <w:r/>
            <w:r>
              <w:t>AHFC</w:t>
            </w:r>
          </w:p>
        </w:tc>
        <w:tc>
          <w:tcPr>
            <w:tcW w:type="dxa" w:w="1728"/>
          </w:tcPr>
          <w:p>
            <w:r/>
            <w:r>
              <w:t>Descargado</w:t>
            </w:r>
          </w:p>
        </w:tc>
        <w:tc>
          <w:tcPr>
            <w:tcW w:type="dxa" w:w="1728"/>
          </w:tcPr>
          <w:p>
            <w:r/>
            <w:r>
              <w:t>AK_AHFC_FY2025_ACFR.pdf</w:t>
            </w:r>
          </w:p>
        </w:tc>
        <w:tc>
          <w:tcPr>
            <w:tcW w:type="dxa" w:w="1728"/>
          </w:tcPr>
          <w:p>
            <w:r/>
            <w:r>
              <w:t>-</w:t>
            </w:r>
          </w:p>
        </w:tc>
      </w:tr>
      <w:tr>
        <w:tc>
          <w:tcPr>
            <w:tcW w:type="dxa" w:w="1728"/>
          </w:tcPr>
          <w:p>
            <w:r/>
            <w:r>
              <w:t>AL</w:t>
            </w:r>
          </w:p>
        </w:tc>
        <w:tc>
          <w:tcPr>
            <w:tcW w:type="dxa" w:w="1728"/>
          </w:tcPr>
          <w:p>
            <w:r/>
            <w:r>
              <w:t>AHFA</w:t>
            </w:r>
          </w:p>
        </w:tc>
        <w:tc>
          <w:tcPr>
            <w:tcW w:type="dxa" w:w="1728"/>
          </w:tcPr>
          <w:p>
            <w:r/>
            <w:r>
              <w:t>Descargado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Descargado</w:t>
            </w:r>
          </w:p>
        </w:tc>
        <w:tc>
          <w:tcPr>
            <w:tcW w:type="dxa" w:w="1728"/>
          </w:tcPr>
          <w:p>
            <w:r/>
            <w:r>
              <w:t>AR_ADFA_FY2025_ACFR.pdf</w:t>
            </w:r>
          </w:p>
        </w:tc>
        <w:tc>
          <w:tcPr>
            <w:tcW w:type="dxa" w:w="1728"/>
          </w:tcPr>
          <w:p>
            <w:r/>
            <w:r>
              <w:t>Tasa de crecimiento verificada manualmente con el ACFR</w:t>
            </w:r>
          </w:p>
        </w:tc>
      </w:tr>
      <w:tr>
        <w:tc>
          <w:tcPr>
            <w:tcW w:type="dxa" w:w="1728"/>
          </w:tcPr>
          <w:p>
            <w:r/>
            <w:r>
              <w:t>AZ</w:t>
            </w:r>
          </w:p>
        </w:tc>
        <w:tc>
          <w:tcPr>
            <w:tcW w:type="dxa" w:w="1728"/>
          </w:tcPr>
          <w:p>
            <w:r/>
            <w:r>
              <w:t>ADOH</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CA</w:t>
            </w:r>
          </w:p>
        </w:tc>
        <w:tc>
          <w:tcPr>
            <w:tcW w:type="dxa" w:w="1728"/>
          </w:tcPr>
          <w:p>
            <w:r/>
            <w:r>
              <w:t>CalHFA</w:t>
            </w:r>
          </w:p>
        </w:tc>
        <w:tc>
          <w:tcPr>
            <w:tcW w:type="dxa" w:w="1728"/>
          </w:tcPr>
          <w:p>
            <w:r/>
            <w:r>
              <w:t>Descargado</w:t>
            </w:r>
          </w:p>
        </w:tc>
        <w:tc>
          <w:tcPr>
            <w:tcW w:type="dxa" w:w="1728"/>
          </w:tcPr>
          <w:p>
            <w:r/>
            <w:r>
              <w:t>CA_CalHFA_FY2025_ACFR.pdf</w:t>
            </w:r>
          </w:p>
        </w:tc>
        <w:tc>
          <w:tcPr>
            <w:tcW w:type="dxa" w:w="1728"/>
          </w:tcPr>
          <w:p>
            <w:r/>
            <w:r>
              <w:t>Los indicadores clave no se extrajeron automáticamente; se recomienda revisión manual del PDF</w:t>
            </w:r>
          </w:p>
        </w:tc>
      </w:tr>
      <w:tr>
        <w:tc>
          <w:tcPr>
            <w:tcW w:type="dxa" w:w="1728"/>
          </w:tcPr>
          <w:p>
            <w:r/>
            <w:r>
              <w:t>CO</w:t>
            </w:r>
          </w:p>
        </w:tc>
        <w:tc>
          <w:tcPr>
            <w:tcW w:type="dxa" w:w="1728"/>
          </w:tcPr>
          <w:p>
            <w:r/>
            <w:r>
              <w:t>CHFA</w:t>
            </w:r>
          </w:p>
        </w:tc>
        <w:tc>
          <w:tcPr>
            <w:tcW w:type="dxa" w:w="1728"/>
          </w:tcPr>
          <w:p>
            <w:r/>
            <w:r>
              <w:t>Descargado</w:t>
            </w:r>
          </w:p>
        </w:tc>
        <w:tc>
          <w:tcPr>
            <w:tcW w:type="dxa" w:w="1728"/>
          </w:tcPr>
          <w:p>
            <w:r/>
            <w:r>
              <w:t>CO_CHFA_FY2025_ACFR.pdf</w:t>
            </w:r>
          </w:p>
        </w:tc>
        <w:tc>
          <w:tcPr>
            <w:tcW w:type="dxa" w:w="1728"/>
          </w:tcPr>
          <w:p>
            <w:r/>
            <w:r>
              <w:t>Tasa de crecimiento verificada manualmente con el ACFR</w:t>
            </w:r>
          </w:p>
        </w:tc>
      </w:tr>
      <w:tr>
        <w:tc>
          <w:tcPr>
            <w:tcW w:type="dxa" w:w="1728"/>
          </w:tcPr>
          <w:p>
            <w:r/>
            <w:r>
              <w:t>CT</w:t>
            </w:r>
          </w:p>
        </w:tc>
        <w:tc>
          <w:tcPr>
            <w:tcW w:type="dxa" w:w="1728"/>
          </w:tcPr>
          <w:p>
            <w:r/>
            <w:r>
              <w:t>CHFA</w:t>
            </w:r>
          </w:p>
        </w:tc>
        <w:tc>
          <w:tcPr>
            <w:tcW w:type="dxa" w:w="1728"/>
          </w:tcPr>
          <w:p>
            <w:r/>
            <w:r>
              <w:t>Descargado</w:t>
            </w:r>
          </w:p>
        </w:tc>
        <w:tc>
          <w:tcPr>
            <w:tcW w:type="dxa" w:w="1728"/>
          </w:tcPr>
          <w:p>
            <w:r/>
            <w:r>
              <w:t>CT_CHFA_FY2025_ACFR.pdf</w:t>
            </w:r>
          </w:p>
        </w:tc>
        <w:tc>
          <w:tcPr>
            <w:tcW w:type="dxa" w:w="1728"/>
          </w:tcPr>
          <w:p>
            <w:r/>
            <w:r>
              <w:t>Indicadores completados a partir del ACFR/estados financieros de la agencia</w:t>
            </w:r>
          </w:p>
        </w:tc>
      </w:tr>
      <w:tr>
        <w:tc>
          <w:tcPr>
            <w:tcW w:type="dxa" w:w="1728"/>
          </w:tcPr>
          <w:p>
            <w:r/>
            <w:r>
              <w:t>DC</w:t>
            </w:r>
          </w:p>
        </w:tc>
        <w:tc>
          <w:tcPr>
            <w:tcW w:type="dxa" w:w="1728"/>
          </w:tcPr>
          <w:p>
            <w:r/>
            <w:r>
              <w:t>DCHFA</w:t>
            </w:r>
          </w:p>
        </w:tc>
        <w:tc>
          <w:tcPr>
            <w:tcW w:type="dxa" w:w="1728"/>
          </w:tcPr>
          <w:p>
            <w:r/>
            <w:r>
              <w:t>Descargado</w:t>
            </w:r>
          </w:p>
        </w:tc>
        <w:tc>
          <w:tcPr>
            <w:tcW w:type="dxa" w:w="1728"/>
          </w:tcPr>
          <w:p>
            <w:r/>
            <w:r>
              <w:t>DC_DCHFA_FY2025_ACFR.pdf</w:t>
            </w:r>
          </w:p>
        </w:tc>
        <w:tc>
          <w:tcPr>
            <w:tcW w:type="dxa" w:w="1728"/>
          </w:tcPr>
          <w:p>
            <w:r/>
            <w:r>
              <w:t>Los indicadores clave no se extrajeron automáticamente; se recomienda revisión manual del PDF</w:t>
            </w:r>
          </w:p>
        </w:tc>
      </w:tr>
      <w:tr>
        <w:tc>
          <w:tcPr>
            <w:tcW w:type="dxa" w:w="1728"/>
          </w:tcPr>
          <w:p>
            <w:r/>
            <w:r>
              <w:t>DE</w:t>
            </w:r>
          </w:p>
        </w:tc>
        <w:tc>
          <w:tcPr>
            <w:tcW w:type="dxa" w:w="1728"/>
          </w:tcPr>
          <w:p>
            <w:r/>
            <w:r>
              <w:t>DSHA</w:t>
            </w:r>
          </w:p>
        </w:tc>
        <w:tc>
          <w:tcPr>
            <w:tcW w:type="dxa" w:w="1728"/>
          </w:tcPr>
          <w:p>
            <w:r/>
            <w:r>
              <w:t>Descargado</w:t>
            </w:r>
          </w:p>
        </w:tc>
        <w:tc>
          <w:tcPr>
            <w:tcW w:type="dxa" w:w="1728"/>
          </w:tcPr>
          <w:p>
            <w:r/>
            <w:r>
              <w:t>DE_DSHA_FY2025_ACFR.pdf</w:t>
            </w:r>
          </w:p>
        </w:tc>
        <w:tc>
          <w:tcPr>
            <w:tcW w:type="dxa" w:w="1728"/>
          </w:tcPr>
          <w:p>
            <w:r/>
            <w:r>
              <w:t>Los indicadores clave no se extrajeron automáticamente; se recomienda revisión manual del PDF</w:t>
            </w:r>
          </w:p>
        </w:tc>
      </w:tr>
      <w:tr>
        <w:tc>
          <w:tcPr>
            <w:tcW w:type="dxa" w:w="1728"/>
          </w:tcPr>
          <w:p>
            <w:r/>
            <w:r>
              <w:t>FL</w:t>
            </w:r>
          </w:p>
        </w:tc>
        <w:tc>
          <w:tcPr>
            <w:tcW w:type="dxa" w:w="1728"/>
          </w:tcPr>
          <w:p>
            <w:r/>
            <w:r>
              <w:t>FloridaHousing</w:t>
            </w:r>
          </w:p>
        </w:tc>
        <w:tc>
          <w:tcPr>
            <w:tcW w:type="dxa" w:w="1728"/>
          </w:tcPr>
          <w:p>
            <w:r/>
            <w:r>
              <w:t>Descargado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Descargado</w:t>
            </w:r>
          </w:p>
        </w:tc>
        <w:tc>
          <w:tcPr>
            <w:tcW w:type="dxa" w:w="1728"/>
          </w:tcPr>
          <w:p>
            <w:r/>
            <w:r>
              <w:t>GA_GHFA_FY2025_ACFR.pdf</w:t>
            </w:r>
          </w:p>
        </w:tc>
        <w:tc>
          <w:tcPr>
            <w:tcW w:type="dxa" w:w="1728"/>
          </w:tcPr>
          <w:p>
            <w:r/>
            <w:r>
              <w:t>Los indicadores clave no se extrajeron automáticamente; se recomienda revisión manual del PDF</w:t>
            </w:r>
          </w:p>
        </w:tc>
      </w:tr>
      <w:tr>
        <w:tc>
          <w:tcPr>
            <w:tcW w:type="dxa" w:w="1728"/>
          </w:tcPr>
          <w:p>
            <w:r/>
            <w:r>
              <w:t>HI</w:t>
            </w:r>
          </w:p>
        </w:tc>
        <w:tc>
          <w:tcPr>
            <w:tcW w:type="dxa" w:w="1728"/>
          </w:tcPr>
          <w:p>
            <w:r/>
            <w:r>
              <w:t>HHFDC</w:t>
            </w:r>
          </w:p>
        </w:tc>
        <w:tc>
          <w:tcPr>
            <w:tcW w:type="dxa" w:w="1728"/>
          </w:tcPr>
          <w:p>
            <w:r/>
            <w:r>
              <w:t>Descargado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Descargado</w:t>
            </w:r>
          </w:p>
        </w:tc>
        <w:tc>
          <w:tcPr>
            <w:tcW w:type="dxa" w:w="1728"/>
          </w:tcPr>
          <w:p>
            <w:r/>
            <w:r>
              <w:t>IA_IFA_FY2025_ACFR.pdf</w:t>
            </w:r>
          </w:p>
        </w:tc>
        <w:tc>
          <w:tcPr>
            <w:tcW w:type="dxa" w:w="1728"/>
          </w:tcPr>
          <w:p>
            <w:r/>
            <w:r>
              <w:t>Importes reportados en miles; cifras ajustadas en consecuencia</w:t>
            </w:r>
          </w:p>
        </w:tc>
      </w:tr>
      <w:tr>
        <w:tc>
          <w:tcPr>
            <w:tcW w:type="dxa" w:w="1728"/>
          </w:tcPr>
          <w:p>
            <w:r/>
            <w:r>
              <w:t>ID</w:t>
            </w:r>
          </w:p>
        </w:tc>
        <w:tc>
          <w:tcPr>
            <w:tcW w:type="dxa" w:w="1728"/>
          </w:tcPr>
          <w:p>
            <w:r/>
            <w:r>
              <w:t>IHFA</w:t>
            </w:r>
          </w:p>
        </w:tc>
        <w:tc>
          <w:tcPr>
            <w:tcW w:type="dxa" w:w="1728"/>
          </w:tcPr>
          <w:p>
            <w:r/>
            <w:r>
              <w:t>Descargado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Descargado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Descargado</w:t>
            </w:r>
          </w:p>
        </w:tc>
        <w:tc>
          <w:tcPr>
            <w:tcW w:type="dxa" w:w="1728"/>
          </w:tcPr>
          <w:p>
            <w:r/>
            <w:r>
              <w:t>IN_IHCDA_FY2025_ACFR.pdf</w:t>
            </w:r>
          </w:p>
        </w:tc>
        <w:tc>
          <w:tcPr>
            <w:tcW w:type="dxa" w:w="1728"/>
          </w:tcPr>
          <w:p>
            <w:r/>
            <w:r>
              <w:t>Los indicadores clave no se extrajeron automáticamente; se recomienda revisión manual del PDF</w:t>
            </w:r>
          </w:p>
        </w:tc>
      </w:tr>
      <w:tr>
        <w:tc>
          <w:tcPr>
            <w:tcW w:type="dxa" w:w="1728"/>
          </w:tcPr>
          <w:p>
            <w:r/>
            <w:r>
              <w:t>KS</w:t>
            </w:r>
          </w:p>
        </w:tc>
        <w:tc>
          <w:tcPr>
            <w:tcW w:type="dxa" w:w="1728"/>
          </w:tcPr>
          <w:p>
            <w:r/>
            <w:r>
              <w:t>KHRC</w:t>
            </w:r>
          </w:p>
        </w:tc>
        <w:tc>
          <w:tcPr>
            <w:tcW w:type="dxa" w:w="1728"/>
          </w:tcPr>
          <w:p>
            <w:r/>
            <w:r>
              <w:t>Descargado</w:t>
            </w:r>
          </w:p>
        </w:tc>
        <w:tc>
          <w:tcPr>
            <w:tcW w:type="dxa" w:w="1728"/>
          </w:tcPr>
          <w:p>
            <w:r/>
            <w:r>
              <w:t>KS_KHRC_FY2025_ACFR.pdf</w:t>
            </w:r>
          </w:p>
        </w:tc>
        <w:tc>
          <w:tcPr>
            <w:tcW w:type="dxa" w:w="1728"/>
          </w:tcPr>
          <w:p>
            <w:r/>
            <w:r>
              <w:t>Indicadores completados a partir del ACFR/estados financieros de la agencia</w:t>
            </w:r>
          </w:p>
        </w:tc>
      </w:tr>
      <w:tr>
        <w:tc>
          <w:tcPr>
            <w:tcW w:type="dxa" w:w="1728"/>
          </w:tcPr>
          <w:p>
            <w:r/>
            <w:r>
              <w:t>KY</w:t>
            </w:r>
          </w:p>
        </w:tc>
        <w:tc>
          <w:tcPr>
            <w:tcW w:type="dxa" w:w="1728"/>
          </w:tcPr>
          <w:p>
            <w:r/>
            <w:r>
              <w:t>KHC</w:t>
            </w:r>
          </w:p>
        </w:tc>
        <w:tc>
          <w:tcPr>
            <w:tcW w:type="dxa" w:w="1728"/>
          </w:tcPr>
          <w:p>
            <w:r/>
            <w:r>
              <w:t>Descargado</w:t>
            </w:r>
          </w:p>
        </w:tc>
        <w:tc>
          <w:tcPr>
            <w:tcW w:type="dxa" w:w="1728"/>
          </w:tcPr>
          <w:p>
            <w:r/>
            <w:r>
              <w:t>KY_KHC_FY2025_ACFR.pdf</w:t>
            </w:r>
          </w:p>
        </w:tc>
        <w:tc>
          <w:tcPr>
            <w:tcW w:type="dxa" w:w="1728"/>
          </w:tcPr>
          <w:p>
            <w:r/>
            <w:r>
              <w:t>Indicadores completados a partir del ACFR/estados financieros de la agencia</w:t>
            </w:r>
          </w:p>
        </w:tc>
      </w:tr>
      <w:tr>
        <w:tc>
          <w:tcPr>
            <w:tcW w:type="dxa" w:w="1728"/>
          </w:tcPr>
          <w:p>
            <w:r/>
            <w:r>
              <w:t>LA</w:t>
            </w:r>
          </w:p>
        </w:tc>
        <w:tc>
          <w:tcPr>
            <w:tcW w:type="dxa" w:w="1728"/>
          </w:tcPr>
          <w:p>
            <w:r/>
            <w:r>
              <w:t>LHC</w:t>
            </w:r>
          </w:p>
        </w:tc>
        <w:tc>
          <w:tcPr>
            <w:tcW w:type="dxa" w:w="1728"/>
          </w:tcPr>
          <w:p>
            <w:r/>
            <w:r>
              <w:t>Descargado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Descargado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Descargado</w:t>
            </w:r>
          </w:p>
        </w:tc>
        <w:tc>
          <w:tcPr>
            <w:tcW w:type="dxa" w:w="1728"/>
          </w:tcPr>
          <w:p>
            <w:r/>
            <w:r>
              <w:t>MD_CDA_FY2025_ACFR.pdf</w:t>
            </w:r>
          </w:p>
        </w:tc>
        <w:tc>
          <w:tcPr>
            <w:tcW w:type="dxa" w:w="1728"/>
          </w:tcPr>
          <w:p>
            <w:r/>
            <w:r>
              <w:t>-</w:t>
            </w:r>
          </w:p>
        </w:tc>
      </w:tr>
      <w:tr>
        <w:tc>
          <w:tcPr>
            <w:tcW w:type="dxa" w:w="1728"/>
          </w:tcPr>
          <w:p>
            <w:r/>
            <w:r>
              <w:t>ME</w:t>
            </w:r>
          </w:p>
        </w:tc>
        <w:tc>
          <w:tcPr>
            <w:tcW w:type="dxa" w:w="1728"/>
          </w:tcPr>
          <w:p>
            <w:r/>
            <w:r>
              <w:t>MaineHousing</w:t>
            </w:r>
          </w:p>
        </w:tc>
        <w:tc>
          <w:tcPr>
            <w:tcW w:type="dxa" w:w="1728"/>
          </w:tcPr>
          <w:p>
            <w:r/>
            <w:r>
              <w:t>Descargado</w:t>
            </w:r>
          </w:p>
        </w:tc>
        <w:tc>
          <w:tcPr>
            <w:tcW w:type="dxa" w:w="1728"/>
          </w:tcPr>
          <w:p>
            <w:r/>
            <w:r>
              <w:t>ME_MaineHousing_FY2025_ACFR.pdf</w:t>
            </w:r>
          </w:p>
        </w:tc>
        <w:tc>
          <w:tcPr>
            <w:tcW w:type="dxa" w:w="1728"/>
          </w:tcPr>
          <w:p>
            <w:r/>
            <w:r>
              <w:t>Tasa de crecimiento verificada manualmente con el ACFR</w:t>
            </w:r>
          </w:p>
        </w:tc>
      </w:tr>
      <w:tr>
        <w:tc>
          <w:tcPr>
            <w:tcW w:type="dxa" w:w="1728"/>
          </w:tcPr>
          <w:p>
            <w:r/>
            <w:r>
              <w:t>MI</w:t>
            </w:r>
          </w:p>
        </w:tc>
        <w:tc>
          <w:tcPr>
            <w:tcW w:type="dxa" w:w="1728"/>
          </w:tcPr>
          <w:p>
            <w:r/>
            <w:r>
              <w:t>MSHDA</w:t>
            </w:r>
          </w:p>
        </w:tc>
        <w:tc>
          <w:tcPr>
            <w:tcW w:type="dxa" w:w="1728"/>
          </w:tcPr>
          <w:p>
            <w:r/>
            <w:r>
              <w:t>Descargado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Descargado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Descargado</w:t>
            </w:r>
          </w:p>
        </w:tc>
        <w:tc>
          <w:tcPr>
            <w:tcW w:type="dxa" w:w="1728"/>
          </w:tcPr>
          <w:p>
            <w:r/>
            <w:r>
              <w:t>MO_MHDC_FY2025_ACFR.pdf</w:t>
            </w:r>
          </w:p>
        </w:tc>
        <w:tc>
          <w:tcPr>
            <w:tcW w:type="dxa" w:w="1728"/>
          </w:tcPr>
          <w:p>
            <w:r/>
            <w:r>
              <w:t>Tasa de crecimiento verificada manualmente con el ACFR</w:t>
            </w:r>
          </w:p>
        </w:tc>
      </w:tr>
      <w:tr>
        <w:tc>
          <w:tcPr>
            <w:tcW w:type="dxa" w:w="1728"/>
          </w:tcPr>
          <w:p>
            <w:r/>
            <w:r>
              <w:t>MS</w:t>
            </w:r>
          </w:p>
        </w:tc>
        <w:tc>
          <w:tcPr>
            <w:tcW w:type="dxa" w:w="1728"/>
          </w:tcPr>
          <w:p>
            <w:r/>
            <w:r>
              <w:t>MHC</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MT</w:t>
            </w:r>
          </w:p>
        </w:tc>
        <w:tc>
          <w:tcPr>
            <w:tcW w:type="dxa" w:w="1728"/>
          </w:tcPr>
          <w:p>
            <w:r/>
            <w:r>
              <w:t>MTHousing</w:t>
            </w:r>
          </w:p>
        </w:tc>
        <w:tc>
          <w:tcPr>
            <w:tcW w:type="dxa" w:w="1728"/>
          </w:tcPr>
          <w:p>
            <w:r/>
            <w:r>
              <w:t>Descargado</w:t>
            </w:r>
          </w:p>
        </w:tc>
        <w:tc>
          <w:tcPr>
            <w:tcW w:type="dxa" w:w="1728"/>
          </w:tcPr>
          <w:p>
            <w:r/>
            <w:r>
              <w:t>MT_MTHousing_FY2025_ACFR.pdf</w:t>
            </w:r>
          </w:p>
        </w:tc>
        <w:tc>
          <w:tcPr>
            <w:tcW w:type="dxa" w:w="1728"/>
          </w:tcPr>
          <w:p>
            <w:r/>
            <w:r>
              <w:t>Los indicadores clave no se extrajeron automáticamente; se recomienda revisión manual del PDF</w:t>
            </w:r>
          </w:p>
        </w:tc>
      </w:tr>
      <w:tr>
        <w:tc>
          <w:tcPr>
            <w:tcW w:type="dxa" w:w="1728"/>
          </w:tcPr>
          <w:p>
            <w:r/>
            <w:r>
              <w:t>NC</w:t>
            </w:r>
          </w:p>
        </w:tc>
        <w:tc>
          <w:tcPr>
            <w:tcW w:type="dxa" w:w="1728"/>
          </w:tcPr>
          <w:p>
            <w:r/>
            <w:r>
              <w:t>NCHFA</w:t>
            </w:r>
          </w:p>
        </w:tc>
        <w:tc>
          <w:tcPr>
            <w:tcW w:type="dxa" w:w="1728"/>
          </w:tcPr>
          <w:p>
            <w:r/>
            <w:r>
              <w:t>Descargado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Descargado</w:t>
            </w:r>
          </w:p>
        </w:tc>
        <w:tc>
          <w:tcPr>
            <w:tcW w:type="dxa" w:w="1728"/>
          </w:tcPr>
          <w:p>
            <w:r/>
            <w:r>
              <w:t>ND_NDHFA_FY2025_ACFR.pdf</w:t>
            </w:r>
          </w:p>
        </w:tc>
        <w:tc>
          <w:tcPr>
            <w:tcW w:type="dxa" w:w="1728"/>
          </w:tcPr>
          <w:p>
            <w:r/>
            <w:r>
              <w:t>Tasa de crecimiento verificada manualmente con el ACFR</w:t>
            </w:r>
          </w:p>
        </w:tc>
      </w:tr>
      <w:tr>
        <w:tc>
          <w:tcPr>
            <w:tcW w:type="dxa" w:w="1728"/>
          </w:tcPr>
          <w:p>
            <w:r/>
            <w:r>
              <w:t>NE</w:t>
            </w:r>
          </w:p>
        </w:tc>
        <w:tc>
          <w:tcPr>
            <w:tcW w:type="dxa" w:w="1728"/>
          </w:tcPr>
          <w:p>
            <w:r/>
            <w:r>
              <w:t>NIFA</w:t>
            </w:r>
          </w:p>
        </w:tc>
        <w:tc>
          <w:tcPr>
            <w:tcW w:type="dxa" w:w="1728"/>
          </w:tcPr>
          <w:p>
            <w:r/>
            <w:r>
              <w:t>Descargado</w:t>
            </w:r>
          </w:p>
        </w:tc>
        <w:tc>
          <w:tcPr>
            <w:tcW w:type="dxa" w:w="1728"/>
          </w:tcPr>
          <w:p>
            <w:r/>
            <w:r>
              <w:t>NE_NIFA_FY2025_ACFR.pdf</w:t>
            </w:r>
          </w:p>
        </w:tc>
        <w:tc>
          <w:tcPr>
            <w:tcW w:type="dxa" w:w="1728"/>
          </w:tcPr>
          <w:p>
            <w:r/>
            <w:r>
              <w:t>Tasa de crecimiento verificada manualmente con el ACFR</w:t>
            </w:r>
          </w:p>
        </w:tc>
      </w:tr>
      <w:tr>
        <w:tc>
          <w:tcPr>
            <w:tcW w:type="dxa" w:w="1728"/>
          </w:tcPr>
          <w:p>
            <w:r/>
            <w:r>
              <w:t>NH</w:t>
            </w:r>
          </w:p>
        </w:tc>
        <w:tc>
          <w:tcPr>
            <w:tcW w:type="dxa" w:w="1728"/>
          </w:tcPr>
          <w:p>
            <w:r/>
            <w:r>
              <w:t>NHHousing</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NJ</w:t>
            </w:r>
          </w:p>
        </w:tc>
        <w:tc>
          <w:tcPr>
            <w:tcW w:type="dxa" w:w="1728"/>
          </w:tcPr>
          <w:p>
            <w:r/>
            <w:r>
              <w:t>NJHMFA</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NM</w:t>
            </w:r>
          </w:p>
        </w:tc>
        <w:tc>
          <w:tcPr>
            <w:tcW w:type="dxa" w:w="1728"/>
          </w:tcPr>
          <w:p>
            <w:r/>
            <w:r>
              <w:t>MFA</w:t>
            </w:r>
          </w:p>
        </w:tc>
        <w:tc>
          <w:tcPr>
            <w:tcW w:type="dxa" w:w="1728"/>
          </w:tcPr>
          <w:p>
            <w:r/>
            <w:r>
              <w:t>Descargado</w:t>
            </w:r>
          </w:p>
        </w:tc>
        <w:tc>
          <w:tcPr>
            <w:tcW w:type="dxa" w:w="1728"/>
          </w:tcPr>
          <w:p>
            <w:r/>
            <w:r>
              <w:t>NM_MFA_FY2025_ACFR.pdf</w:t>
            </w:r>
          </w:p>
        </w:tc>
        <w:tc>
          <w:tcPr>
            <w:tcW w:type="dxa" w:w="1728"/>
          </w:tcPr>
          <w:p>
            <w:r/>
            <w:r>
              <w:t>Indicadores completados a partir de los estados financieros auditados (PDF escaneado), sección MD&amp;A</w:t>
            </w:r>
          </w:p>
        </w:tc>
      </w:tr>
      <w:tr>
        <w:tc>
          <w:tcPr>
            <w:tcW w:type="dxa" w:w="1728"/>
          </w:tcPr>
          <w:p>
            <w:r/>
            <w:r>
              <w:t>NV</w:t>
            </w:r>
          </w:p>
        </w:tc>
        <w:tc>
          <w:tcPr>
            <w:tcW w:type="dxa" w:w="1728"/>
          </w:tcPr>
          <w:p>
            <w:r/>
            <w:r>
              <w:t>NHD</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NY</w:t>
            </w:r>
          </w:p>
        </w:tc>
        <w:tc>
          <w:tcPr>
            <w:tcW w:type="dxa" w:w="1728"/>
          </w:tcPr>
          <w:p>
            <w:r/>
            <w:r>
              <w:t>HCR</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OH</w:t>
            </w:r>
          </w:p>
        </w:tc>
        <w:tc>
          <w:tcPr>
            <w:tcW w:type="dxa" w:w="1728"/>
          </w:tcPr>
          <w:p>
            <w:r/>
            <w:r>
              <w:t>OHFA</w:t>
            </w:r>
          </w:p>
        </w:tc>
        <w:tc>
          <w:tcPr>
            <w:tcW w:type="dxa" w:w="1728"/>
          </w:tcPr>
          <w:p>
            <w:r/>
            <w:r>
              <w:t>Descargado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Descargado</w:t>
            </w:r>
          </w:p>
        </w:tc>
        <w:tc>
          <w:tcPr>
            <w:tcW w:type="dxa" w:w="1728"/>
          </w:tcPr>
          <w:p>
            <w:r/>
            <w:r>
              <w:t>OK_OHFA_OK_FY2025_ACFR.pdf</w:t>
            </w:r>
          </w:p>
        </w:tc>
        <w:tc>
          <w:tcPr>
            <w:tcW w:type="dxa" w:w="1728"/>
          </w:tcPr>
          <w:p>
            <w:r/>
            <w:r>
              <w:t>Indicadores completados a partir del ACFR/estados financieros de la agencia</w:t>
            </w:r>
          </w:p>
        </w:tc>
      </w:tr>
      <w:tr>
        <w:tc>
          <w:tcPr>
            <w:tcW w:type="dxa" w:w="1728"/>
          </w:tcPr>
          <w:p>
            <w:r/>
            <w:r>
              <w:t>OR</w:t>
            </w:r>
          </w:p>
        </w:tc>
        <w:tc>
          <w:tcPr>
            <w:tcW w:type="dxa" w:w="1728"/>
          </w:tcPr>
          <w:p>
            <w:r/>
            <w:r>
              <w:t>OHCS</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PA</w:t>
            </w:r>
          </w:p>
        </w:tc>
        <w:tc>
          <w:tcPr>
            <w:tcW w:type="dxa" w:w="1728"/>
          </w:tcPr>
          <w:p>
            <w:r/>
            <w:r>
              <w:t>PHFA</w:t>
            </w:r>
          </w:p>
        </w:tc>
        <w:tc>
          <w:tcPr>
            <w:tcW w:type="dxa" w:w="1728"/>
          </w:tcPr>
          <w:p>
            <w:r/>
            <w:r>
              <w:t>Descargado</w:t>
            </w:r>
          </w:p>
        </w:tc>
        <w:tc>
          <w:tcPr>
            <w:tcW w:type="dxa" w:w="1728"/>
          </w:tcPr>
          <w:p>
            <w:r/>
            <w:r>
              <w:t>PA_PHFA_FY2025_ACFR.pdf</w:t>
            </w:r>
          </w:p>
        </w:tc>
        <w:tc>
          <w:tcPr>
            <w:tcW w:type="dxa" w:w="1728"/>
          </w:tcPr>
          <w:p>
            <w:r/>
            <w:r>
              <w:t>Los indicadores clave no se extrajeron automáticamente; se recomienda revisión manual del PDF; informe ACFR consolidado a nivel estatal; excluido de las clasificaciones específicas de HFA</w:t>
            </w:r>
          </w:p>
        </w:tc>
      </w:tr>
      <w:tr>
        <w:tc>
          <w:tcPr>
            <w:tcW w:type="dxa" w:w="1728"/>
          </w:tcPr>
          <w:p>
            <w:r/>
            <w:r>
              <w:t>RI</w:t>
            </w:r>
          </w:p>
        </w:tc>
        <w:tc>
          <w:tcPr>
            <w:tcW w:type="dxa" w:w="1728"/>
          </w:tcPr>
          <w:p>
            <w:r/>
            <w:r>
              <w:t>RIHousing</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SC</w:t>
            </w:r>
          </w:p>
        </w:tc>
        <w:tc>
          <w:tcPr>
            <w:tcW w:type="dxa" w:w="1728"/>
          </w:tcPr>
          <w:p>
            <w:r/>
            <w:r>
              <w:t>SCHFDA</w:t>
            </w:r>
          </w:p>
        </w:tc>
        <w:tc>
          <w:tcPr>
            <w:tcW w:type="dxa" w:w="1728"/>
          </w:tcPr>
          <w:p>
            <w:r/>
            <w:r>
              <w:t>Descargado</w:t>
            </w:r>
          </w:p>
        </w:tc>
        <w:tc>
          <w:tcPr>
            <w:tcW w:type="dxa" w:w="1728"/>
          </w:tcPr>
          <w:p>
            <w:r/>
            <w:r>
              <w:t>SC_SCHFDA_FY2025_ACFR.pdf</w:t>
            </w:r>
          </w:p>
        </w:tc>
        <w:tc>
          <w:tcPr>
            <w:tcW w:type="dxa" w:w="1728"/>
          </w:tcPr>
          <w:p>
            <w:r/>
            <w:r>
              <w:t>Indicadores completados a partir del ACFR/estados financieros de la agencia</w:t>
            </w:r>
          </w:p>
        </w:tc>
      </w:tr>
      <w:tr>
        <w:tc>
          <w:tcPr>
            <w:tcW w:type="dxa" w:w="1728"/>
          </w:tcPr>
          <w:p>
            <w:r/>
            <w:r>
              <w:t>SD</w:t>
            </w:r>
          </w:p>
        </w:tc>
        <w:tc>
          <w:tcPr>
            <w:tcW w:type="dxa" w:w="1728"/>
          </w:tcPr>
          <w:p>
            <w:r/>
            <w:r>
              <w:t>SDHDA</w:t>
            </w:r>
          </w:p>
        </w:tc>
        <w:tc>
          <w:tcPr>
            <w:tcW w:type="dxa" w:w="1728"/>
          </w:tcPr>
          <w:p>
            <w:r/>
            <w:r>
              <w:t>Descargado</w:t>
            </w:r>
          </w:p>
        </w:tc>
        <w:tc>
          <w:tcPr>
            <w:tcW w:type="dxa" w:w="1728"/>
          </w:tcPr>
          <w:p>
            <w:r/>
            <w:r>
              <w:t>SD_SDHDA_FY2025_ACFR.pdf</w:t>
            </w:r>
          </w:p>
        </w:tc>
        <w:tc>
          <w:tcPr>
            <w:tcW w:type="dxa" w:w="1728"/>
          </w:tcPr>
          <w:p>
            <w:r/>
            <w:r>
              <w:t>Los indicadores clave no se extrajeron automáticamente; se recomienda revisión manual del PDF</w:t>
            </w:r>
          </w:p>
        </w:tc>
      </w:tr>
      <w:tr>
        <w:tc>
          <w:tcPr>
            <w:tcW w:type="dxa" w:w="1728"/>
          </w:tcPr>
          <w:p>
            <w:r/>
            <w:r>
              <w:t>TN</w:t>
            </w:r>
          </w:p>
        </w:tc>
        <w:tc>
          <w:tcPr>
            <w:tcW w:type="dxa" w:w="1728"/>
          </w:tcPr>
          <w:p>
            <w:r/>
            <w:r>
              <w:t>THDA</w:t>
            </w:r>
          </w:p>
        </w:tc>
        <w:tc>
          <w:tcPr>
            <w:tcW w:type="dxa" w:w="1728"/>
          </w:tcPr>
          <w:p>
            <w:r/>
            <w:r>
              <w:t>Descargado</w:t>
            </w:r>
          </w:p>
        </w:tc>
        <w:tc>
          <w:tcPr>
            <w:tcW w:type="dxa" w:w="1728"/>
          </w:tcPr>
          <w:p>
            <w:r/>
            <w:r>
              <w:t>TN_THDA_FY2025_ACFR.pdf</w:t>
            </w:r>
          </w:p>
        </w:tc>
        <w:tc>
          <w:tcPr>
            <w:tcW w:type="dxa" w:w="1728"/>
          </w:tcPr>
          <w:p>
            <w:r/>
            <w:r>
              <w:t>-</w:t>
            </w:r>
          </w:p>
        </w:tc>
      </w:tr>
      <w:tr>
        <w:tc>
          <w:tcPr>
            <w:tcW w:type="dxa" w:w="1728"/>
          </w:tcPr>
          <w:p>
            <w:r/>
            <w:r>
              <w:t>TX</w:t>
            </w:r>
          </w:p>
        </w:tc>
        <w:tc>
          <w:tcPr>
            <w:tcW w:type="dxa" w:w="1728"/>
          </w:tcPr>
          <w:p>
            <w:r/>
            <w:r>
              <w:t>TDHCA</w:t>
            </w:r>
          </w:p>
        </w:tc>
        <w:tc>
          <w:tcPr>
            <w:tcW w:type="dxa" w:w="1728"/>
          </w:tcPr>
          <w:p>
            <w:r/>
            <w:r>
              <w:t>Descargado</w:t>
            </w:r>
          </w:p>
        </w:tc>
        <w:tc>
          <w:tcPr>
            <w:tcW w:type="dxa" w:w="1728"/>
          </w:tcPr>
          <w:p>
            <w:r/>
            <w:r>
              <w:t>TX_TDHCA_FY2025_ACFR.pdf</w:t>
            </w:r>
          </w:p>
        </w:tc>
        <w:tc>
          <w:tcPr>
            <w:tcW w:type="dxa" w:w="1728"/>
          </w:tcPr>
          <w:p>
            <w:r/>
            <w:r>
              <w:t>Los indicadores clave no se extrajeron automáticamente; se recomienda revisión manual del PDF</w:t>
            </w:r>
          </w:p>
        </w:tc>
      </w:tr>
      <w:tr>
        <w:tc>
          <w:tcPr>
            <w:tcW w:type="dxa" w:w="1728"/>
          </w:tcPr>
          <w:p>
            <w:r/>
            <w:r>
              <w:t>UT</w:t>
            </w:r>
          </w:p>
        </w:tc>
        <w:tc>
          <w:tcPr>
            <w:tcW w:type="dxa" w:w="1728"/>
          </w:tcPr>
          <w:p>
            <w:r/>
            <w:r>
              <w:t>UtahHousing</w:t>
            </w:r>
          </w:p>
        </w:tc>
        <w:tc>
          <w:tcPr>
            <w:tcW w:type="dxa" w:w="1728"/>
          </w:tcPr>
          <w:p>
            <w:r/>
            <w:r>
              <w:t>Descargado</w:t>
            </w:r>
          </w:p>
        </w:tc>
        <w:tc>
          <w:tcPr>
            <w:tcW w:type="dxa" w:w="1728"/>
          </w:tcPr>
          <w:p>
            <w:r/>
            <w:r>
              <w:t>UT_UtahHousing_FY2025_ACFR.pdf</w:t>
            </w:r>
          </w:p>
        </w:tc>
        <w:tc>
          <w:tcPr>
            <w:tcW w:type="dxa" w:w="1728"/>
          </w:tcPr>
          <w:p>
            <w:r/>
            <w:r>
              <w:t>Tasa de crecimiento verificada manualmente con el ACFR</w:t>
            </w:r>
          </w:p>
        </w:tc>
      </w:tr>
      <w:tr>
        <w:tc>
          <w:tcPr>
            <w:tcW w:type="dxa" w:w="1728"/>
          </w:tcPr>
          <w:p>
            <w:r/>
            <w:r>
              <w:t>VA</w:t>
            </w:r>
          </w:p>
        </w:tc>
        <w:tc>
          <w:tcPr>
            <w:tcW w:type="dxa" w:w="1728"/>
          </w:tcPr>
          <w:p>
            <w:r/>
            <w:r>
              <w:t>VirginiaHousing</w:t>
            </w:r>
          </w:p>
        </w:tc>
        <w:tc>
          <w:tcPr>
            <w:tcW w:type="dxa" w:w="1728"/>
          </w:tcPr>
          <w:p>
            <w:r/>
            <w:r>
              <w:t>Descargado</w:t>
            </w:r>
          </w:p>
        </w:tc>
        <w:tc>
          <w:tcPr>
            <w:tcW w:type="dxa" w:w="1728"/>
          </w:tcPr>
          <w:p>
            <w:r/>
            <w:r>
              <w:t>VA_VirginiaHousing_FY2025_ACFR.pdf</w:t>
            </w:r>
          </w:p>
        </w:tc>
        <w:tc>
          <w:tcPr>
            <w:tcW w:type="dxa" w:w="1728"/>
          </w:tcPr>
          <w:p>
            <w:r/>
            <w:r>
              <w:t>Los indicadores clave no se extrajeron automáticamente; se recomienda revisión manual del PDF</w:t>
            </w:r>
          </w:p>
        </w:tc>
      </w:tr>
      <w:tr>
        <w:tc>
          <w:tcPr>
            <w:tcW w:type="dxa" w:w="1728"/>
          </w:tcPr>
          <w:p>
            <w:r/>
            <w:r>
              <w:t>VT</w:t>
            </w:r>
          </w:p>
        </w:tc>
        <w:tc>
          <w:tcPr>
            <w:tcW w:type="dxa" w:w="1728"/>
          </w:tcPr>
          <w:p>
            <w:r/>
            <w:r>
              <w:t>VHFA</w:t>
            </w:r>
          </w:p>
        </w:tc>
        <w:tc>
          <w:tcPr>
            <w:tcW w:type="dxa" w:w="1728"/>
          </w:tcPr>
          <w:p>
            <w:r/>
            <w:r>
              <w:t>Descargado</w:t>
            </w:r>
          </w:p>
        </w:tc>
        <w:tc>
          <w:tcPr>
            <w:tcW w:type="dxa" w:w="1728"/>
          </w:tcPr>
          <w:p>
            <w:r/>
            <w:r>
              <w:t>VT_VHFA_FY2025_ACFR.pdf</w:t>
            </w:r>
          </w:p>
        </w:tc>
        <w:tc>
          <w:tcPr>
            <w:tcW w:type="dxa" w:w="1728"/>
          </w:tcPr>
          <w:p>
            <w:r/>
            <w:r>
              <w:t>Indicadores completados a partir del ACFR/estados financieros de la agencia</w:t>
            </w:r>
          </w:p>
        </w:tc>
      </w:tr>
      <w:tr>
        <w:tc>
          <w:tcPr>
            <w:tcW w:type="dxa" w:w="1728"/>
          </w:tcPr>
          <w:p>
            <w:r/>
            <w:r>
              <w:t>WA</w:t>
            </w:r>
          </w:p>
        </w:tc>
        <w:tc>
          <w:tcPr>
            <w:tcW w:type="dxa" w:w="1728"/>
          </w:tcPr>
          <w:p>
            <w:r/>
            <w:r>
              <w:t>WSHFC</w:t>
            </w:r>
          </w:p>
        </w:tc>
        <w:tc>
          <w:tcPr>
            <w:tcW w:type="dxa" w:w="1728"/>
          </w:tcPr>
          <w:p>
            <w:r/>
            <w:r>
              <w:t>Descargado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Descargado</w:t>
            </w:r>
          </w:p>
        </w:tc>
        <w:tc>
          <w:tcPr>
            <w:tcW w:type="dxa" w:w="1728"/>
          </w:tcPr>
          <w:p>
            <w:r/>
            <w:r>
              <w:t>WI_WHEDA_FY2025_ACFR.pdf</w:t>
            </w:r>
          </w:p>
        </w:tc>
        <w:tc>
          <w:tcPr>
            <w:tcW w:type="dxa" w:w="1728"/>
          </w:tcPr>
          <w:p>
            <w:r/>
            <w:r>
              <w:t>Los indicadores clave no se extrajeron automáticamente; se recomienda revisión manual del PDF</w:t>
            </w:r>
          </w:p>
        </w:tc>
      </w:tr>
      <w:tr>
        <w:tc>
          <w:tcPr>
            <w:tcW w:type="dxa" w:w="1728"/>
          </w:tcPr>
          <w:p>
            <w:r/>
            <w:r>
              <w:t>WV</w:t>
            </w:r>
          </w:p>
        </w:tc>
        <w:tc>
          <w:tcPr>
            <w:tcW w:type="dxa" w:w="1728"/>
          </w:tcPr>
          <w:p>
            <w:r/>
            <w:r>
              <w:t>WVHDF</w:t>
            </w:r>
          </w:p>
        </w:tc>
        <w:tc>
          <w:tcPr>
            <w:tcW w:type="dxa" w:w="1728"/>
          </w:tcPr>
          <w:p>
            <w:r/>
            <w:r>
              <w:t>Descargado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Descargado</w:t>
            </w:r>
          </w:p>
        </w:tc>
        <w:tc>
          <w:tcPr>
            <w:tcW w:type="dxa" w:w="1728"/>
          </w:tcPr>
          <w:p>
            <w:r/>
            <w:r>
              <w:t>WY_WCDA_FY2025_ACFR.pdf</w:t>
            </w:r>
          </w:p>
        </w:tc>
        <w:tc>
          <w:tcPr>
            <w:tcW w:type="dxa" w:w="1728"/>
          </w:tcPr>
          <w:p>
            <w:r/>
            <w:r>
              <w:t>Los indicadores clave no se extrajeron automáticamente; se recomienda revisión manual del PDF</w:t>
            </w:r>
          </w:p>
        </w:tc>
      </w:tr>
    </w:tbl>
    <w:p/>
    <w:p>
      <w:pPr>
        <w:pStyle w:val="Heading1"/>
      </w:pPr>
      <w:r>
        <w:rPr>
          <w:b w:val="0"/>
          <w:i w:val="0"/>
        </w:rPr>
        <w:t>VII. Estados sin informes del FY2025</w:t>
      </w:r>
    </w:p>
    <w:p>
      <w:r>
        <w:rPr>
          <w:b w:val="0"/>
          <w:i w:val="0"/>
        </w:rPr>
        <w:t>A la fecha de este informe, los siguientes 8 estados o territorios no contaban con un ACFR o estado financiero auditado del FY2025 localizable públicamente. Las causas más comunes incluyen auditorías incompletas, publicaciones limitadas al FY2024, o presentaciones alojadas en sitios no estándar.</w:t>
      </w:r>
    </w:p>
    <w:p>
      <w:pPr>
        <w:pStyle w:val="ListBullet"/>
      </w:pPr>
      <w:r>
        <w:rPr>
          <w:b w:val="0"/>
          <w:i w:val="0"/>
        </w:rPr>
        <w:t>AZ - Arizona Department of Housing (ADOH)</w:t>
      </w:r>
    </w:p>
    <w:p>
      <w:pPr>
        <w:pStyle w:val="ListBullet"/>
      </w:pPr>
      <w:r>
        <w:rPr>
          <w:b w:val="0"/>
          <w:i w:val="0"/>
        </w:rPr>
        <w:t>MS - Mississippi Home Corporation (MHC)</w:t>
      </w:r>
    </w:p>
    <w:p>
      <w:pPr>
        <w:pStyle w:val="ListBullet"/>
      </w:pPr>
      <w:r>
        <w:rPr>
          <w:b w:val="0"/>
          <w:i w:val="0"/>
        </w:rPr>
        <w:t>NV - Nevada Housing Division (NHD)</w:t>
      </w:r>
    </w:p>
    <w:p>
      <w:pPr>
        <w:pStyle w:val="ListBullet"/>
      </w:pPr>
      <w:r>
        <w:rPr>
          <w:b w:val="0"/>
          <w:i w:val="0"/>
        </w:rPr>
        <w:t>NH - New Hampshire Housing Finance Authority (NHHousing)</w:t>
      </w:r>
    </w:p>
    <w:p>
      <w:pPr>
        <w:pStyle w:val="ListBullet"/>
      </w:pPr>
      <w:r>
        <w:rPr>
          <w:b w:val="0"/>
          <w:i w:val="0"/>
        </w:rPr>
        <w:t>NJ - New Jersey Housing and Mortgage Finance Agency (NJHMFA)</w:t>
      </w:r>
    </w:p>
    <w:p>
      <w:pPr>
        <w:pStyle w:val="ListBullet"/>
      </w:pPr>
      <w:r>
        <w:rPr>
          <w:b w:val="0"/>
          <w:i w:val="0"/>
        </w:rPr>
        <w:t>NY - New York State Homes and Community Renewal (HCR)</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Apéndice: Metodología</w:t>
      </w:r>
    </w:p>
    <w:p>
      <w:r>
        <w:rPr>
          <w:b w:val="0"/>
          <w:i w:val="0"/>
        </w:rPr>
        <w:t>Las fuentes son los ACFR del FY2025 o los PDF de los estados financieros auditados publicados por las HFA estatales o por los auditores estatales. La extracción prioriza los datos financieros destacados del MD&amp;A y las partidas del Estado de Activo Neto correspondientes al activo total, el pasivo total y el activo neto total (con frecuencia reportados en miles de dólares). Las bases de revelación difieren entre actividades gubernamentales, actividades de tipo empresarial y presentaciones combinadas; las comparaciones entre estados deben interpretarse junto con las notas correspondientes.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Agencias Estatales de Financiamiento de Vivienda de EE. UU. — FY2025 Análisis del ACFR y de los Estados Financieros</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