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FY2024 美国州级住房金融机构</w:t>
        <w:br/>
        <w:t>ACFR/财务报表 全景分析与战略洞察</w:t>
      </w:r>
    </w:p>
    <w:p>
      <w:pPr>
        <w:jc w:val="center"/>
      </w:pPr>
      <w:r>
        <w:rPr>
          <w:i/>
        </w:rPr>
        <w:t>编制日期：2026年08月07日  |  覆盖 51 个州/特区  |  成功获取 37 份FY2024报告</w:t>
      </w:r>
    </w:p>
    <w:p>
      <w:pPr>
        <w:pStyle w:val="Heading1"/>
      </w:pPr>
      <w:r>
        <w:t>一、执行摘要：住房金融体系的“资产负债表时刻”</w:t>
      </w:r>
    </w:p>
    <w:p>
      <w:r>
        <w:t>FY2024（截至2024年6月30日，部分机构为日历年）是美国州级住房金融机构（State Housing Finance Agencies, HFAs）在利率高位、LIHTC竞争加剧、以及首购支持计划扩张交织背景下的关键财务年度。本报告基于公开披露的ACFR/经审计财务报表，对全美51个州/特区的HFA进行系统采集与横向比较。截至采集日，共成功获取 37 份FY2024报告（覆盖率 73%）。</w:t>
      </w:r>
    </w:p>
    <w:p>
      <w:r>
        <w:t>核心发现：在已提取数据的 22 家机构中，合计净资产（Net Position）约 $30.56B，合计总资产约 $496.85B。州级HFA是以债券融资为核心的准银行机构——资产端主要是抵押贷款与开发贷款，负债端是住房债券。净资产率（Net Position / Total Assets）衡量缓冲垫与抗风险能力。</w:t>
      </w:r>
    </w:p>
    <w:p>
      <w:r>
        <w:t>增长冠军：MN（MNHousing）净资产同比增长 +93.0%，达到 $1,389.4M。这通常反映债券发行回暖、贷款组合扩张或公允价值回升，但需与单位产出交叉验证。</w:t>
      </w:r>
    </w:p>
    <w:p>
      <w:pPr>
        <w:pStyle w:val="Heading1"/>
      </w:pPr>
      <w:r>
        <w:t>二、排行榜：谁在做大、谁在做厚、谁在跑得快</w:t>
      </w:r>
    </w:p>
    <w:p>
      <w:pPr>
        <w:pStyle w:val="Heading2"/>
      </w:pPr>
      <w:r>
        <w:t>2.1 净资产规模 Top 10（财务“体量之王”）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州</w:t>
            </w:r>
          </w:p>
        </w:tc>
        <w:tc>
          <w:tcPr>
            <w:tcW w:type="dxa" w:w="1440"/>
          </w:tcPr>
          <w:p>
            <w:r>
              <w:t>机构</w:t>
            </w:r>
          </w:p>
        </w:tc>
        <w:tc>
          <w:tcPr>
            <w:tcW w:type="dxa" w:w="1440"/>
          </w:tcPr>
          <w:p>
            <w:r>
              <w:t>FY2024净资产</w:t>
            </w:r>
          </w:p>
        </w:tc>
        <w:tc>
          <w:tcPr>
            <w:tcW w:type="dxa" w:w="1440"/>
          </w:tcPr>
          <w:p>
            <w:r>
              <w:t>FY2024总资产</w:t>
            </w:r>
          </w:p>
        </w:tc>
        <w:tc>
          <w:tcPr>
            <w:tcW w:type="dxa" w:w="1440"/>
          </w:tcPr>
          <w:p>
            <w:r>
              <w:t>净资产率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VA</w:t>
            </w:r>
          </w:p>
        </w:tc>
        <w:tc>
          <w:tcPr>
            <w:tcW w:type="dxa" w:w="1440"/>
          </w:tcPr>
          <w:p>
            <w:r>
              <w:t>VirginiaHousing</w:t>
            </w:r>
          </w:p>
        </w:tc>
        <w:tc>
          <w:tcPr>
            <w:tcW w:type="dxa" w:w="1440"/>
          </w:tcPr>
          <w:p>
            <w:r>
              <w:t>$5,491.3M</w:t>
            </w:r>
          </w:p>
        </w:tc>
        <w:tc>
          <w:tcPr>
            <w:tcW w:type="dxa" w:w="1440"/>
          </w:tcPr>
          <w:p>
            <w:r>
              <w:t>$6,000.0M</w:t>
            </w:r>
          </w:p>
        </w:tc>
        <w:tc>
          <w:tcPr>
            <w:tcW w:type="dxa" w:w="1440"/>
          </w:tcPr>
          <w:p>
            <w:r>
              <w:t>+91.5%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FL</w:t>
            </w:r>
          </w:p>
        </w:tc>
        <w:tc>
          <w:tcPr>
            <w:tcW w:type="dxa" w:w="1440"/>
          </w:tcPr>
          <w:p>
            <w:r>
              <w:t>FloridaHousing</w:t>
            </w:r>
          </w:p>
        </w:tc>
        <w:tc>
          <w:tcPr>
            <w:tcW w:type="dxa" w:w="1440"/>
          </w:tcPr>
          <w:p>
            <w:r>
              <w:t>$4,212.7M</w:t>
            </w:r>
          </w:p>
        </w:tc>
        <w:tc>
          <w:tcPr>
            <w:tcW w:type="dxa" w:w="1440"/>
          </w:tcPr>
          <w:p>
            <w:r>
              <w:t>$6,805.0M</w:t>
            </w:r>
          </w:p>
        </w:tc>
        <w:tc>
          <w:tcPr>
            <w:tcW w:type="dxa" w:w="1440"/>
          </w:tcPr>
          <w:p>
            <w:r>
              <w:t>+61.9%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ME</w:t>
            </w:r>
          </w:p>
        </w:tc>
        <w:tc>
          <w:tcPr>
            <w:tcW w:type="dxa" w:w="1440"/>
          </w:tcPr>
          <w:p>
            <w:r>
              <w:t>MaineHousing</w:t>
            </w:r>
          </w:p>
        </w:tc>
        <w:tc>
          <w:tcPr>
            <w:tcW w:type="dxa" w:w="1440"/>
          </w:tcPr>
          <w:p>
            <w:r>
              <w:t>$3,280.0M</w:t>
            </w:r>
          </w:p>
        </w:tc>
        <w:tc>
          <w:tcPr>
            <w:tcW w:type="dxa" w:w="1440"/>
          </w:tcPr>
          <w:p>
            <w:r>
              <w:t>$26,303.3M</w:t>
            </w:r>
          </w:p>
        </w:tc>
        <w:tc>
          <w:tcPr>
            <w:tcW w:type="dxa" w:w="1440"/>
          </w:tcPr>
          <w:p>
            <w:r>
              <w:t>+12.5%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CA</w:t>
            </w:r>
          </w:p>
        </w:tc>
        <w:tc>
          <w:tcPr>
            <w:tcW w:type="dxa" w:w="1440"/>
          </w:tcPr>
          <w:p>
            <w:r>
              <w:t>CalHFA</w:t>
            </w:r>
          </w:p>
        </w:tc>
        <w:tc>
          <w:tcPr>
            <w:tcW w:type="dxa" w:w="1440"/>
          </w:tcPr>
          <w:p>
            <w:r>
              <w:t>$3,220.8M</w:t>
            </w:r>
          </w:p>
        </w:tc>
        <w:tc>
          <w:tcPr>
            <w:tcW w:type="dxa" w:w="1440"/>
          </w:tcPr>
          <w:p>
            <w:r>
              <w:t>$4,558.6M</w:t>
            </w:r>
          </w:p>
        </w:tc>
        <w:tc>
          <w:tcPr>
            <w:tcW w:type="dxa" w:w="1440"/>
          </w:tcPr>
          <w:p>
            <w:r>
              <w:t>+70.7%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MI</w:t>
            </w:r>
          </w:p>
        </w:tc>
        <w:tc>
          <w:tcPr>
            <w:tcW w:type="dxa" w:w="1440"/>
          </w:tcPr>
          <w:p>
            <w:r>
              <w:t>MSHDA</w:t>
            </w:r>
          </w:p>
        </w:tc>
        <w:tc>
          <w:tcPr>
            <w:tcW w:type="dxa" w:w="1440"/>
          </w:tcPr>
          <w:p>
            <w:r>
              <w:t>$2,920.5M</w:t>
            </w:r>
          </w:p>
        </w:tc>
        <w:tc>
          <w:tcPr>
            <w:tcW w:type="dxa" w:w="1440"/>
          </w:tcPr>
          <w:p>
            <w:r>
              <w:t>$6,469.0M</w:t>
            </w:r>
          </w:p>
        </w:tc>
        <w:tc>
          <w:tcPr>
            <w:tcW w:type="dxa" w:w="1440"/>
          </w:tcPr>
          <w:p>
            <w:r>
              <w:t>+45.1%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LA</w:t>
            </w:r>
          </w:p>
        </w:tc>
        <w:tc>
          <w:tcPr>
            <w:tcW w:type="dxa" w:w="1440"/>
          </w:tcPr>
          <w:p>
            <w:r>
              <w:t>LHC</w:t>
            </w:r>
          </w:p>
        </w:tc>
        <w:tc>
          <w:tcPr>
            <w:tcW w:type="dxa" w:w="1440"/>
          </w:tcPr>
          <w:p>
            <w:r>
              <w:t>$1,550.8M</w:t>
            </w:r>
          </w:p>
        </w:tc>
        <w:tc>
          <w:tcPr>
            <w:tcW w:type="dxa" w:w="1440"/>
          </w:tcPr>
          <w:p>
            <w:r>
              <w:t>$5,790.2M</w:t>
            </w:r>
          </w:p>
        </w:tc>
        <w:tc>
          <w:tcPr>
            <w:tcW w:type="dxa" w:w="1440"/>
          </w:tcPr>
          <w:p>
            <w:r>
              <w:t>+26.8%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MN</w:t>
            </w:r>
          </w:p>
        </w:tc>
        <w:tc>
          <w:tcPr>
            <w:tcW w:type="dxa" w:w="1440"/>
          </w:tcPr>
          <w:p>
            <w:r>
              <w:t>MNHousing</w:t>
            </w:r>
          </w:p>
        </w:tc>
        <w:tc>
          <w:tcPr>
            <w:tcW w:type="dxa" w:w="1440"/>
          </w:tcPr>
          <w:p>
            <w:r>
              <w:t>$1,389.4M</w:t>
            </w:r>
          </w:p>
        </w:tc>
        <w:tc>
          <w:tcPr>
            <w:tcW w:type="dxa" w:w="1440"/>
          </w:tcPr>
          <w:p>
            <w:r>
              <w:t>$16,088.0M</w:t>
            </w:r>
          </w:p>
        </w:tc>
        <w:tc>
          <w:tcPr>
            <w:tcW w:type="dxa" w:w="1440"/>
          </w:tcPr>
          <w:p>
            <w:r>
              <w:t>+8.6%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IHDA</w:t>
            </w:r>
          </w:p>
        </w:tc>
        <w:tc>
          <w:tcPr>
            <w:tcW w:type="dxa" w:w="1440"/>
          </w:tcPr>
          <w:p>
            <w:r>
              <w:t>$1,373.8M</w:t>
            </w:r>
          </w:p>
        </w:tc>
        <w:tc>
          <w:tcPr>
            <w:tcW w:type="dxa" w:w="1440"/>
          </w:tcPr>
          <w:p>
            <w:r>
              <w:t>$6,526.9M</w:t>
            </w:r>
          </w:p>
        </w:tc>
        <w:tc>
          <w:tcPr>
            <w:tcW w:type="dxa" w:w="1440"/>
          </w:tcPr>
          <w:p>
            <w:r>
              <w:t>+21.0%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WI</w:t>
            </w:r>
          </w:p>
        </w:tc>
        <w:tc>
          <w:tcPr>
            <w:tcW w:type="dxa" w:w="1440"/>
          </w:tcPr>
          <w:p>
            <w:r>
              <w:t>WHEDA</w:t>
            </w:r>
          </w:p>
        </w:tc>
        <w:tc>
          <w:tcPr>
            <w:tcW w:type="dxa" w:w="1440"/>
          </w:tcPr>
          <w:p>
            <w:r>
              <w:t>$1,100.0M</w:t>
            </w:r>
          </w:p>
        </w:tc>
        <w:tc>
          <w:tcPr>
            <w:tcW w:type="dxa" w:w="1440"/>
          </w:tcPr>
          <w:p>
            <w:r>
              <w:t>$2,900.0M</w:t>
            </w:r>
          </w:p>
        </w:tc>
        <w:tc>
          <w:tcPr>
            <w:tcW w:type="dxa" w:w="1440"/>
          </w:tcPr>
          <w:p>
            <w:r>
              <w:t>+37.9%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TX</w:t>
            </w:r>
          </w:p>
        </w:tc>
        <w:tc>
          <w:tcPr>
            <w:tcW w:type="dxa" w:w="1440"/>
          </w:tcPr>
          <w:p>
            <w:r>
              <w:t>TDHCA</w:t>
            </w:r>
          </w:p>
        </w:tc>
        <w:tc>
          <w:tcPr>
            <w:tcW w:type="dxa" w:w="1440"/>
          </w:tcPr>
          <w:p>
            <w:r>
              <w:t>$970.6M</w:t>
            </w:r>
          </w:p>
        </w:tc>
        <w:tc>
          <w:tcPr>
            <w:tcW w:type="dxa" w:w="1440"/>
          </w:tcPr>
          <w:p>
            <w:r>
              <w:t>$4,415.2M</w:t>
            </w:r>
          </w:p>
        </w:tc>
        <w:tc>
          <w:tcPr>
            <w:tcW w:type="dxa" w:w="1440"/>
          </w:tcPr>
          <w:p>
            <w:r>
              <w:t>+22.0%</w:t>
            </w:r>
          </w:p>
        </w:tc>
      </w:tr>
    </w:tbl>
    <w:p>
      <w:r>
        <w:t>洞察：净资产规模最大的机构往往也是多家庭债券（Multifamily Housing Revenue Bonds）与单一家庭抵押贷款计划的“双引擎”玩家。规模本身不等于绩效，但意味着在联邦政策波动时拥有更强的议价能力、更低的边际融资成本，以及承接大型可负担住房项目的组织能力。</w:t>
      </w:r>
    </w:p>
    <w:p>
      <w:pPr>
        <w:pStyle w:val="Heading2"/>
      </w:pPr>
      <w:r>
        <w:t>2.2 净资产增长率 Top 10（财务“加速度”）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州</w:t>
            </w:r>
          </w:p>
        </w:tc>
        <w:tc>
          <w:tcPr>
            <w:tcW w:type="dxa" w:w="1440"/>
          </w:tcPr>
          <w:p>
            <w:r>
              <w:t>机构</w:t>
            </w:r>
          </w:p>
        </w:tc>
        <w:tc>
          <w:tcPr>
            <w:tcW w:type="dxa" w:w="1440"/>
          </w:tcPr>
          <w:p>
            <w:r>
              <w:t>净资产变动</w:t>
            </w:r>
          </w:p>
        </w:tc>
        <w:tc>
          <w:tcPr>
            <w:tcW w:type="dxa" w:w="1440"/>
          </w:tcPr>
          <w:p>
            <w:r>
              <w:t>增长率</w:t>
            </w:r>
          </w:p>
        </w:tc>
        <w:tc>
          <w:tcPr>
            <w:tcW w:type="dxa" w:w="1440"/>
          </w:tcPr>
          <w:p>
            <w:r>
              <w:t>FY2024净资产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MN</w:t>
            </w:r>
          </w:p>
        </w:tc>
        <w:tc>
          <w:tcPr>
            <w:tcW w:type="dxa" w:w="1440"/>
          </w:tcPr>
          <w:p>
            <w:r>
              <w:t>MNHousing</w:t>
            </w:r>
          </w:p>
        </w:tc>
        <w:tc>
          <w:tcPr>
            <w:tcW w:type="dxa" w:w="1440"/>
          </w:tcPr>
          <w:p>
            <w:r>
              <w:t>$669.6M</w:t>
            </w:r>
          </w:p>
        </w:tc>
        <w:tc>
          <w:tcPr>
            <w:tcW w:type="dxa" w:w="1440"/>
          </w:tcPr>
          <w:p>
            <w:r>
              <w:t>+93.0%</w:t>
            </w:r>
          </w:p>
        </w:tc>
        <w:tc>
          <w:tcPr>
            <w:tcW w:type="dxa" w:w="1440"/>
          </w:tcPr>
          <w:p>
            <w:r>
              <w:t>$1,389.4M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AL</w:t>
            </w:r>
          </w:p>
        </w:tc>
        <w:tc>
          <w:tcPr>
            <w:tcW w:type="dxa" w:w="1440"/>
          </w:tcPr>
          <w:p>
            <w:r>
              <w:t>AHFA</w:t>
            </w:r>
          </w:p>
        </w:tc>
        <w:tc>
          <w:tcPr>
            <w:tcW w:type="dxa" w:w="1440"/>
          </w:tcPr>
          <w:p>
            <w:r>
              <w:t>$183.0M</w:t>
            </w:r>
          </w:p>
        </w:tc>
        <w:tc>
          <w:tcPr>
            <w:tcW w:type="dxa" w:w="1440"/>
          </w:tcPr>
          <w:p>
            <w:r>
              <w:t>+60.6%</w:t>
            </w:r>
          </w:p>
        </w:tc>
        <w:tc>
          <w:tcPr>
            <w:tcW w:type="dxa" w:w="1440"/>
          </w:tcPr>
          <w:p>
            <w:r>
              <w:t>$485.0M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IHDA</w:t>
            </w:r>
          </w:p>
        </w:tc>
        <w:tc>
          <w:tcPr>
            <w:tcW w:type="dxa" w:w="1440"/>
          </w:tcPr>
          <w:p>
            <w:r>
              <w:t>$487.8M</w:t>
            </w:r>
          </w:p>
        </w:tc>
        <w:tc>
          <w:tcPr>
            <w:tcW w:type="dxa" w:w="1440"/>
          </w:tcPr>
          <w:p>
            <w:r>
              <w:t>+55.1%</w:t>
            </w:r>
          </w:p>
        </w:tc>
        <w:tc>
          <w:tcPr>
            <w:tcW w:type="dxa" w:w="1440"/>
          </w:tcPr>
          <w:p>
            <w:r>
              <w:t>$1,373.8M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TN</w:t>
            </w:r>
          </w:p>
        </w:tc>
        <w:tc>
          <w:tcPr>
            <w:tcW w:type="dxa" w:w="1440"/>
          </w:tcPr>
          <w:p>
            <w:r>
              <w:t>THDA</w:t>
            </w:r>
          </w:p>
        </w:tc>
        <w:tc>
          <w:tcPr>
            <w:tcW w:type="dxa" w:w="1440"/>
          </w:tcPr>
          <w:p>
            <w:r>
              <w:t>$63.5M</w:t>
            </w:r>
          </w:p>
        </w:tc>
        <w:tc>
          <w:tcPr>
            <w:tcW w:type="dxa" w:w="1440"/>
          </w:tcPr>
          <w:p>
            <w:r>
              <w:t>+11.1%</w:t>
            </w:r>
          </w:p>
        </w:tc>
        <w:tc>
          <w:tcPr>
            <w:tcW w:type="dxa" w:w="1440"/>
          </w:tcPr>
          <w:p>
            <w:r>
              <w:t>$634.9M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IHFA</w:t>
            </w:r>
          </w:p>
        </w:tc>
        <w:tc>
          <w:tcPr>
            <w:tcW w:type="dxa" w:w="1440"/>
          </w:tcPr>
          <w:p>
            <w:r>
              <w:t>$0.0M</w:t>
            </w:r>
          </w:p>
        </w:tc>
        <w:tc>
          <w:tcPr>
            <w:tcW w:type="dxa" w:w="1440"/>
          </w:tcPr>
          <w:p>
            <w:r>
              <w:t>+0.0%</w:t>
            </w:r>
          </w:p>
        </w:tc>
        <w:tc>
          <w:tcPr>
            <w:tcW w:type="dxa" w:w="1440"/>
          </w:tcPr>
          <w:p>
            <w:r>
              <w:t>$302.0M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DSHA</w:t>
            </w:r>
          </w:p>
        </w:tc>
        <w:tc>
          <w:tcPr>
            <w:tcW w:type="dxa" w:w="1440"/>
          </w:tcPr>
          <w:p>
            <w:r>
              <w:t>$-105.6M</w:t>
            </w:r>
          </w:p>
        </w:tc>
        <w:tc>
          <w:tcPr>
            <w:tcW w:type="dxa" w:w="1440"/>
          </w:tcPr>
          <w:p>
            <w:r>
              <w:t>-13.0%</w:t>
            </w:r>
          </w:p>
        </w:tc>
        <w:tc>
          <w:tcPr>
            <w:tcW w:type="dxa" w:w="1440"/>
          </w:tcPr>
          <w:p>
            <w:r>
              <w:t>$705.4M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WI</w:t>
            </w:r>
          </w:p>
        </w:tc>
        <w:tc>
          <w:tcPr>
            <w:tcW w:type="dxa" w:w="1440"/>
          </w:tcPr>
          <w:p>
            <w:r>
              <w:t>WHEDA</w:t>
            </w:r>
          </w:p>
        </w:tc>
        <w:tc>
          <w:tcPr>
            <w:tcW w:type="dxa" w:w="1440"/>
          </w:tcPr>
          <w:p>
            <w:r>
              <w:t>$-3,100.0M</w:t>
            </w:r>
          </w:p>
        </w:tc>
        <w:tc>
          <w:tcPr>
            <w:tcW w:type="dxa" w:w="1440"/>
          </w:tcPr>
          <w:p>
            <w:r>
              <w:t>-73.8%</w:t>
            </w:r>
          </w:p>
        </w:tc>
        <w:tc>
          <w:tcPr>
            <w:tcW w:type="dxa" w:w="1440"/>
          </w:tcPr>
          <w:p>
            <w:r>
              <w:t>$1,100.0M</w:t>
            </w:r>
          </w:p>
        </w:tc>
      </w:tr>
    </w:tbl>
    <w:p>
      <w:r>
        <w:t>洞察：高增长州往往出现在三类情境——(1) 债券发行量反弹；(2) 贷款损失准备释放或公允价值回升；(3) 州级首购/英雄/homeownership计划带来费用与利差改善。但需警惕：若增长主要来自公允价值而非经营性盈余，则可持续性较弱。</w:t>
      </w:r>
    </w:p>
    <w:p>
      <w:pPr>
        <w:pStyle w:val="Heading2"/>
      </w:pPr>
      <w:r>
        <w:t>2.3 总资产规模 Top 10（市场“压舱石”）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州</w:t>
            </w:r>
          </w:p>
        </w:tc>
        <w:tc>
          <w:tcPr>
            <w:tcW w:type="dxa" w:w="1728"/>
          </w:tcPr>
          <w:p>
            <w:r>
              <w:t>机构</w:t>
            </w:r>
          </w:p>
        </w:tc>
        <w:tc>
          <w:tcPr>
            <w:tcW w:type="dxa" w:w="1728"/>
          </w:tcPr>
          <w:p>
            <w:r>
              <w:t>FY2024总资产</w:t>
            </w:r>
          </w:p>
        </w:tc>
        <w:tc>
          <w:tcPr>
            <w:tcW w:type="dxa" w:w="1728"/>
          </w:tcPr>
          <w:p>
            <w:r>
              <w:t>FY2024净资产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SDHDA</w:t>
            </w:r>
          </w:p>
        </w:tc>
        <w:tc>
          <w:tcPr>
            <w:tcW w:type="dxa" w:w="1728"/>
          </w:tcPr>
          <w:p>
            <w:r>
              <w:t>$100,000.0M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NH</w:t>
            </w:r>
          </w:p>
        </w:tc>
        <w:tc>
          <w:tcPr>
            <w:tcW w:type="dxa" w:w="1728"/>
          </w:tcPr>
          <w:p>
            <w:r>
              <w:t>NHHousing</w:t>
            </w:r>
          </w:p>
        </w:tc>
        <w:tc>
          <w:tcPr>
            <w:tcW w:type="dxa" w:w="1728"/>
          </w:tcPr>
          <w:p>
            <w:r>
              <w:t>$89,470.0M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KY</w:t>
            </w:r>
          </w:p>
        </w:tc>
        <w:tc>
          <w:tcPr>
            <w:tcW w:type="dxa" w:w="1728"/>
          </w:tcPr>
          <w:p>
            <w:r>
              <w:t>KHC</w:t>
            </w:r>
          </w:p>
        </w:tc>
        <w:tc>
          <w:tcPr>
            <w:tcW w:type="dxa" w:w="1728"/>
          </w:tcPr>
          <w:p>
            <w:r>
              <w:t>$63,597.0M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THDA</w:t>
            </w:r>
          </w:p>
        </w:tc>
        <w:tc>
          <w:tcPr>
            <w:tcW w:type="dxa" w:w="1728"/>
          </w:tcPr>
          <w:p>
            <w:r>
              <w:t>$63,000.0M</w:t>
            </w:r>
          </w:p>
        </w:tc>
        <w:tc>
          <w:tcPr>
            <w:tcW w:type="dxa" w:w="1728"/>
          </w:tcPr>
          <w:p>
            <w:r>
              <w:t>$634.9M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NJ</w:t>
            </w:r>
          </w:p>
        </w:tc>
        <w:tc>
          <w:tcPr>
            <w:tcW w:type="dxa" w:w="1728"/>
          </w:tcPr>
          <w:p>
            <w:r>
              <w:t>NJHMFA</w:t>
            </w:r>
          </w:p>
        </w:tc>
        <w:tc>
          <w:tcPr>
            <w:tcW w:type="dxa" w:w="1728"/>
          </w:tcPr>
          <w:p>
            <w:r>
              <w:t>$45,185.0M</w:t>
            </w:r>
          </w:p>
        </w:tc>
        <w:tc>
          <w:tcPr>
            <w:tcW w:type="dxa" w:w="1728"/>
          </w:tcPr>
          <w:p>
            <w:r>
              <w:t>$567.2M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ME</w:t>
            </w:r>
          </w:p>
        </w:tc>
        <w:tc>
          <w:tcPr>
            <w:tcW w:type="dxa" w:w="1728"/>
          </w:tcPr>
          <w:p>
            <w:r>
              <w:t>MaineHousing</w:t>
            </w:r>
          </w:p>
        </w:tc>
        <w:tc>
          <w:tcPr>
            <w:tcW w:type="dxa" w:w="1728"/>
          </w:tcPr>
          <w:p>
            <w:r>
              <w:t>$26,303.3M</w:t>
            </w:r>
          </w:p>
        </w:tc>
        <w:tc>
          <w:tcPr>
            <w:tcW w:type="dxa" w:w="1728"/>
          </w:tcPr>
          <w:p>
            <w:r>
              <w:t>$3,280.0M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VT</w:t>
            </w:r>
          </w:p>
        </w:tc>
        <w:tc>
          <w:tcPr>
            <w:tcW w:type="dxa" w:w="1728"/>
          </w:tcPr>
          <w:p>
            <w:r>
              <w:t>VHFA</w:t>
            </w:r>
          </w:p>
        </w:tc>
        <w:tc>
          <w:tcPr>
            <w:tcW w:type="dxa" w:w="1728"/>
          </w:tcPr>
          <w:p>
            <w:r>
              <w:t>$20,400.0M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MN</w:t>
            </w:r>
          </w:p>
        </w:tc>
        <w:tc>
          <w:tcPr>
            <w:tcW w:type="dxa" w:w="1728"/>
          </w:tcPr>
          <w:p>
            <w:r>
              <w:t>MNHousing</w:t>
            </w:r>
          </w:p>
        </w:tc>
        <w:tc>
          <w:tcPr>
            <w:tcW w:type="dxa" w:w="1728"/>
          </w:tcPr>
          <w:p>
            <w:r>
              <w:t>$16,088.0M</w:t>
            </w:r>
          </w:p>
        </w:tc>
        <w:tc>
          <w:tcPr>
            <w:tcW w:type="dxa" w:w="1728"/>
          </w:tcPr>
          <w:p>
            <w:r>
              <w:t>$1,389.4M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WV</w:t>
            </w:r>
          </w:p>
        </w:tc>
        <w:tc>
          <w:tcPr>
            <w:tcW w:type="dxa" w:w="1728"/>
          </w:tcPr>
          <w:p>
            <w:r>
              <w:t>WVHDF</w:t>
            </w:r>
          </w:p>
        </w:tc>
        <w:tc>
          <w:tcPr>
            <w:tcW w:type="dxa" w:w="1728"/>
          </w:tcPr>
          <w:p>
            <w:r>
              <w:t>$12,928.0M</w:t>
            </w:r>
          </w:p>
        </w:tc>
        <w:tc>
          <w:tcPr>
            <w:tcW w:type="dxa" w:w="1728"/>
          </w:tcPr>
          <w:p>
            <w:r>
              <w:t>$71.6M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FloridaHousing</w:t>
            </w:r>
          </w:p>
        </w:tc>
        <w:tc>
          <w:tcPr>
            <w:tcW w:type="dxa" w:w="1728"/>
          </w:tcPr>
          <w:p>
            <w:r>
              <w:t>$6,805.0M</w:t>
            </w:r>
          </w:p>
        </w:tc>
        <w:tc>
          <w:tcPr>
            <w:tcW w:type="dxa" w:w="1728"/>
          </w:tcPr>
          <w:p>
            <w:r>
              <w:t>$4,212.7M</w:t>
            </w:r>
          </w:p>
        </w:tc>
      </w:tr>
    </w:tbl>
    <w:p>
      <w:pPr>
        <w:pStyle w:val="Heading2"/>
      </w:pPr>
      <w:r>
        <w:t>2.4 净资产率 Top 10（财务“缓冲垫”）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州</w:t>
            </w:r>
          </w:p>
        </w:tc>
        <w:tc>
          <w:tcPr>
            <w:tcW w:type="dxa" w:w="1440"/>
          </w:tcPr>
          <w:p>
            <w:r>
              <w:t>机构</w:t>
            </w:r>
          </w:p>
        </w:tc>
        <w:tc>
          <w:tcPr>
            <w:tcW w:type="dxa" w:w="1440"/>
          </w:tcPr>
          <w:p>
            <w:r>
              <w:t>净资产率</w:t>
            </w:r>
          </w:p>
        </w:tc>
        <w:tc>
          <w:tcPr>
            <w:tcW w:type="dxa" w:w="1440"/>
          </w:tcPr>
          <w:p>
            <w:r>
              <w:t>FY2024净资产</w:t>
            </w:r>
          </w:p>
        </w:tc>
        <w:tc>
          <w:tcPr>
            <w:tcW w:type="dxa" w:w="1440"/>
          </w:tcPr>
          <w:p>
            <w:r>
              <w:t>FY2024总资产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VA</w:t>
            </w:r>
          </w:p>
        </w:tc>
        <w:tc>
          <w:tcPr>
            <w:tcW w:type="dxa" w:w="1440"/>
          </w:tcPr>
          <w:p>
            <w:r>
              <w:t>VirginiaHousing</w:t>
            </w:r>
          </w:p>
        </w:tc>
        <w:tc>
          <w:tcPr>
            <w:tcW w:type="dxa" w:w="1440"/>
          </w:tcPr>
          <w:p>
            <w:r>
              <w:t>+91.5%</w:t>
            </w:r>
          </w:p>
        </w:tc>
        <w:tc>
          <w:tcPr>
            <w:tcW w:type="dxa" w:w="1440"/>
          </w:tcPr>
          <w:p>
            <w:r>
              <w:t>$5,491.3M</w:t>
            </w:r>
          </w:p>
        </w:tc>
        <w:tc>
          <w:tcPr>
            <w:tcW w:type="dxa" w:w="1440"/>
          </w:tcPr>
          <w:p>
            <w:r>
              <w:t>$6,000.0M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CA</w:t>
            </w:r>
          </w:p>
        </w:tc>
        <w:tc>
          <w:tcPr>
            <w:tcW w:type="dxa" w:w="1440"/>
          </w:tcPr>
          <w:p>
            <w:r>
              <w:t>CalHFA</w:t>
            </w:r>
          </w:p>
        </w:tc>
        <w:tc>
          <w:tcPr>
            <w:tcW w:type="dxa" w:w="1440"/>
          </w:tcPr>
          <w:p>
            <w:r>
              <w:t>+70.7%</w:t>
            </w:r>
          </w:p>
        </w:tc>
        <w:tc>
          <w:tcPr>
            <w:tcW w:type="dxa" w:w="1440"/>
          </w:tcPr>
          <w:p>
            <w:r>
              <w:t>$3,220.8M</w:t>
            </w:r>
          </w:p>
        </w:tc>
        <w:tc>
          <w:tcPr>
            <w:tcW w:type="dxa" w:w="1440"/>
          </w:tcPr>
          <w:p>
            <w:r>
              <w:t>$4,558.6M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DSHA</w:t>
            </w:r>
          </w:p>
        </w:tc>
        <w:tc>
          <w:tcPr>
            <w:tcW w:type="dxa" w:w="1440"/>
          </w:tcPr>
          <w:p>
            <w:r>
              <w:t>+68.3%</w:t>
            </w:r>
          </w:p>
        </w:tc>
        <w:tc>
          <w:tcPr>
            <w:tcW w:type="dxa" w:w="1440"/>
          </w:tcPr>
          <w:p>
            <w:r>
              <w:t>$705.4M</w:t>
            </w:r>
          </w:p>
        </w:tc>
        <w:tc>
          <w:tcPr>
            <w:tcW w:type="dxa" w:w="1440"/>
          </w:tcPr>
          <w:p>
            <w:r>
              <w:t>$1,033.1M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FL</w:t>
            </w:r>
          </w:p>
        </w:tc>
        <w:tc>
          <w:tcPr>
            <w:tcW w:type="dxa" w:w="1440"/>
          </w:tcPr>
          <w:p>
            <w:r>
              <w:t>FloridaHousing</w:t>
            </w:r>
          </w:p>
        </w:tc>
        <w:tc>
          <w:tcPr>
            <w:tcW w:type="dxa" w:w="1440"/>
          </w:tcPr>
          <w:p>
            <w:r>
              <w:t>+61.9%</w:t>
            </w:r>
          </w:p>
        </w:tc>
        <w:tc>
          <w:tcPr>
            <w:tcW w:type="dxa" w:w="1440"/>
          </w:tcPr>
          <w:p>
            <w:r>
              <w:t>$4,212.7M</w:t>
            </w:r>
          </w:p>
        </w:tc>
        <w:tc>
          <w:tcPr>
            <w:tcW w:type="dxa" w:w="1440"/>
          </w:tcPr>
          <w:p>
            <w:r>
              <w:t>$6,805.0M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MI</w:t>
            </w:r>
          </w:p>
        </w:tc>
        <w:tc>
          <w:tcPr>
            <w:tcW w:type="dxa" w:w="1440"/>
          </w:tcPr>
          <w:p>
            <w:r>
              <w:t>MSHDA</w:t>
            </w:r>
          </w:p>
        </w:tc>
        <w:tc>
          <w:tcPr>
            <w:tcW w:type="dxa" w:w="1440"/>
          </w:tcPr>
          <w:p>
            <w:r>
              <w:t>+45.1%</w:t>
            </w:r>
          </w:p>
        </w:tc>
        <w:tc>
          <w:tcPr>
            <w:tcW w:type="dxa" w:w="1440"/>
          </w:tcPr>
          <w:p>
            <w:r>
              <w:t>$2,920.5M</w:t>
            </w:r>
          </w:p>
        </w:tc>
        <w:tc>
          <w:tcPr>
            <w:tcW w:type="dxa" w:w="1440"/>
          </w:tcPr>
          <w:p>
            <w:r>
              <w:t>$6,469.0M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AL</w:t>
            </w:r>
          </w:p>
        </w:tc>
        <w:tc>
          <w:tcPr>
            <w:tcW w:type="dxa" w:w="1440"/>
          </w:tcPr>
          <w:p>
            <w:r>
              <w:t>AHFA</w:t>
            </w:r>
          </w:p>
        </w:tc>
        <w:tc>
          <w:tcPr>
            <w:tcW w:type="dxa" w:w="1440"/>
          </w:tcPr>
          <w:p>
            <w:r>
              <w:t>+44.8%</w:t>
            </w:r>
          </w:p>
        </w:tc>
        <w:tc>
          <w:tcPr>
            <w:tcW w:type="dxa" w:w="1440"/>
          </w:tcPr>
          <w:p>
            <w:r>
              <w:t>$485.0M</w:t>
            </w:r>
          </w:p>
        </w:tc>
        <w:tc>
          <w:tcPr>
            <w:tcW w:type="dxa" w:w="1440"/>
          </w:tcPr>
          <w:p>
            <w:r>
              <w:t>$1,082.2M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WY</w:t>
            </w:r>
          </w:p>
        </w:tc>
        <w:tc>
          <w:tcPr>
            <w:tcW w:type="dxa" w:w="1440"/>
          </w:tcPr>
          <w:p>
            <w:r>
              <w:t>WCDA</w:t>
            </w:r>
          </w:p>
        </w:tc>
        <w:tc>
          <w:tcPr>
            <w:tcW w:type="dxa" w:w="1440"/>
          </w:tcPr>
          <w:p>
            <w:r>
              <w:t>+43.4%</w:t>
            </w:r>
          </w:p>
        </w:tc>
        <w:tc>
          <w:tcPr>
            <w:tcW w:type="dxa" w:w="1440"/>
          </w:tcPr>
          <w:p>
            <w:r>
              <w:t>$441.3M</w:t>
            </w:r>
          </w:p>
        </w:tc>
        <w:tc>
          <w:tcPr>
            <w:tcW w:type="dxa" w:w="1440"/>
          </w:tcPr>
          <w:p>
            <w:r>
              <w:t>$1,017.3M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WA</w:t>
            </w:r>
          </w:p>
        </w:tc>
        <w:tc>
          <w:tcPr>
            <w:tcW w:type="dxa" w:w="1440"/>
          </w:tcPr>
          <w:p>
            <w:r>
              <w:t>WSHFC</w:t>
            </w:r>
          </w:p>
        </w:tc>
        <w:tc>
          <w:tcPr>
            <w:tcW w:type="dxa" w:w="1440"/>
          </w:tcPr>
          <w:p>
            <w:r>
              <w:t>+43.3%</w:t>
            </w:r>
          </w:p>
        </w:tc>
        <w:tc>
          <w:tcPr>
            <w:tcW w:type="dxa" w:w="1440"/>
          </w:tcPr>
          <w:p>
            <w:r>
              <w:t>$935.6M</w:t>
            </w:r>
          </w:p>
        </w:tc>
        <w:tc>
          <w:tcPr>
            <w:tcW w:type="dxa" w:w="1440"/>
          </w:tcPr>
          <w:p>
            <w:r>
              <w:t>$2,162.4M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WI</w:t>
            </w:r>
          </w:p>
        </w:tc>
        <w:tc>
          <w:tcPr>
            <w:tcW w:type="dxa" w:w="1440"/>
          </w:tcPr>
          <w:p>
            <w:r>
              <w:t>WHEDA</w:t>
            </w:r>
          </w:p>
        </w:tc>
        <w:tc>
          <w:tcPr>
            <w:tcW w:type="dxa" w:w="1440"/>
          </w:tcPr>
          <w:p>
            <w:r>
              <w:t>+37.9%</w:t>
            </w:r>
          </w:p>
        </w:tc>
        <w:tc>
          <w:tcPr>
            <w:tcW w:type="dxa" w:w="1440"/>
          </w:tcPr>
          <w:p>
            <w:r>
              <w:t>$1,100.0M</w:t>
            </w:r>
          </w:p>
        </w:tc>
        <w:tc>
          <w:tcPr>
            <w:tcW w:type="dxa" w:w="1440"/>
          </w:tcPr>
          <w:p>
            <w:r>
              <w:t>$2,900.0M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MT</w:t>
            </w:r>
          </w:p>
        </w:tc>
        <w:tc>
          <w:tcPr>
            <w:tcW w:type="dxa" w:w="1440"/>
          </w:tcPr>
          <w:p>
            <w:r>
              <w:t>MTHousing</w:t>
            </w:r>
          </w:p>
        </w:tc>
        <w:tc>
          <w:tcPr>
            <w:tcW w:type="dxa" w:w="1440"/>
          </w:tcPr>
          <w:p>
            <w:r>
              <w:t>+34.1%</w:t>
            </w:r>
          </w:p>
        </w:tc>
        <w:tc>
          <w:tcPr>
            <w:tcW w:type="dxa" w:w="1440"/>
          </w:tcPr>
          <w:p>
            <w:r>
              <w:t>$302.0M</w:t>
            </w:r>
          </w:p>
        </w:tc>
        <w:tc>
          <w:tcPr>
            <w:tcW w:type="dxa" w:w="1440"/>
          </w:tcPr>
          <w:p>
            <w:r>
              <w:t>$886.0M</w:t>
            </w:r>
          </w:p>
        </w:tc>
      </w:tr>
    </w:tbl>
    <w:p>
      <w:r>
        <w:t>洞察：净资产率较高的机构，通常在资产减值、利率冲击、或债券再融资窗口收窄时拥有更大回旋余地。对于政策制定者，这是“财政韧性”的硬指标，而非公关话术。</w:t>
      </w:r>
    </w:p>
    <w:p>
      <w:pPr>
        <w:pStyle w:val="Heading1"/>
      </w:pPr>
      <w:r>
        <w:t>三、区域与模式对比：五种“州级HFA原型”</w:t>
      </w:r>
    </w:p>
    <w:p>
      <w:r>
        <w:t>通过FY2024披露信息，可将州级HFA粗略分为五类原型，便于跨州对标：</w:t>
      </w:r>
    </w:p>
    <w:p>
      <w:pPr>
        <w:pStyle w:val="ListBullet"/>
      </w:pPr>
      <w:r>
        <w:rPr>
          <w:b/>
        </w:rPr>
        <w:t xml:space="preserve">债券驱动型巨人: </w:t>
      </w:r>
      <w:r>
        <w:t>如MI、IL、MN等，资产与负债同步扩张，高度依赖MHRB/SFR计划与GSE对接。</w:t>
      </w:r>
    </w:p>
    <w:p>
      <w:pPr>
        <w:pStyle w:val="ListBullet"/>
      </w:pPr>
      <w:r>
        <w:rPr>
          <w:b/>
        </w:rPr>
        <w:t xml:space="preserve">精悍增长型: </w:t>
      </w:r>
      <w:r>
        <w:t>如NH、WV等，体量中等但净资产增长显著，适合研究“小州如何做大影响”。</w:t>
      </w:r>
    </w:p>
    <w:p>
      <w:pPr>
        <w:pStyle w:val="ListBullet"/>
      </w:pPr>
      <w:r>
        <w:rPr>
          <w:b/>
        </w:rPr>
        <w:t xml:space="preserve">综合州部门型: </w:t>
      </w:r>
      <w:r>
        <w:t>如TX TDHCA，财务结构更偏行政基金+企业基金并行，披露口径需特别关注。</w:t>
      </w:r>
    </w:p>
    <w:p>
      <w:pPr>
        <w:pStyle w:val="ListBullet"/>
      </w:pPr>
      <w:r>
        <w:rPr>
          <w:b/>
        </w:rPr>
        <w:t xml:space="preserve">沿海高成本州: </w:t>
      </w:r>
      <w:r>
        <w:t>如CA、NY、WA，受房价与建筑成本制约，财务表现与项目管道高度相关。FY2024 CalHFA 净资产约 $32.2 亿、总资产近 $45.6 亿，单一家庭 TBA 证券化超 $30 亿，是全国体量最大的州级住房金融玩家之一。</w:t>
      </w:r>
    </w:p>
    <w:p>
      <w:pPr>
        <w:pStyle w:val="ListBullet"/>
      </w:pPr>
      <w:r>
        <w:rPr>
          <w:b/>
        </w:rPr>
        <w:t xml:space="preserve">资源型/低密度州: </w:t>
      </w:r>
      <w:r>
        <w:t>如WY、ND、SD，发行周期波动大，但单次项目对财务报表影响更显著。</w:t>
      </w:r>
    </w:p>
    <w:p>
      <w:pPr>
        <w:pStyle w:val="Heading1"/>
      </w:pPr>
      <w:r>
        <w:t>四、有趣洞察：数字背后的三条“反直觉”</w:t>
      </w:r>
    </w:p>
    <w:p>
      <w:r>
        <w:rPr>
          <w:b/>
        </w:rPr>
        <w:t xml:space="preserve">越大不一定越“安全”. </w:t>
      </w:r>
      <w:r>
        <w:t>资产规模最大的机构往往伴随最高的负债与衍生品敞口。在FY2024利率路径仍不确定的环境下，应同时看净资产率与现金流，而非只看资产排名。</w:t>
      </w:r>
    </w:p>
    <w:p>
      <w:r>
        <w:rPr>
          <w:b/>
        </w:rPr>
        <w:t xml:space="preserve">净资产增长≠多盖了房. </w:t>
      </w:r>
      <w:r>
        <w:t>会计准则下的净资产变动可能来自投资公允价值、损失准备、或债券溢价摊销。评估住房产出，必须将ACFR与项目绩效报告（units financed, bonds issued）交叉验证。</w:t>
      </w:r>
    </w:p>
    <w:p>
      <w:r>
        <w:rPr>
          <w:b/>
        </w:rPr>
        <w:t xml:space="preserve">披露质量本身就是竞争力. </w:t>
      </w:r>
      <w:r>
        <w:t>获得GFOA Certificate of Achievement的机构（如IL IHDA）通常披露更完整、MD&amp;A更可读——这降低了投资者成本，间接转化为更低的债券利差。</w:t>
      </w:r>
    </w:p>
    <w:p>
      <w:pPr>
        <w:pStyle w:val="Heading1"/>
      </w:pPr>
      <w:r>
        <w:t>五、建设性建议：面向FY2025及以后的政策工具箱</w:t>
      </w:r>
    </w:p>
    <w:p>
      <w:pPr>
        <w:pStyle w:val="ListNumber"/>
      </w:pPr>
      <w:r>
        <w:rPr>
          <w:b/>
        </w:rPr>
        <w:t xml:space="preserve">建立“HFA财务健康指数”（HFA Financial Health Index）. </w:t>
      </w:r>
      <w:r>
        <w:t>建议各州统一披露：净资产率、债务服务覆盖率、贷款逾期率、LIHTC项目管道、以及单一家庭/多家庭占比。用一套可比指标替代碎片化叙述。</w:t>
      </w:r>
    </w:p>
    <w:p>
      <w:pPr>
        <w:pStyle w:val="ListNumber"/>
      </w:pPr>
      <w:r>
        <w:rPr>
          <w:b/>
        </w:rPr>
        <w:t xml:space="preserve">把“可负担”写进资产负债表. </w:t>
      </w:r>
      <w:r>
        <w:t>在MD&amp;A中增加单位成本指标：每100万美元债券融资对应的可负担单元数、每单位净资产的首购家庭数。让财务报告与住房成果直接挂钩。</w:t>
      </w:r>
    </w:p>
    <w:p>
      <w:pPr>
        <w:pStyle w:val="ListNumber"/>
      </w:pPr>
      <w:r>
        <w:rPr>
          <w:b/>
        </w:rPr>
        <w:t xml:space="preserve">跨州联合发债与风险共担. </w:t>
      </w:r>
      <w:r>
        <w:t>对小型HFA，探索区域联合债券池（regional pool）以降低发行成本；对大型HFA，探索灾难与利率风险的对冲工具标准化。</w:t>
      </w:r>
    </w:p>
    <w:p>
      <w:pPr>
        <w:pStyle w:val="ListNumber"/>
      </w:pPr>
      <w:r>
        <w:rPr>
          <w:b/>
        </w:rPr>
        <w:t xml:space="preserve">数字化披露与机器可读数据. </w:t>
      </w:r>
      <w:r>
        <w:t>推动XBRL或结构化CSV附件，便于研究者、评级机构与联邦伙伴实时监测。这将显著提升本报告一类分析的时效性与准确性。</w:t>
      </w:r>
    </w:p>
    <w:p>
      <w:pPr>
        <w:pStyle w:val="ListNumber"/>
      </w:pPr>
      <w:r>
        <w:rPr>
          <w:b/>
        </w:rPr>
        <w:t xml:space="preserve">关注“中间缺失”市场（Missing Middle）. </w:t>
      </w:r>
      <w:r>
        <w:t>建议在财务规划中单独追踪80%-120% AMI项目，避免所有资源集中在极低收入与市场化两端，导致教师/护士等群体持续被挤出。</w:t>
      </w:r>
    </w:p>
    <w:p>
      <w:pPr>
        <w:pStyle w:val="Heading1"/>
      </w:pPr>
      <w:r>
        <w:t>六、数据覆盖与下载清单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州</w:t>
            </w:r>
          </w:p>
        </w:tc>
        <w:tc>
          <w:tcPr>
            <w:tcW w:type="dxa" w:w="1728"/>
          </w:tcPr>
          <w:p>
            <w:r>
              <w:t>机构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AK</w:t>
            </w:r>
          </w:p>
        </w:tc>
        <w:tc>
          <w:tcPr>
            <w:tcW w:type="dxa" w:w="1728"/>
          </w:tcPr>
          <w:p>
            <w:r>
              <w:t>AHFC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AK_AHFC_FY2024_ACFR.txt</w:t>
            </w:r>
          </w:p>
        </w:tc>
        <w:tc>
          <w:tcPr>
            <w:tcW w:type="dxa" w:w="1728"/>
          </w:tcPr>
          <w:p>
            <w:r>
              <w:t>未能自动提取核心指标，需人工复核PDF; 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AL</w:t>
            </w:r>
          </w:p>
        </w:tc>
        <w:tc>
          <w:tcPr>
            <w:tcW w:type="dxa" w:w="1728"/>
          </w:tcPr>
          <w:p>
            <w:r>
              <w:t>AHFA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AL_AHFA_FY2024_ACFR.txt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AR</w:t>
            </w:r>
          </w:p>
        </w:tc>
        <w:tc>
          <w:tcPr>
            <w:tcW w:type="dxa" w:w="1728"/>
          </w:tcPr>
          <w:p>
            <w:r>
              <w:t>ADFA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AZ</w:t>
            </w:r>
          </w:p>
        </w:tc>
        <w:tc>
          <w:tcPr>
            <w:tcW w:type="dxa" w:w="1728"/>
          </w:tcPr>
          <w:p>
            <w:r>
              <w:t>ADOH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CA</w:t>
            </w:r>
          </w:p>
        </w:tc>
        <w:tc>
          <w:tcPr>
            <w:tcW w:type="dxa" w:w="1728"/>
          </w:tcPr>
          <w:p>
            <w:r>
              <w:t>CalHFA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CA_CalHFA_FY2024_ACFR.txt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CHFA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CT</w:t>
            </w:r>
          </w:p>
        </w:tc>
        <w:tc>
          <w:tcPr>
            <w:tcW w:type="dxa" w:w="1728"/>
          </w:tcPr>
          <w:p>
            <w:r>
              <w:t>CHFA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CT_CHFA_FY2024_ACFR.txt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DCHFA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DE</w:t>
            </w:r>
          </w:p>
        </w:tc>
        <w:tc>
          <w:tcPr>
            <w:tcW w:type="dxa" w:w="1728"/>
          </w:tcPr>
          <w:p>
            <w:r>
              <w:t>DSHA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DE_DSHA_FY2024_ACFR.txt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FloridaHousing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FL_FloridaHousing_FY2024_ACFR.txt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GA</w:t>
            </w:r>
          </w:p>
        </w:tc>
        <w:tc>
          <w:tcPr>
            <w:tcW w:type="dxa" w:w="1728"/>
          </w:tcPr>
          <w:p>
            <w:r>
              <w:t>GHFA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GA_GHFA_FY2024_ACFR.txt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HI</w:t>
            </w:r>
          </w:p>
        </w:tc>
        <w:tc>
          <w:tcPr>
            <w:tcW w:type="dxa" w:w="1728"/>
          </w:tcPr>
          <w:p>
            <w:r>
              <w:t>HHFDC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HI_HHFDC_FY2024_ACFR.txt</w:t>
            </w:r>
          </w:p>
        </w:tc>
        <w:tc>
          <w:tcPr>
            <w:tcW w:type="dxa" w:w="1728"/>
          </w:tcPr>
          <w:p>
            <w:r>
              <w:t>文件为州级ACFR/合并报表，未纳入HFA专项排名</w:t>
            </w:r>
          </w:p>
        </w:tc>
      </w:tr>
      <w:tr>
        <w:tc>
          <w:tcPr>
            <w:tcW w:type="dxa" w:w="1728"/>
          </w:tcPr>
          <w:p>
            <w:r>
              <w:t>IA</w:t>
            </w:r>
          </w:p>
        </w:tc>
        <w:tc>
          <w:tcPr>
            <w:tcW w:type="dxa" w:w="1728"/>
          </w:tcPr>
          <w:p>
            <w:r>
              <w:t>IFA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IA_IFA_FY2024_ACFR.txt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ID_IHFA_FY2024_ACFR.txt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IL</w:t>
            </w:r>
          </w:p>
        </w:tc>
        <w:tc>
          <w:tcPr>
            <w:tcW w:type="dxa" w:w="1728"/>
          </w:tcPr>
          <w:p>
            <w:r>
              <w:t>IHDA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IL_IHDA_FY2024_ACFR.txt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</w:t>
            </w:r>
          </w:p>
        </w:tc>
        <w:tc>
          <w:tcPr>
            <w:tcW w:type="dxa" w:w="1728"/>
          </w:tcPr>
          <w:p>
            <w:r>
              <w:t>IHCDA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IN_IHCDA_FY2024_ACFR.txt</w:t>
            </w:r>
          </w:p>
        </w:tc>
        <w:tc>
          <w:tcPr>
            <w:tcW w:type="dxa" w:w="1728"/>
          </w:tcPr>
          <w:p>
            <w:r>
              <w:t>未能自动提取核心指标，需人工复核PDF; 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KS</w:t>
            </w:r>
          </w:p>
        </w:tc>
        <w:tc>
          <w:tcPr>
            <w:tcW w:type="dxa" w:w="1728"/>
          </w:tcPr>
          <w:p>
            <w:r>
              <w:t>KHRC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KS_KHRC_FY2024_ACFR.txt</w:t>
            </w:r>
          </w:p>
        </w:tc>
        <w:tc>
          <w:tcPr>
            <w:tcW w:type="dxa" w:w="1728"/>
          </w:tcPr>
          <w:p>
            <w:r>
              <w:t>未能自动提取核心指标，需人工复核PDF; 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KY</w:t>
            </w:r>
          </w:p>
        </w:tc>
        <w:tc>
          <w:tcPr>
            <w:tcW w:type="dxa" w:w="1728"/>
          </w:tcPr>
          <w:p>
            <w:r>
              <w:t>KHC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KY_KHC_FY2024_ACFR.txt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LA</w:t>
            </w:r>
          </w:p>
        </w:tc>
        <w:tc>
          <w:tcPr>
            <w:tcW w:type="dxa" w:w="1728"/>
          </w:tcPr>
          <w:p>
            <w:r>
              <w:t>LHC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LA_LHC_FY2024_ACFR.txt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MA</w:t>
            </w:r>
          </w:p>
        </w:tc>
        <w:tc>
          <w:tcPr>
            <w:tcW w:type="dxa" w:w="1728"/>
          </w:tcPr>
          <w:p>
            <w:r>
              <w:t>MassHousing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MA_MassHousing_FY2024_ACFR.txt</w:t>
            </w:r>
          </w:p>
        </w:tc>
        <w:tc>
          <w:tcPr>
            <w:tcW w:type="dxa" w:w="1728"/>
          </w:tcPr>
          <w:p>
            <w:r>
              <w:t>未能自动提取核心指标，需人工复核PDF; 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MD</w:t>
            </w:r>
          </w:p>
        </w:tc>
        <w:tc>
          <w:tcPr>
            <w:tcW w:type="dxa" w:w="1728"/>
          </w:tcPr>
          <w:p>
            <w:r>
              <w:t>CDA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MD_CDA_FY2024_ACFR.txt</w:t>
            </w:r>
          </w:p>
        </w:tc>
        <w:tc>
          <w:tcPr>
            <w:tcW w:type="dxa" w:w="1728"/>
          </w:tcPr>
          <w:p>
            <w:r>
              <w:t>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ME</w:t>
            </w:r>
          </w:p>
        </w:tc>
        <w:tc>
          <w:tcPr>
            <w:tcW w:type="dxa" w:w="1728"/>
          </w:tcPr>
          <w:p>
            <w:r>
              <w:t>MaineHousing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ME_MaineHousing_FY2024_ACFR.txt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MI</w:t>
            </w:r>
          </w:p>
        </w:tc>
        <w:tc>
          <w:tcPr>
            <w:tcW w:type="dxa" w:w="1728"/>
          </w:tcPr>
          <w:p>
            <w:r>
              <w:t>MSHDA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MI_FY2024_full.txt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MN</w:t>
            </w:r>
          </w:p>
        </w:tc>
        <w:tc>
          <w:tcPr>
            <w:tcW w:type="dxa" w:w="1728"/>
          </w:tcPr>
          <w:p>
            <w:r>
              <w:t>MNHousing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MN_MNHousing_FY2024_ACFR.txt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</w:t>
            </w:r>
          </w:p>
        </w:tc>
        <w:tc>
          <w:tcPr>
            <w:tcW w:type="dxa" w:w="1728"/>
          </w:tcPr>
          <w:p>
            <w:r>
              <w:t>MHDC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MO_MHDC_FY2024_ACFR.txt</w:t>
            </w:r>
          </w:p>
        </w:tc>
        <w:tc>
          <w:tcPr>
            <w:tcW w:type="dxa" w:w="1728"/>
          </w:tcPr>
          <w:p>
            <w:r>
              <w:t>未能自动提取核心指标，需人工复核PDF; 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MS</w:t>
            </w:r>
          </w:p>
        </w:tc>
        <w:tc>
          <w:tcPr>
            <w:tcW w:type="dxa" w:w="1728"/>
          </w:tcPr>
          <w:p>
            <w:r>
              <w:t>MHC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MS_MHC_FY2024_ACFR.txt</w:t>
            </w:r>
          </w:p>
        </w:tc>
        <w:tc>
          <w:tcPr>
            <w:tcW w:type="dxa" w:w="1728"/>
          </w:tcPr>
          <w:p>
            <w:r>
              <w:t>未能自动提取核心指标，需人工复核PDF; 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MT</w:t>
            </w:r>
          </w:p>
        </w:tc>
        <w:tc>
          <w:tcPr>
            <w:tcW w:type="dxa" w:w="1728"/>
          </w:tcPr>
          <w:p>
            <w:r>
              <w:t>MTHousing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MT_MTHousing_FY2024_ACFR.txt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NCHFA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NC_NCHFA_FY2024_ACFR.txt</w:t>
            </w:r>
          </w:p>
        </w:tc>
        <w:tc>
          <w:tcPr>
            <w:tcW w:type="dxa" w:w="1728"/>
          </w:tcPr>
          <w:p>
            <w:r>
              <w:t>未能自动提取核心指标，需人工复核PDF; 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ND</w:t>
            </w:r>
          </w:p>
        </w:tc>
        <w:tc>
          <w:tcPr>
            <w:tcW w:type="dxa" w:w="1728"/>
          </w:tcPr>
          <w:p>
            <w:r>
              <w:t>NDHFA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ND_raw.txt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NE</w:t>
            </w:r>
          </w:p>
        </w:tc>
        <w:tc>
          <w:tcPr>
            <w:tcW w:type="dxa" w:w="1728"/>
          </w:tcPr>
          <w:p>
            <w:r>
              <w:t>NIFA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NH</w:t>
            </w:r>
          </w:p>
        </w:tc>
        <w:tc>
          <w:tcPr>
            <w:tcW w:type="dxa" w:w="1728"/>
          </w:tcPr>
          <w:p>
            <w:r>
              <w:t>NHHousing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NH_NHHousing_FY2024_ACFR.txt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NJ</w:t>
            </w:r>
          </w:p>
        </w:tc>
        <w:tc>
          <w:tcPr>
            <w:tcW w:type="dxa" w:w="1728"/>
          </w:tcPr>
          <w:p>
            <w:r>
              <w:t>NJHMFA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NJ_NJHMFA_FY2024_ACFR.txt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MFA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NV</w:t>
            </w:r>
          </w:p>
        </w:tc>
        <w:tc>
          <w:tcPr>
            <w:tcW w:type="dxa" w:w="1728"/>
          </w:tcPr>
          <w:p>
            <w:r>
              <w:t>NHD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NY</w:t>
            </w:r>
          </w:p>
        </w:tc>
        <w:tc>
          <w:tcPr>
            <w:tcW w:type="dxa" w:w="1728"/>
          </w:tcPr>
          <w:p>
            <w:r>
              <w:t>HCR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OH</w:t>
            </w:r>
          </w:p>
        </w:tc>
        <w:tc>
          <w:tcPr>
            <w:tcW w:type="dxa" w:w="1728"/>
          </w:tcPr>
          <w:p>
            <w:r>
              <w:t>OHFA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OHFA_OK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OHCS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PHFA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RI</w:t>
            </w:r>
          </w:p>
        </w:tc>
        <w:tc>
          <w:tcPr>
            <w:tcW w:type="dxa" w:w="1728"/>
          </w:tcPr>
          <w:p>
            <w:r>
              <w:t>RIHousing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SCHFDA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未找到FY2024 PDF链接</w:t>
            </w:r>
          </w:p>
        </w:tc>
      </w:tr>
      <w:tr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SDHDA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SD_SDHDA_FY2024_ACFR.txt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THDA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TN_THDA_FY2024_ACFR.txt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TX</w:t>
            </w:r>
          </w:p>
        </w:tc>
        <w:tc>
          <w:tcPr>
            <w:tcW w:type="dxa" w:w="1728"/>
          </w:tcPr>
          <w:p>
            <w:r>
              <w:t>TDHCA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TX_TDHCA_FY2024_ACFR.txt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UT</w:t>
            </w:r>
          </w:p>
        </w:tc>
        <w:tc>
          <w:tcPr>
            <w:tcW w:type="dxa" w:w="1728"/>
          </w:tcPr>
          <w:p>
            <w:r>
              <w:t>UtahHousing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UT_UtahHousing_FY2024_ACFR.txt</w:t>
            </w:r>
          </w:p>
        </w:tc>
        <w:tc>
          <w:tcPr>
            <w:tcW w:type="dxa" w:w="1728"/>
          </w:tcPr>
          <w:p>
            <w:r>
              <w:t>未能自动提取核心指标，需人工复核PDF</w:t>
            </w:r>
          </w:p>
        </w:tc>
      </w:tr>
      <w:tr>
        <w:tc>
          <w:tcPr>
            <w:tcW w:type="dxa" w:w="1728"/>
          </w:tcPr>
          <w:p>
            <w:r>
              <w:t>VA</w:t>
            </w:r>
          </w:p>
        </w:tc>
        <w:tc>
          <w:tcPr>
            <w:tcW w:type="dxa" w:w="1728"/>
          </w:tcPr>
          <w:p>
            <w:r>
              <w:t>VirginiaHousing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VA_VirginiaHousing_FY2024_ACFR.txt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VT</w:t>
            </w:r>
          </w:p>
        </w:tc>
        <w:tc>
          <w:tcPr>
            <w:tcW w:type="dxa" w:w="1728"/>
          </w:tcPr>
          <w:p>
            <w:r>
              <w:t>VHFA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VT_VHFA_FY2024_ACFR.txt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WA</w:t>
            </w:r>
          </w:p>
        </w:tc>
        <w:tc>
          <w:tcPr>
            <w:tcW w:type="dxa" w:w="1728"/>
          </w:tcPr>
          <w:p>
            <w:r>
              <w:t>WSHFC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WA_WSHFC_FY2024_ACFR.txt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WI</w:t>
            </w:r>
          </w:p>
        </w:tc>
        <w:tc>
          <w:tcPr>
            <w:tcW w:type="dxa" w:w="1728"/>
          </w:tcPr>
          <w:p>
            <w:r>
              <w:t>WHEDA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WI_WHEDA_FY2024_ACFR.txt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WV</w:t>
            </w:r>
          </w:p>
        </w:tc>
        <w:tc>
          <w:tcPr>
            <w:tcW w:type="dxa" w:w="1728"/>
          </w:tcPr>
          <w:p>
            <w:r>
              <w:t>WVHDF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WV_WVHDF_FY2024_ACFR.txt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WY</w:t>
            </w:r>
          </w:p>
        </w:tc>
        <w:tc>
          <w:tcPr>
            <w:tcW w:type="dxa" w:w="1728"/>
          </w:tcPr>
          <w:p>
            <w:r>
              <w:t>WCDA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WY_WCDA_FY2024_ACFR.txt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1"/>
      </w:pPr>
      <w:r>
        <w:t>七、尚未获取FY2024报告的州（需持续跟踪）</w:t>
      </w:r>
    </w:p>
    <w:p>
      <w:r>
        <w:t>以下 14 个州/特区截至本报告编制时，尚未在公开渠道定位到FY2024 ACFR/财务报表，可能原因包括：审计尚未完成、仅发布FY2024、或报告托管在非标准页面。</w:t>
      </w:r>
    </w:p>
    <w:p>
      <w:pPr>
        <w:pStyle w:val="ListBullet"/>
      </w:pPr>
      <w:r>
        <w:t>AZ - Arizona Department of Housing (ADOH)</w:t>
      </w:r>
    </w:p>
    <w:p>
      <w:pPr>
        <w:pStyle w:val="ListBullet"/>
      </w:pPr>
      <w:r>
        <w:t>AR - Arkansas Development Finance Authority (ADFA)</w:t>
      </w:r>
    </w:p>
    <w:p>
      <w:pPr>
        <w:pStyle w:val="ListBullet"/>
      </w:pPr>
      <w:r>
        <w:t>CO - Colorado Housing and Finance Authority (CHFA)</w:t>
      </w:r>
    </w:p>
    <w:p>
      <w:pPr>
        <w:pStyle w:val="ListBullet"/>
      </w:pPr>
      <w:r>
        <w:t>DC - DC Housing Finance Agency (DCHFA)</w:t>
      </w:r>
    </w:p>
    <w:p>
      <w:pPr>
        <w:pStyle w:val="ListBullet"/>
      </w:pPr>
      <w:r>
        <w:t>NE - Nebraska Investment Finance Authority (NIFA)</w:t>
      </w:r>
    </w:p>
    <w:p>
      <w:pPr>
        <w:pStyle w:val="ListBullet"/>
      </w:pPr>
      <w:r>
        <w:t>NV - Nevada Housing Division (NHD)</w:t>
      </w:r>
    </w:p>
    <w:p>
      <w:pPr>
        <w:pStyle w:val="ListBullet"/>
      </w:pPr>
      <w:r>
        <w:t>NM - New Mexico Mortgage Finance Authority (MFA)</w:t>
      </w:r>
    </w:p>
    <w:p>
      <w:pPr>
        <w:pStyle w:val="ListBullet"/>
      </w:pPr>
      <w:r>
        <w:t>NY - New York State Homes and Community Renewal (HCR)</w:t>
      </w:r>
    </w:p>
    <w:p>
      <w:pPr>
        <w:pStyle w:val="ListBullet"/>
      </w:pPr>
      <w:r>
        <w:t>OH - Ohio Housing Finance Agency (OHFA)</w:t>
      </w:r>
    </w:p>
    <w:p>
      <w:pPr>
        <w:pStyle w:val="ListBullet"/>
      </w:pPr>
      <w:r>
        <w:t>OK - Oklahoma Housing Finance Agency (OHFA_OK)</w:t>
      </w:r>
    </w:p>
    <w:p>
      <w:pPr>
        <w:pStyle w:val="ListBullet"/>
      </w:pPr>
      <w:r>
        <w:t>OR - Oregon Housing and Community Services (OHCS)</w:t>
      </w:r>
    </w:p>
    <w:p>
      <w:pPr>
        <w:pStyle w:val="ListBullet"/>
      </w:pPr>
      <w:r>
        <w:t>PA - Pennsylvania Housing Finance Agency (PHFA)</w:t>
      </w:r>
    </w:p>
    <w:p>
      <w:pPr>
        <w:pStyle w:val="ListBullet"/>
      </w:pPr>
      <w:r>
        <w:t>RI - Rhode Island Housing (RIHousing)</w:t>
      </w:r>
    </w:p>
    <w:p>
      <w:pPr>
        <w:pStyle w:val="ListBullet"/>
      </w:pPr>
      <w:r>
        <w:t>SC - South Carolina State Housing Finance and Development Authority (SCHFDA)</w:t>
      </w:r>
    </w:p>
    <w:p>
      <w:pPr>
        <w:pStyle w:val="Heading1"/>
      </w:pPr>
      <w:r>
        <w:t>附录：方法论</w:t>
      </w:r>
    </w:p>
    <w:p>
      <w:r>
        <w:t>数据来源：各州HFA/州审计机构官网公开发布的FY2024 ACFR或经审计财务报表PDF。指标提取：优先解析MD&amp;A“Financial Highlights”及Statement of Net Position中的Total assets / Total liabilities / Total net position（单位通常为千美元）。限制：不同州披露口径（政府活动/企业活动/合并）存在差异，跨州比较应结合注释阅读。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