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0"/>
        </w:rPr>
        <w:t>FY2024 U.S. State Housing Finance Agencies</w:t>
        <w:br/>
        <w:t>ACFR &amp; Financial Statements: Panoramic Analysis &amp; Strategic Insights</w:t>
      </w:r>
    </w:p>
    <w:p>
      <w:pPr>
        <w:jc w:val="center"/>
      </w:pPr>
      <w:r>
        <w:rPr>
          <w:i/>
        </w:rPr>
        <w:t>Prepared: August 07, 2026  |  Coverage: 51 states/territories  |  Reports obtained: 37 FY2024 filings</w:t>
      </w:r>
    </w:p>
    <w:p>
      <w:pPr>
        <w:pStyle w:val="Heading1"/>
      </w:pPr>
      <w:r>
        <w:t>I. Executive Summary: A Balance-Sheet Moment for Housing Finance</w:t>
      </w:r>
    </w:p>
    <w:p>
      <w:r>
        <w:t>FY2024 (year ended June 30, 2024; some agencies use a calendar year) was a pivotal financial year for State Housing Finance Agencies (HFAs) amid elevated interest rates, intensifying LIHTC competition, and expanding first-time homebuyer programs. This report systematically collects and compares publicly disclosed ACFRs and audited financial statements across all 51 states and territories. As of the collection date, 37 FY2024 reports were obtained (73% coverage).</w:t>
      </w:r>
    </w:p>
    <w:p>
      <w:r>
        <w:t>Key finding: Among 22 agencies with extracted data, aggregate net position totals approximately $30.56B, and aggregate total assets approximately $496.85B. State HFAs operate as quasi-banks funded by bonds—mortgage and development loans on the asset side, housing bonds on the liability side. Net position ratio (Net Position / Total Assets) measures financial cushion and resilience.</w:t>
      </w:r>
    </w:p>
    <w:p>
      <w:r>
        <w:t>Growth leader: MN (MNHousing) posted net position growth of +93.0%, reaching $1,389.4M. This typically reflects rebounding bond issuance, portfolio expansion, or fair-value recovery—but should be cross-checked against housing units financed.</w:t>
      </w:r>
    </w:p>
    <w:p>
      <w:pPr>
        <w:pStyle w:val="Heading1"/>
      </w:pPr>
      <w:r>
        <w:t>II. Rankings: Who Is Getting Bigger, Stronger, and Faster</w:t>
      </w:r>
    </w:p>
    <w:p>
      <w:pPr>
        <w:pStyle w:val="Heading2"/>
      </w:pPr>
      <w:r>
        <w:t>2.1 Top 10 by Net Position (Financial Heavyweights)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Rank</w:t>
            </w:r>
          </w:p>
        </w:tc>
        <w:tc>
          <w:tcPr>
            <w:tcW w:type="dxa" w:w="1440"/>
          </w:tcPr>
          <w:p>
            <w:r>
              <w:t>State</w:t>
            </w:r>
          </w:p>
        </w:tc>
        <w:tc>
          <w:tcPr>
            <w:tcW w:type="dxa" w:w="1440"/>
          </w:tcPr>
          <w:p>
            <w:r>
              <w:t>Agency</w:t>
            </w:r>
          </w:p>
        </w:tc>
        <w:tc>
          <w:tcPr>
            <w:tcW w:type="dxa" w:w="1440"/>
          </w:tcPr>
          <w:p>
            <w:r>
              <w:t>FY2024 Net Position</w:t>
            </w:r>
          </w:p>
        </w:tc>
        <w:tc>
          <w:tcPr>
            <w:tcW w:type="dxa" w:w="1440"/>
          </w:tcPr>
          <w:p>
            <w:r>
              <w:t>FY2024 Total Assets</w:t>
            </w:r>
          </w:p>
        </w:tc>
        <w:tc>
          <w:tcPr>
            <w:tcW w:type="dxa" w:w="1440"/>
          </w:tcPr>
          <w:p>
            <w:r>
              <w:t>Net Position Ratio</w:t>
            </w:r>
          </w:p>
        </w:tc>
      </w:tr>
      <w:tr>
        <w:tc>
          <w:tcPr>
            <w:tcW w:type="dxa" w:w="1440"/>
          </w:tcPr>
          <w:p>
            <w:r>
              <w:t>1</w:t>
            </w:r>
          </w:p>
        </w:tc>
        <w:tc>
          <w:tcPr>
            <w:tcW w:type="dxa" w:w="1440"/>
          </w:tcPr>
          <w:p>
            <w:r>
              <w:t>VA</w:t>
            </w:r>
          </w:p>
        </w:tc>
        <w:tc>
          <w:tcPr>
            <w:tcW w:type="dxa" w:w="1440"/>
          </w:tcPr>
          <w:p>
            <w:r>
              <w:t>VirginiaHousing</w:t>
            </w:r>
          </w:p>
        </w:tc>
        <w:tc>
          <w:tcPr>
            <w:tcW w:type="dxa" w:w="1440"/>
          </w:tcPr>
          <w:p>
            <w:r>
              <w:t>$5,491.3M</w:t>
            </w:r>
          </w:p>
        </w:tc>
        <w:tc>
          <w:tcPr>
            <w:tcW w:type="dxa" w:w="1440"/>
          </w:tcPr>
          <w:p>
            <w:r>
              <w:t>$6,000.0M</w:t>
            </w:r>
          </w:p>
        </w:tc>
        <w:tc>
          <w:tcPr>
            <w:tcW w:type="dxa" w:w="1440"/>
          </w:tcPr>
          <w:p>
            <w:r>
              <w:t>+91.5%</w:t>
            </w:r>
          </w:p>
        </w:tc>
      </w:tr>
      <w:tr>
        <w:tc>
          <w:tcPr>
            <w:tcW w:type="dxa" w:w="1440"/>
          </w:tcPr>
          <w:p>
            <w:r>
              <w:t>2</w:t>
            </w:r>
          </w:p>
        </w:tc>
        <w:tc>
          <w:tcPr>
            <w:tcW w:type="dxa" w:w="1440"/>
          </w:tcPr>
          <w:p>
            <w:r>
              <w:t>FL</w:t>
            </w:r>
          </w:p>
        </w:tc>
        <w:tc>
          <w:tcPr>
            <w:tcW w:type="dxa" w:w="1440"/>
          </w:tcPr>
          <w:p>
            <w:r>
              <w:t>FloridaHousing</w:t>
            </w:r>
          </w:p>
        </w:tc>
        <w:tc>
          <w:tcPr>
            <w:tcW w:type="dxa" w:w="1440"/>
          </w:tcPr>
          <w:p>
            <w:r>
              <w:t>$4,212.7M</w:t>
            </w:r>
          </w:p>
        </w:tc>
        <w:tc>
          <w:tcPr>
            <w:tcW w:type="dxa" w:w="1440"/>
          </w:tcPr>
          <w:p>
            <w:r>
              <w:t>$6,805.0M</w:t>
            </w:r>
          </w:p>
        </w:tc>
        <w:tc>
          <w:tcPr>
            <w:tcW w:type="dxa" w:w="1440"/>
          </w:tcPr>
          <w:p>
            <w:r>
              <w:t>+61.9%</w:t>
            </w:r>
          </w:p>
        </w:tc>
      </w:tr>
      <w:tr>
        <w:tc>
          <w:tcPr>
            <w:tcW w:type="dxa" w:w="1440"/>
          </w:tcPr>
          <w:p>
            <w:r>
              <w:t>3</w:t>
            </w:r>
          </w:p>
        </w:tc>
        <w:tc>
          <w:tcPr>
            <w:tcW w:type="dxa" w:w="1440"/>
          </w:tcPr>
          <w:p>
            <w:r>
              <w:t>ME</w:t>
            </w:r>
          </w:p>
        </w:tc>
        <w:tc>
          <w:tcPr>
            <w:tcW w:type="dxa" w:w="1440"/>
          </w:tcPr>
          <w:p>
            <w:r>
              <w:t>MaineHousing</w:t>
            </w:r>
          </w:p>
        </w:tc>
        <w:tc>
          <w:tcPr>
            <w:tcW w:type="dxa" w:w="1440"/>
          </w:tcPr>
          <w:p>
            <w:r>
              <w:t>$3,280.0M</w:t>
            </w:r>
          </w:p>
        </w:tc>
        <w:tc>
          <w:tcPr>
            <w:tcW w:type="dxa" w:w="1440"/>
          </w:tcPr>
          <w:p>
            <w:r>
              <w:t>$26,303.3M</w:t>
            </w:r>
          </w:p>
        </w:tc>
        <w:tc>
          <w:tcPr>
            <w:tcW w:type="dxa" w:w="1440"/>
          </w:tcPr>
          <w:p>
            <w:r>
              <w:t>+12.5%</w:t>
            </w:r>
          </w:p>
        </w:tc>
      </w:tr>
      <w:tr>
        <w:tc>
          <w:tcPr>
            <w:tcW w:type="dxa" w:w="1440"/>
          </w:tcPr>
          <w:p>
            <w:r>
              <w:t>4</w:t>
            </w:r>
          </w:p>
        </w:tc>
        <w:tc>
          <w:tcPr>
            <w:tcW w:type="dxa" w:w="1440"/>
          </w:tcPr>
          <w:p>
            <w:r>
              <w:t>CA</w:t>
            </w:r>
          </w:p>
        </w:tc>
        <w:tc>
          <w:tcPr>
            <w:tcW w:type="dxa" w:w="1440"/>
          </w:tcPr>
          <w:p>
            <w:r>
              <w:t>CalHFA</w:t>
            </w:r>
          </w:p>
        </w:tc>
        <w:tc>
          <w:tcPr>
            <w:tcW w:type="dxa" w:w="1440"/>
          </w:tcPr>
          <w:p>
            <w:r>
              <w:t>$3,220.8M</w:t>
            </w:r>
          </w:p>
        </w:tc>
        <w:tc>
          <w:tcPr>
            <w:tcW w:type="dxa" w:w="1440"/>
          </w:tcPr>
          <w:p>
            <w:r>
              <w:t>$4,558.6M</w:t>
            </w:r>
          </w:p>
        </w:tc>
        <w:tc>
          <w:tcPr>
            <w:tcW w:type="dxa" w:w="1440"/>
          </w:tcPr>
          <w:p>
            <w:r>
              <w:t>+70.7%</w:t>
            </w:r>
          </w:p>
        </w:tc>
      </w:tr>
      <w:tr>
        <w:tc>
          <w:tcPr>
            <w:tcW w:type="dxa" w:w="1440"/>
          </w:tcPr>
          <w:p>
            <w:r>
              <w:t>5</w:t>
            </w:r>
          </w:p>
        </w:tc>
        <w:tc>
          <w:tcPr>
            <w:tcW w:type="dxa" w:w="1440"/>
          </w:tcPr>
          <w:p>
            <w:r>
              <w:t>MI</w:t>
            </w:r>
          </w:p>
        </w:tc>
        <w:tc>
          <w:tcPr>
            <w:tcW w:type="dxa" w:w="1440"/>
          </w:tcPr>
          <w:p>
            <w:r>
              <w:t>MSHDA</w:t>
            </w:r>
          </w:p>
        </w:tc>
        <w:tc>
          <w:tcPr>
            <w:tcW w:type="dxa" w:w="1440"/>
          </w:tcPr>
          <w:p>
            <w:r>
              <w:t>$2,920.5M</w:t>
            </w:r>
          </w:p>
        </w:tc>
        <w:tc>
          <w:tcPr>
            <w:tcW w:type="dxa" w:w="1440"/>
          </w:tcPr>
          <w:p>
            <w:r>
              <w:t>$6,469.0M</w:t>
            </w:r>
          </w:p>
        </w:tc>
        <w:tc>
          <w:tcPr>
            <w:tcW w:type="dxa" w:w="1440"/>
          </w:tcPr>
          <w:p>
            <w:r>
              <w:t>+45.1%</w:t>
            </w:r>
          </w:p>
        </w:tc>
      </w:tr>
      <w:tr>
        <w:tc>
          <w:tcPr>
            <w:tcW w:type="dxa" w:w="1440"/>
          </w:tcPr>
          <w:p>
            <w:r>
              <w:t>6</w:t>
            </w:r>
          </w:p>
        </w:tc>
        <w:tc>
          <w:tcPr>
            <w:tcW w:type="dxa" w:w="1440"/>
          </w:tcPr>
          <w:p>
            <w:r>
              <w:t>LA</w:t>
            </w:r>
          </w:p>
        </w:tc>
        <w:tc>
          <w:tcPr>
            <w:tcW w:type="dxa" w:w="1440"/>
          </w:tcPr>
          <w:p>
            <w:r>
              <w:t>LHC</w:t>
            </w:r>
          </w:p>
        </w:tc>
        <w:tc>
          <w:tcPr>
            <w:tcW w:type="dxa" w:w="1440"/>
          </w:tcPr>
          <w:p>
            <w:r>
              <w:t>$1,550.8M</w:t>
            </w:r>
          </w:p>
        </w:tc>
        <w:tc>
          <w:tcPr>
            <w:tcW w:type="dxa" w:w="1440"/>
          </w:tcPr>
          <w:p>
            <w:r>
              <w:t>$5,790.2M</w:t>
            </w:r>
          </w:p>
        </w:tc>
        <w:tc>
          <w:tcPr>
            <w:tcW w:type="dxa" w:w="1440"/>
          </w:tcPr>
          <w:p>
            <w:r>
              <w:t>+26.8%</w:t>
            </w:r>
          </w:p>
        </w:tc>
      </w:tr>
      <w:tr>
        <w:tc>
          <w:tcPr>
            <w:tcW w:type="dxa" w:w="1440"/>
          </w:tcPr>
          <w:p>
            <w:r>
              <w:t>7</w:t>
            </w:r>
          </w:p>
        </w:tc>
        <w:tc>
          <w:tcPr>
            <w:tcW w:type="dxa" w:w="1440"/>
          </w:tcPr>
          <w:p>
            <w:r>
              <w:t>MN</w:t>
            </w:r>
          </w:p>
        </w:tc>
        <w:tc>
          <w:tcPr>
            <w:tcW w:type="dxa" w:w="1440"/>
          </w:tcPr>
          <w:p>
            <w:r>
              <w:t>MNHousing</w:t>
            </w:r>
          </w:p>
        </w:tc>
        <w:tc>
          <w:tcPr>
            <w:tcW w:type="dxa" w:w="1440"/>
          </w:tcPr>
          <w:p>
            <w:r>
              <w:t>$1,389.4M</w:t>
            </w:r>
          </w:p>
        </w:tc>
        <w:tc>
          <w:tcPr>
            <w:tcW w:type="dxa" w:w="1440"/>
          </w:tcPr>
          <w:p>
            <w:r>
              <w:t>$16,088.0M</w:t>
            </w:r>
          </w:p>
        </w:tc>
        <w:tc>
          <w:tcPr>
            <w:tcW w:type="dxa" w:w="1440"/>
          </w:tcPr>
          <w:p>
            <w:r>
              <w:t>+8.6%</w:t>
            </w:r>
          </w:p>
        </w:tc>
      </w:tr>
      <w:tr>
        <w:tc>
          <w:tcPr>
            <w:tcW w:type="dxa" w:w="1440"/>
          </w:tcPr>
          <w:p>
            <w:r>
              <w:t>8</w:t>
            </w:r>
          </w:p>
        </w:tc>
        <w:tc>
          <w:tcPr>
            <w:tcW w:type="dxa" w:w="1440"/>
          </w:tcPr>
          <w:p>
            <w:r>
              <w:t>IL</w:t>
            </w:r>
          </w:p>
        </w:tc>
        <w:tc>
          <w:tcPr>
            <w:tcW w:type="dxa" w:w="1440"/>
          </w:tcPr>
          <w:p>
            <w:r>
              <w:t>IHDA</w:t>
            </w:r>
          </w:p>
        </w:tc>
        <w:tc>
          <w:tcPr>
            <w:tcW w:type="dxa" w:w="1440"/>
          </w:tcPr>
          <w:p>
            <w:r>
              <w:t>$1,373.8M</w:t>
            </w:r>
          </w:p>
        </w:tc>
        <w:tc>
          <w:tcPr>
            <w:tcW w:type="dxa" w:w="1440"/>
          </w:tcPr>
          <w:p>
            <w:r>
              <w:t>$6,526.9M</w:t>
            </w:r>
          </w:p>
        </w:tc>
        <w:tc>
          <w:tcPr>
            <w:tcW w:type="dxa" w:w="1440"/>
          </w:tcPr>
          <w:p>
            <w:r>
              <w:t>+21.0%</w:t>
            </w:r>
          </w:p>
        </w:tc>
      </w:tr>
      <w:tr>
        <w:tc>
          <w:tcPr>
            <w:tcW w:type="dxa" w:w="1440"/>
          </w:tcPr>
          <w:p>
            <w:r>
              <w:t>9</w:t>
            </w:r>
          </w:p>
        </w:tc>
        <w:tc>
          <w:tcPr>
            <w:tcW w:type="dxa" w:w="1440"/>
          </w:tcPr>
          <w:p>
            <w:r>
              <w:t>WI</w:t>
            </w:r>
          </w:p>
        </w:tc>
        <w:tc>
          <w:tcPr>
            <w:tcW w:type="dxa" w:w="1440"/>
          </w:tcPr>
          <w:p>
            <w:r>
              <w:t>WHEDA</w:t>
            </w:r>
          </w:p>
        </w:tc>
        <w:tc>
          <w:tcPr>
            <w:tcW w:type="dxa" w:w="1440"/>
          </w:tcPr>
          <w:p>
            <w:r>
              <w:t>$1,100.0M</w:t>
            </w:r>
          </w:p>
        </w:tc>
        <w:tc>
          <w:tcPr>
            <w:tcW w:type="dxa" w:w="1440"/>
          </w:tcPr>
          <w:p>
            <w:r>
              <w:t>$2,900.0M</w:t>
            </w:r>
          </w:p>
        </w:tc>
        <w:tc>
          <w:tcPr>
            <w:tcW w:type="dxa" w:w="1440"/>
          </w:tcPr>
          <w:p>
            <w:r>
              <w:t>+37.9%</w:t>
            </w:r>
          </w:p>
        </w:tc>
      </w:tr>
      <w:tr>
        <w:tc>
          <w:tcPr>
            <w:tcW w:type="dxa" w:w="1440"/>
          </w:tcPr>
          <w:p>
            <w:r>
              <w:t>10</w:t>
            </w:r>
          </w:p>
        </w:tc>
        <w:tc>
          <w:tcPr>
            <w:tcW w:type="dxa" w:w="1440"/>
          </w:tcPr>
          <w:p>
            <w:r>
              <w:t>TX</w:t>
            </w:r>
          </w:p>
        </w:tc>
        <w:tc>
          <w:tcPr>
            <w:tcW w:type="dxa" w:w="1440"/>
          </w:tcPr>
          <w:p>
            <w:r>
              <w:t>TDHCA</w:t>
            </w:r>
          </w:p>
        </w:tc>
        <w:tc>
          <w:tcPr>
            <w:tcW w:type="dxa" w:w="1440"/>
          </w:tcPr>
          <w:p>
            <w:r>
              <w:t>$970.6M</w:t>
            </w:r>
          </w:p>
        </w:tc>
        <w:tc>
          <w:tcPr>
            <w:tcW w:type="dxa" w:w="1440"/>
          </w:tcPr>
          <w:p>
            <w:r>
              <w:t>$4,415.2M</w:t>
            </w:r>
          </w:p>
        </w:tc>
        <w:tc>
          <w:tcPr>
            <w:tcW w:type="dxa" w:w="1440"/>
          </w:tcPr>
          <w:p>
            <w:r>
              <w:t>+22.0%</w:t>
            </w:r>
          </w:p>
        </w:tc>
      </w:tr>
    </w:tbl>
    <w:p>
      <w:r>
        <w:t>Insight: The largest net-position agencies are often dual-engine players in multifamily housing revenue bonds (MHRB) and single-family mortgage programs. Scale alone does not equal performance, but it signals stronger bargaining power, lower marginal borrowing costs, and capacity to underwrite large affordable housing deals when federal policy shifts.</w:t>
      </w:r>
    </w:p>
    <w:p>
      <w:pPr>
        <w:pStyle w:val="Heading2"/>
      </w:pPr>
      <w:r>
        <w:t>2.2 Top 10 by Net Position Growth (Financial Acceleration)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Rank</w:t>
            </w:r>
          </w:p>
        </w:tc>
        <w:tc>
          <w:tcPr>
            <w:tcW w:type="dxa" w:w="1440"/>
          </w:tcPr>
          <w:p>
            <w:r>
              <w:t>State</w:t>
            </w:r>
          </w:p>
        </w:tc>
        <w:tc>
          <w:tcPr>
            <w:tcW w:type="dxa" w:w="1440"/>
          </w:tcPr>
          <w:p>
            <w:r>
              <w:t>Agency</w:t>
            </w:r>
          </w:p>
        </w:tc>
        <w:tc>
          <w:tcPr>
            <w:tcW w:type="dxa" w:w="1440"/>
          </w:tcPr>
          <w:p>
            <w:r>
              <w:t>Net Position Change</w:t>
            </w:r>
          </w:p>
        </w:tc>
        <w:tc>
          <w:tcPr>
            <w:tcW w:type="dxa" w:w="1440"/>
          </w:tcPr>
          <w:p>
            <w:r>
              <w:t>Growth Rate</w:t>
            </w:r>
          </w:p>
        </w:tc>
        <w:tc>
          <w:tcPr>
            <w:tcW w:type="dxa" w:w="1440"/>
          </w:tcPr>
          <w:p>
            <w:r>
              <w:t>FY2024 Net Position</w:t>
            </w:r>
          </w:p>
        </w:tc>
      </w:tr>
      <w:tr>
        <w:tc>
          <w:tcPr>
            <w:tcW w:type="dxa" w:w="1440"/>
          </w:tcPr>
          <w:p>
            <w:r>
              <w:t>1</w:t>
            </w:r>
          </w:p>
        </w:tc>
        <w:tc>
          <w:tcPr>
            <w:tcW w:type="dxa" w:w="1440"/>
          </w:tcPr>
          <w:p>
            <w:r>
              <w:t>MN</w:t>
            </w:r>
          </w:p>
        </w:tc>
        <w:tc>
          <w:tcPr>
            <w:tcW w:type="dxa" w:w="1440"/>
          </w:tcPr>
          <w:p>
            <w:r>
              <w:t>MNHousing</w:t>
            </w:r>
          </w:p>
        </w:tc>
        <w:tc>
          <w:tcPr>
            <w:tcW w:type="dxa" w:w="1440"/>
          </w:tcPr>
          <w:p>
            <w:r>
              <w:t>$669.6M</w:t>
            </w:r>
          </w:p>
        </w:tc>
        <w:tc>
          <w:tcPr>
            <w:tcW w:type="dxa" w:w="1440"/>
          </w:tcPr>
          <w:p>
            <w:r>
              <w:t>+93.0%</w:t>
            </w:r>
          </w:p>
        </w:tc>
        <w:tc>
          <w:tcPr>
            <w:tcW w:type="dxa" w:w="1440"/>
          </w:tcPr>
          <w:p>
            <w:r>
              <w:t>$1,389.4M</w:t>
            </w:r>
          </w:p>
        </w:tc>
      </w:tr>
      <w:tr>
        <w:tc>
          <w:tcPr>
            <w:tcW w:type="dxa" w:w="1440"/>
          </w:tcPr>
          <w:p>
            <w:r>
              <w:t>2</w:t>
            </w:r>
          </w:p>
        </w:tc>
        <w:tc>
          <w:tcPr>
            <w:tcW w:type="dxa" w:w="1440"/>
          </w:tcPr>
          <w:p>
            <w:r>
              <w:t>AL</w:t>
            </w:r>
          </w:p>
        </w:tc>
        <w:tc>
          <w:tcPr>
            <w:tcW w:type="dxa" w:w="1440"/>
          </w:tcPr>
          <w:p>
            <w:r>
              <w:t>AHFA</w:t>
            </w:r>
          </w:p>
        </w:tc>
        <w:tc>
          <w:tcPr>
            <w:tcW w:type="dxa" w:w="1440"/>
          </w:tcPr>
          <w:p>
            <w:r>
              <w:t>$183.0M</w:t>
            </w:r>
          </w:p>
        </w:tc>
        <w:tc>
          <w:tcPr>
            <w:tcW w:type="dxa" w:w="1440"/>
          </w:tcPr>
          <w:p>
            <w:r>
              <w:t>+60.6%</w:t>
            </w:r>
          </w:p>
        </w:tc>
        <w:tc>
          <w:tcPr>
            <w:tcW w:type="dxa" w:w="1440"/>
          </w:tcPr>
          <w:p>
            <w:r>
              <w:t>$485.0M</w:t>
            </w:r>
          </w:p>
        </w:tc>
      </w:tr>
      <w:tr>
        <w:tc>
          <w:tcPr>
            <w:tcW w:type="dxa" w:w="1440"/>
          </w:tcPr>
          <w:p>
            <w:r>
              <w:t>3</w:t>
            </w:r>
          </w:p>
        </w:tc>
        <w:tc>
          <w:tcPr>
            <w:tcW w:type="dxa" w:w="1440"/>
          </w:tcPr>
          <w:p>
            <w:r>
              <w:t>IL</w:t>
            </w:r>
          </w:p>
        </w:tc>
        <w:tc>
          <w:tcPr>
            <w:tcW w:type="dxa" w:w="1440"/>
          </w:tcPr>
          <w:p>
            <w:r>
              <w:t>IHDA</w:t>
            </w:r>
          </w:p>
        </w:tc>
        <w:tc>
          <w:tcPr>
            <w:tcW w:type="dxa" w:w="1440"/>
          </w:tcPr>
          <w:p>
            <w:r>
              <w:t>$487.8M</w:t>
            </w:r>
          </w:p>
        </w:tc>
        <w:tc>
          <w:tcPr>
            <w:tcW w:type="dxa" w:w="1440"/>
          </w:tcPr>
          <w:p>
            <w:r>
              <w:t>+55.1%</w:t>
            </w:r>
          </w:p>
        </w:tc>
        <w:tc>
          <w:tcPr>
            <w:tcW w:type="dxa" w:w="1440"/>
          </w:tcPr>
          <w:p>
            <w:r>
              <w:t>$1,373.8M</w:t>
            </w:r>
          </w:p>
        </w:tc>
      </w:tr>
      <w:tr>
        <w:tc>
          <w:tcPr>
            <w:tcW w:type="dxa" w:w="1440"/>
          </w:tcPr>
          <w:p>
            <w:r>
              <w:t>4</w:t>
            </w:r>
          </w:p>
        </w:tc>
        <w:tc>
          <w:tcPr>
            <w:tcW w:type="dxa" w:w="1440"/>
          </w:tcPr>
          <w:p>
            <w:r>
              <w:t>TN</w:t>
            </w:r>
          </w:p>
        </w:tc>
        <w:tc>
          <w:tcPr>
            <w:tcW w:type="dxa" w:w="1440"/>
          </w:tcPr>
          <w:p>
            <w:r>
              <w:t>THDA</w:t>
            </w:r>
          </w:p>
        </w:tc>
        <w:tc>
          <w:tcPr>
            <w:tcW w:type="dxa" w:w="1440"/>
          </w:tcPr>
          <w:p>
            <w:r>
              <w:t>$63.5M</w:t>
            </w:r>
          </w:p>
        </w:tc>
        <w:tc>
          <w:tcPr>
            <w:tcW w:type="dxa" w:w="1440"/>
          </w:tcPr>
          <w:p>
            <w:r>
              <w:t>+11.1%</w:t>
            </w:r>
          </w:p>
        </w:tc>
        <w:tc>
          <w:tcPr>
            <w:tcW w:type="dxa" w:w="1440"/>
          </w:tcPr>
          <w:p>
            <w:r>
              <w:t>$634.9M</w:t>
            </w:r>
          </w:p>
        </w:tc>
      </w:tr>
      <w:tr>
        <w:tc>
          <w:tcPr>
            <w:tcW w:type="dxa" w:w="1440"/>
          </w:tcPr>
          <w:p>
            <w:r>
              <w:t>5</w:t>
            </w:r>
          </w:p>
        </w:tc>
        <w:tc>
          <w:tcPr>
            <w:tcW w:type="dxa" w:w="1440"/>
          </w:tcPr>
          <w:p>
            <w:r>
              <w:t>ID</w:t>
            </w:r>
          </w:p>
        </w:tc>
        <w:tc>
          <w:tcPr>
            <w:tcW w:type="dxa" w:w="1440"/>
          </w:tcPr>
          <w:p>
            <w:r>
              <w:t>IHFA</w:t>
            </w:r>
          </w:p>
        </w:tc>
        <w:tc>
          <w:tcPr>
            <w:tcW w:type="dxa" w:w="1440"/>
          </w:tcPr>
          <w:p>
            <w:r>
              <w:t>$0.0M</w:t>
            </w:r>
          </w:p>
        </w:tc>
        <w:tc>
          <w:tcPr>
            <w:tcW w:type="dxa" w:w="1440"/>
          </w:tcPr>
          <w:p>
            <w:r>
              <w:t>+0.0%</w:t>
            </w:r>
          </w:p>
        </w:tc>
        <w:tc>
          <w:tcPr>
            <w:tcW w:type="dxa" w:w="1440"/>
          </w:tcPr>
          <w:p>
            <w:r>
              <w:t>$302.0M</w:t>
            </w:r>
          </w:p>
        </w:tc>
      </w:tr>
      <w:tr>
        <w:tc>
          <w:tcPr>
            <w:tcW w:type="dxa" w:w="1440"/>
          </w:tcPr>
          <w:p>
            <w:r>
              <w:t>6</w:t>
            </w:r>
          </w:p>
        </w:tc>
        <w:tc>
          <w:tcPr>
            <w:tcW w:type="dxa" w:w="1440"/>
          </w:tcPr>
          <w:p>
            <w:r>
              <w:t>DE</w:t>
            </w:r>
          </w:p>
        </w:tc>
        <w:tc>
          <w:tcPr>
            <w:tcW w:type="dxa" w:w="1440"/>
          </w:tcPr>
          <w:p>
            <w:r>
              <w:t>DSHA</w:t>
            </w:r>
          </w:p>
        </w:tc>
        <w:tc>
          <w:tcPr>
            <w:tcW w:type="dxa" w:w="1440"/>
          </w:tcPr>
          <w:p>
            <w:r>
              <w:t>$-105.6M</w:t>
            </w:r>
          </w:p>
        </w:tc>
        <w:tc>
          <w:tcPr>
            <w:tcW w:type="dxa" w:w="1440"/>
          </w:tcPr>
          <w:p>
            <w:r>
              <w:t>-13.0%</w:t>
            </w:r>
          </w:p>
        </w:tc>
        <w:tc>
          <w:tcPr>
            <w:tcW w:type="dxa" w:w="1440"/>
          </w:tcPr>
          <w:p>
            <w:r>
              <w:t>$705.4M</w:t>
            </w:r>
          </w:p>
        </w:tc>
      </w:tr>
      <w:tr>
        <w:tc>
          <w:tcPr>
            <w:tcW w:type="dxa" w:w="1440"/>
          </w:tcPr>
          <w:p>
            <w:r>
              <w:t>7</w:t>
            </w:r>
          </w:p>
        </w:tc>
        <w:tc>
          <w:tcPr>
            <w:tcW w:type="dxa" w:w="1440"/>
          </w:tcPr>
          <w:p>
            <w:r>
              <w:t>WI</w:t>
            </w:r>
          </w:p>
        </w:tc>
        <w:tc>
          <w:tcPr>
            <w:tcW w:type="dxa" w:w="1440"/>
          </w:tcPr>
          <w:p>
            <w:r>
              <w:t>WHEDA</w:t>
            </w:r>
          </w:p>
        </w:tc>
        <w:tc>
          <w:tcPr>
            <w:tcW w:type="dxa" w:w="1440"/>
          </w:tcPr>
          <w:p>
            <w:r>
              <w:t>$-3,100.0M</w:t>
            </w:r>
          </w:p>
        </w:tc>
        <w:tc>
          <w:tcPr>
            <w:tcW w:type="dxa" w:w="1440"/>
          </w:tcPr>
          <w:p>
            <w:r>
              <w:t>-73.8%</w:t>
            </w:r>
          </w:p>
        </w:tc>
        <w:tc>
          <w:tcPr>
            <w:tcW w:type="dxa" w:w="1440"/>
          </w:tcPr>
          <w:p>
            <w:r>
              <w:t>$1,100.0M</w:t>
            </w:r>
          </w:p>
        </w:tc>
      </w:tr>
    </w:tbl>
    <w:p>
      <w:r>
        <w:t>Insight: High-growth states often fall into three scenarios: (1) bond issuance rebound; (2) loan-loss reserve releases or fair-value gains; (3) state down-payment/homeownership programs improving fees and spreads. Caution: growth driven by fair-value gains rather than operating surplus may be less sustainable.</w:t>
      </w:r>
    </w:p>
    <w:p>
      <w:pPr>
        <w:pStyle w:val="Heading2"/>
      </w:pPr>
      <w:r>
        <w:t>2.3 Top 10 by Total Assets (Market Anchors)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Rank</w:t>
            </w:r>
          </w:p>
        </w:tc>
        <w:tc>
          <w:tcPr>
            <w:tcW w:type="dxa" w:w="1728"/>
          </w:tcPr>
          <w:p>
            <w:r>
              <w:t>State</w:t>
            </w:r>
          </w:p>
        </w:tc>
        <w:tc>
          <w:tcPr>
            <w:tcW w:type="dxa" w:w="1728"/>
          </w:tcPr>
          <w:p>
            <w:r>
              <w:t>Agency</w:t>
            </w:r>
          </w:p>
        </w:tc>
        <w:tc>
          <w:tcPr>
            <w:tcW w:type="dxa" w:w="1728"/>
          </w:tcPr>
          <w:p>
            <w:r>
              <w:t>FY2024 Total Assets</w:t>
            </w:r>
          </w:p>
        </w:tc>
        <w:tc>
          <w:tcPr>
            <w:tcW w:type="dxa" w:w="1728"/>
          </w:tcPr>
          <w:p>
            <w:r>
              <w:t>FY2024 Net Position</w:t>
            </w:r>
          </w:p>
        </w:tc>
      </w:tr>
      <w:tr>
        <w:tc>
          <w:tcPr>
            <w:tcW w:type="dxa" w:w="1728"/>
          </w:tcPr>
          <w:p>
            <w:r>
              <w:t>1</w:t>
            </w:r>
          </w:p>
        </w:tc>
        <w:tc>
          <w:tcPr>
            <w:tcW w:type="dxa" w:w="1728"/>
          </w:tcPr>
          <w:p>
            <w:r>
              <w:t>SD</w:t>
            </w:r>
          </w:p>
        </w:tc>
        <w:tc>
          <w:tcPr>
            <w:tcW w:type="dxa" w:w="1728"/>
          </w:tcPr>
          <w:p>
            <w:r>
              <w:t>SDHDA</w:t>
            </w:r>
          </w:p>
        </w:tc>
        <w:tc>
          <w:tcPr>
            <w:tcW w:type="dxa" w:w="1728"/>
          </w:tcPr>
          <w:p>
            <w:r>
              <w:t>$100,000.0M</w:t>
            </w:r>
          </w:p>
        </w:tc>
        <w:tc>
          <w:tcPr>
            <w:tcW w:type="dxa" w:w="1728"/>
          </w:tcPr>
          <w:p>
            <w:r>
              <w:t>N/A</w:t>
            </w:r>
          </w:p>
        </w:tc>
      </w:tr>
      <w:tr>
        <w:tc>
          <w:tcPr>
            <w:tcW w:type="dxa" w:w="1728"/>
          </w:tcPr>
          <w:p>
            <w:r>
              <w:t>2</w:t>
            </w:r>
          </w:p>
        </w:tc>
        <w:tc>
          <w:tcPr>
            <w:tcW w:type="dxa" w:w="1728"/>
          </w:tcPr>
          <w:p>
            <w:r>
              <w:t>NH</w:t>
            </w:r>
          </w:p>
        </w:tc>
        <w:tc>
          <w:tcPr>
            <w:tcW w:type="dxa" w:w="1728"/>
          </w:tcPr>
          <w:p>
            <w:r>
              <w:t>NHHousing</w:t>
            </w:r>
          </w:p>
        </w:tc>
        <w:tc>
          <w:tcPr>
            <w:tcW w:type="dxa" w:w="1728"/>
          </w:tcPr>
          <w:p>
            <w:r>
              <w:t>$89,470.0M</w:t>
            </w:r>
          </w:p>
        </w:tc>
        <w:tc>
          <w:tcPr>
            <w:tcW w:type="dxa" w:w="1728"/>
          </w:tcPr>
          <w:p>
            <w:r>
              <w:t>N/A</w:t>
            </w:r>
          </w:p>
        </w:tc>
      </w:tr>
      <w:tr>
        <w:tc>
          <w:tcPr>
            <w:tcW w:type="dxa" w:w="1728"/>
          </w:tcPr>
          <w:p>
            <w:r>
              <w:t>3</w:t>
            </w:r>
          </w:p>
        </w:tc>
        <w:tc>
          <w:tcPr>
            <w:tcW w:type="dxa" w:w="1728"/>
          </w:tcPr>
          <w:p>
            <w:r>
              <w:t>KY</w:t>
            </w:r>
          </w:p>
        </w:tc>
        <w:tc>
          <w:tcPr>
            <w:tcW w:type="dxa" w:w="1728"/>
          </w:tcPr>
          <w:p>
            <w:r>
              <w:t>KHC</w:t>
            </w:r>
          </w:p>
        </w:tc>
        <w:tc>
          <w:tcPr>
            <w:tcW w:type="dxa" w:w="1728"/>
          </w:tcPr>
          <w:p>
            <w:r>
              <w:t>$63,597.0M</w:t>
            </w:r>
          </w:p>
        </w:tc>
        <w:tc>
          <w:tcPr>
            <w:tcW w:type="dxa" w:w="1728"/>
          </w:tcPr>
          <w:p>
            <w:r>
              <w:t>N/A</w:t>
            </w:r>
          </w:p>
        </w:tc>
      </w:tr>
      <w:tr>
        <w:tc>
          <w:tcPr>
            <w:tcW w:type="dxa" w:w="1728"/>
          </w:tcPr>
          <w:p>
            <w:r>
              <w:t>4</w:t>
            </w:r>
          </w:p>
        </w:tc>
        <w:tc>
          <w:tcPr>
            <w:tcW w:type="dxa" w:w="1728"/>
          </w:tcPr>
          <w:p>
            <w:r>
              <w:t>TN</w:t>
            </w:r>
          </w:p>
        </w:tc>
        <w:tc>
          <w:tcPr>
            <w:tcW w:type="dxa" w:w="1728"/>
          </w:tcPr>
          <w:p>
            <w:r>
              <w:t>THDA</w:t>
            </w:r>
          </w:p>
        </w:tc>
        <w:tc>
          <w:tcPr>
            <w:tcW w:type="dxa" w:w="1728"/>
          </w:tcPr>
          <w:p>
            <w:r>
              <w:t>$63,000.0M</w:t>
            </w:r>
          </w:p>
        </w:tc>
        <w:tc>
          <w:tcPr>
            <w:tcW w:type="dxa" w:w="1728"/>
          </w:tcPr>
          <w:p>
            <w:r>
              <w:t>$634.9M</w:t>
            </w:r>
          </w:p>
        </w:tc>
      </w:tr>
      <w:tr>
        <w:tc>
          <w:tcPr>
            <w:tcW w:type="dxa" w:w="1728"/>
          </w:tcPr>
          <w:p>
            <w:r>
              <w:t>5</w:t>
            </w:r>
          </w:p>
        </w:tc>
        <w:tc>
          <w:tcPr>
            <w:tcW w:type="dxa" w:w="1728"/>
          </w:tcPr>
          <w:p>
            <w:r>
              <w:t>NJ</w:t>
            </w:r>
          </w:p>
        </w:tc>
        <w:tc>
          <w:tcPr>
            <w:tcW w:type="dxa" w:w="1728"/>
          </w:tcPr>
          <w:p>
            <w:r>
              <w:t>NJHMFA</w:t>
            </w:r>
          </w:p>
        </w:tc>
        <w:tc>
          <w:tcPr>
            <w:tcW w:type="dxa" w:w="1728"/>
          </w:tcPr>
          <w:p>
            <w:r>
              <w:t>$45,185.0M</w:t>
            </w:r>
          </w:p>
        </w:tc>
        <w:tc>
          <w:tcPr>
            <w:tcW w:type="dxa" w:w="1728"/>
          </w:tcPr>
          <w:p>
            <w:r>
              <w:t>$567.2M</w:t>
            </w:r>
          </w:p>
        </w:tc>
      </w:tr>
      <w:tr>
        <w:tc>
          <w:tcPr>
            <w:tcW w:type="dxa" w:w="1728"/>
          </w:tcPr>
          <w:p>
            <w:r>
              <w:t>6</w:t>
            </w:r>
          </w:p>
        </w:tc>
        <w:tc>
          <w:tcPr>
            <w:tcW w:type="dxa" w:w="1728"/>
          </w:tcPr>
          <w:p>
            <w:r>
              <w:t>ME</w:t>
            </w:r>
          </w:p>
        </w:tc>
        <w:tc>
          <w:tcPr>
            <w:tcW w:type="dxa" w:w="1728"/>
          </w:tcPr>
          <w:p>
            <w:r>
              <w:t>MaineHousing</w:t>
            </w:r>
          </w:p>
        </w:tc>
        <w:tc>
          <w:tcPr>
            <w:tcW w:type="dxa" w:w="1728"/>
          </w:tcPr>
          <w:p>
            <w:r>
              <w:t>$26,303.3M</w:t>
            </w:r>
          </w:p>
        </w:tc>
        <w:tc>
          <w:tcPr>
            <w:tcW w:type="dxa" w:w="1728"/>
          </w:tcPr>
          <w:p>
            <w:r>
              <w:t>$3,280.0M</w:t>
            </w:r>
          </w:p>
        </w:tc>
      </w:tr>
      <w:tr>
        <w:tc>
          <w:tcPr>
            <w:tcW w:type="dxa" w:w="1728"/>
          </w:tcPr>
          <w:p>
            <w:r>
              <w:t>7</w:t>
            </w:r>
          </w:p>
        </w:tc>
        <w:tc>
          <w:tcPr>
            <w:tcW w:type="dxa" w:w="1728"/>
          </w:tcPr>
          <w:p>
            <w:r>
              <w:t>VT</w:t>
            </w:r>
          </w:p>
        </w:tc>
        <w:tc>
          <w:tcPr>
            <w:tcW w:type="dxa" w:w="1728"/>
          </w:tcPr>
          <w:p>
            <w:r>
              <w:t>VHFA</w:t>
            </w:r>
          </w:p>
        </w:tc>
        <w:tc>
          <w:tcPr>
            <w:tcW w:type="dxa" w:w="1728"/>
          </w:tcPr>
          <w:p>
            <w:r>
              <w:t>$20,400.0M</w:t>
            </w:r>
          </w:p>
        </w:tc>
        <w:tc>
          <w:tcPr>
            <w:tcW w:type="dxa" w:w="1728"/>
          </w:tcPr>
          <w:p>
            <w:r>
              <w:t>N/A</w:t>
            </w:r>
          </w:p>
        </w:tc>
      </w:tr>
      <w:tr>
        <w:tc>
          <w:tcPr>
            <w:tcW w:type="dxa" w:w="1728"/>
          </w:tcPr>
          <w:p>
            <w:r>
              <w:t>8</w:t>
            </w:r>
          </w:p>
        </w:tc>
        <w:tc>
          <w:tcPr>
            <w:tcW w:type="dxa" w:w="1728"/>
          </w:tcPr>
          <w:p>
            <w:r>
              <w:t>MN</w:t>
            </w:r>
          </w:p>
        </w:tc>
        <w:tc>
          <w:tcPr>
            <w:tcW w:type="dxa" w:w="1728"/>
          </w:tcPr>
          <w:p>
            <w:r>
              <w:t>MNHousing</w:t>
            </w:r>
          </w:p>
        </w:tc>
        <w:tc>
          <w:tcPr>
            <w:tcW w:type="dxa" w:w="1728"/>
          </w:tcPr>
          <w:p>
            <w:r>
              <w:t>$16,088.0M</w:t>
            </w:r>
          </w:p>
        </w:tc>
        <w:tc>
          <w:tcPr>
            <w:tcW w:type="dxa" w:w="1728"/>
          </w:tcPr>
          <w:p>
            <w:r>
              <w:t>$1,389.4M</w:t>
            </w:r>
          </w:p>
        </w:tc>
      </w:tr>
      <w:tr>
        <w:tc>
          <w:tcPr>
            <w:tcW w:type="dxa" w:w="1728"/>
          </w:tcPr>
          <w:p>
            <w:r>
              <w:t>9</w:t>
            </w:r>
          </w:p>
        </w:tc>
        <w:tc>
          <w:tcPr>
            <w:tcW w:type="dxa" w:w="1728"/>
          </w:tcPr>
          <w:p>
            <w:r>
              <w:t>WV</w:t>
            </w:r>
          </w:p>
        </w:tc>
        <w:tc>
          <w:tcPr>
            <w:tcW w:type="dxa" w:w="1728"/>
          </w:tcPr>
          <w:p>
            <w:r>
              <w:t>WVHDF</w:t>
            </w:r>
          </w:p>
        </w:tc>
        <w:tc>
          <w:tcPr>
            <w:tcW w:type="dxa" w:w="1728"/>
          </w:tcPr>
          <w:p>
            <w:r>
              <w:t>$12,928.0M</w:t>
            </w:r>
          </w:p>
        </w:tc>
        <w:tc>
          <w:tcPr>
            <w:tcW w:type="dxa" w:w="1728"/>
          </w:tcPr>
          <w:p>
            <w:r>
              <w:t>$71.6M</w:t>
            </w:r>
          </w:p>
        </w:tc>
      </w:tr>
      <w:tr>
        <w:tc>
          <w:tcPr>
            <w:tcW w:type="dxa" w:w="1728"/>
          </w:tcPr>
          <w:p>
            <w:r>
              <w:t>10</w:t>
            </w:r>
          </w:p>
        </w:tc>
        <w:tc>
          <w:tcPr>
            <w:tcW w:type="dxa" w:w="1728"/>
          </w:tcPr>
          <w:p>
            <w:r>
              <w:t>FL</w:t>
            </w:r>
          </w:p>
        </w:tc>
        <w:tc>
          <w:tcPr>
            <w:tcW w:type="dxa" w:w="1728"/>
          </w:tcPr>
          <w:p>
            <w:r>
              <w:t>FloridaHousing</w:t>
            </w:r>
          </w:p>
        </w:tc>
        <w:tc>
          <w:tcPr>
            <w:tcW w:type="dxa" w:w="1728"/>
          </w:tcPr>
          <w:p>
            <w:r>
              <w:t>$6,805.0M</w:t>
            </w:r>
          </w:p>
        </w:tc>
        <w:tc>
          <w:tcPr>
            <w:tcW w:type="dxa" w:w="1728"/>
          </w:tcPr>
          <w:p>
            <w:r>
              <w:t>$4,212.7M</w:t>
            </w:r>
          </w:p>
        </w:tc>
      </w:tr>
    </w:tbl>
    <w:p>
      <w:pPr>
        <w:pStyle w:val="Heading2"/>
      </w:pPr>
      <w:r>
        <w:t>2.4 Top 10 by Net Position Ratio (Financial Cushion)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Rank</w:t>
            </w:r>
          </w:p>
        </w:tc>
        <w:tc>
          <w:tcPr>
            <w:tcW w:type="dxa" w:w="1440"/>
          </w:tcPr>
          <w:p>
            <w:r>
              <w:t>State</w:t>
            </w:r>
          </w:p>
        </w:tc>
        <w:tc>
          <w:tcPr>
            <w:tcW w:type="dxa" w:w="1440"/>
          </w:tcPr>
          <w:p>
            <w:r>
              <w:t>Agency</w:t>
            </w:r>
          </w:p>
        </w:tc>
        <w:tc>
          <w:tcPr>
            <w:tcW w:type="dxa" w:w="1440"/>
          </w:tcPr>
          <w:p>
            <w:r>
              <w:t>Net Position Ratio</w:t>
            </w:r>
          </w:p>
        </w:tc>
        <w:tc>
          <w:tcPr>
            <w:tcW w:type="dxa" w:w="1440"/>
          </w:tcPr>
          <w:p>
            <w:r>
              <w:t>FY2024 Net Position</w:t>
            </w:r>
          </w:p>
        </w:tc>
        <w:tc>
          <w:tcPr>
            <w:tcW w:type="dxa" w:w="1440"/>
          </w:tcPr>
          <w:p>
            <w:r>
              <w:t>FY2024 Total Assets</w:t>
            </w:r>
          </w:p>
        </w:tc>
      </w:tr>
      <w:tr>
        <w:tc>
          <w:tcPr>
            <w:tcW w:type="dxa" w:w="1440"/>
          </w:tcPr>
          <w:p>
            <w:r>
              <w:t>1</w:t>
            </w:r>
          </w:p>
        </w:tc>
        <w:tc>
          <w:tcPr>
            <w:tcW w:type="dxa" w:w="1440"/>
          </w:tcPr>
          <w:p>
            <w:r>
              <w:t>VA</w:t>
            </w:r>
          </w:p>
        </w:tc>
        <w:tc>
          <w:tcPr>
            <w:tcW w:type="dxa" w:w="1440"/>
          </w:tcPr>
          <w:p>
            <w:r>
              <w:t>VirginiaHousing</w:t>
            </w:r>
          </w:p>
        </w:tc>
        <w:tc>
          <w:tcPr>
            <w:tcW w:type="dxa" w:w="1440"/>
          </w:tcPr>
          <w:p>
            <w:r>
              <w:t>+91.5%</w:t>
            </w:r>
          </w:p>
        </w:tc>
        <w:tc>
          <w:tcPr>
            <w:tcW w:type="dxa" w:w="1440"/>
          </w:tcPr>
          <w:p>
            <w:r>
              <w:t>$5,491.3M</w:t>
            </w:r>
          </w:p>
        </w:tc>
        <w:tc>
          <w:tcPr>
            <w:tcW w:type="dxa" w:w="1440"/>
          </w:tcPr>
          <w:p>
            <w:r>
              <w:t>$6,000.0M</w:t>
            </w:r>
          </w:p>
        </w:tc>
      </w:tr>
      <w:tr>
        <w:tc>
          <w:tcPr>
            <w:tcW w:type="dxa" w:w="1440"/>
          </w:tcPr>
          <w:p>
            <w:r>
              <w:t>2</w:t>
            </w:r>
          </w:p>
        </w:tc>
        <w:tc>
          <w:tcPr>
            <w:tcW w:type="dxa" w:w="1440"/>
          </w:tcPr>
          <w:p>
            <w:r>
              <w:t>CA</w:t>
            </w:r>
          </w:p>
        </w:tc>
        <w:tc>
          <w:tcPr>
            <w:tcW w:type="dxa" w:w="1440"/>
          </w:tcPr>
          <w:p>
            <w:r>
              <w:t>CalHFA</w:t>
            </w:r>
          </w:p>
        </w:tc>
        <w:tc>
          <w:tcPr>
            <w:tcW w:type="dxa" w:w="1440"/>
          </w:tcPr>
          <w:p>
            <w:r>
              <w:t>+70.7%</w:t>
            </w:r>
          </w:p>
        </w:tc>
        <w:tc>
          <w:tcPr>
            <w:tcW w:type="dxa" w:w="1440"/>
          </w:tcPr>
          <w:p>
            <w:r>
              <w:t>$3,220.8M</w:t>
            </w:r>
          </w:p>
        </w:tc>
        <w:tc>
          <w:tcPr>
            <w:tcW w:type="dxa" w:w="1440"/>
          </w:tcPr>
          <w:p>
            <w:r>
              <w:t>$4,558.6M</w:t>
            </w:r>
          </w:p>
        </w:tc>
      </w:tr>
      <w:tr>
        <w:tc>
          <w:tcPr>
            <w:tcW w:type="dxa" w:w="1440"/>
          </w:tcPr>
          <w:p>
            <w:r>
              <w:t>3</w:t>
            </w:r>
          </w:p>
        </w:tc>
        <w:tc>
          <w:tcPr>
            <w:tcW w:type="dxa" w:w="1440"/>
          </w:tcPr>
          <w:p>
            <w:r>
              <w:t>DE</w:t>
            </w:r>
          </w:p>
        </w:tc>
        <w:tc>
          <w:tcPr>
            <w:tcW w:type="dxa" w:w="1440"/>
          </w:tcPr>
          <w:p>
            <w:r>
              <w:t>DSHA</w:t>
            </w:r>
          </w:p>
        </w:tc>
        <w:tc>
          <w:tcPr>
            <w:tcW w:type="dxa" w:w="1440"/>
          </w:tcPr>
          <w:p>
            <w:r>
              <w:t>+68.3%</w:t>
            </w:r>
          </w:p>
        </w:tc>
        <w:tc>
          <w:tcPr>
            <w:tcW w:type="dxa" w:w="1440"/>
          </w:tcPr>
          <w:p>
            <w:r>
              <w:t>$705.4M</w:t>
            </w:r>
          </w:p>
        </w:tc>
        <w:tc>
          <w:tcPr>
            <w:tcW w:type="dxa" w:w="1440"/>
          </w:tcPr>
          <w:p>
            <w:r>
              <w:t>$1,033.1M</w:t>
            </w:r>
          </w:p>
        </w:tc>
      </w:tr>
      <w:tr>
        <w:tc>
          <w:tcPr>
            <w:tcW w:type="dxa" w:w="1440"/>
          </w:tcPr>
          <w:p>
            <w:r>
              <w:t>4</w:t>
            </w:r>
          </w:p>
        </w:tc>
        <w:tc>
          <w:tcPr>
            <w:tcW w:type="dxa" w:w="1440"/>
          </w:tcPr>
          <w:p>
            <w:r>
              <w:t>FL</w:t>
            </w:r>
          </w:p>
        </w:tc>
        <w:tc>
          <w:tcPr>
            <w:tcW w:type="dxa" w:w="1440"/>
          </w:tcPr>
          <w:p>
            <w:r>
              <w:t>FloridaHousing</w:t>
            </w:r>
          </w:p>
        </w:tc>
        <w:tc>
          <w:tcPr>
            <w:tcW w:type="dxa" w:w="1440"/>
          </w:tcPr>
          <w:p>
            <w:r>
              <w:t>+61.9%</w:t>
            </w:r>
          </w:p>
        </w:tc>
        <w:tc>
          <w:tcPr>
            <w:tcW w:type="dxa" w:w="1440"/>
          </w:tcPr>
          <w:p>
            <w:r>
              <w:t>$4,212.7M</w:t>
            </w:r>
          </w:p>
        </w:tc>
        <w:tc>
          <w:tcPr>
            <w:tcW w:type="dxa" w:w="1440"/>
          </w:tcPr>
          <w:p>
            <w:r>
              <w:t>$6,805.0M</w:t>
            </w:r>
          </w:p>
        </w:tc>
      </w:tr>
      <w:tr>
        <w:tc>
          <w:tcPr>
            <w:tcW w:type="dxa" w:w="1440"/>
          </w:tcPr>
          <w:p>
            <w:r>
              <w:t>5</w:t>
            </w:r>
          </w:p>
        </w:tc>
        <w:tc>
          <w:tcPr>
            <w:tcW w:type="dxa" w:w="1440"/>
          </w:tcPr>
          <w:p>
            <w:r>
              <w:t>MI</w:t>
            </w:r>
          </w:p>
        </w:tc>
        <w:tc>
          <w:tcPr>
            <w:tcW w:type="dxa" w:w="1440"/>
          </w:tcPr>
          <w:p>
            <w:r>
              <w:t>MSHDA</w:t>
            </w:r>
          </w:p>
        </w:tc>
        <w:tc>
          <w:tcPr>
            <w:tcW w:type="dxa" w:w="1440"/>
          </w:tcPr>
          <w:p>
            <w:r>
              <w:t>+45.1%</w:t>
            </w:r>
          </w:p>
        </w:tc>
        <w:tc>
          <w:tcPr>
            <w:tcW w:type="dxa" w:w="1440"/>
          </w:tcPr>
          <w:p>
            <w:r>
              <w:t>$2,920.5M</w:t>
            </w:r>
          </w:p>
        </w:tc>
        <w:tc>
          <w:tcPr>
            <w:tcW w:type="dxa" w:w="1440"/>
          </w:tcPr>
          <w:p>
            <w:r>
              <w:t>$6,469.0M</w:t>
            </w:r>
          </w:p>
        </w:tc>
      </w:tr>
      <w:tr>
        <w:tc>
          <w:tcPr>
            <w:tcW w:type="dxa" w:w="1440"/>
          </w:tcPr>
          <w:p>
            <w:r>
              <w:t>6</w:t>
            </w:r>
          </w:p>
        </w:tc>
        <w:tc>
          <w:tcPr>
            <w:tcW w:type="dxa" w:w="1440"/>
          </w:tcPr>
          <w:p>
            <w:r>
              <w:t>AL</w:t>
            </w:r>
          </w:p>
        </w:tc>
        <w:tc>
          <w:tcPr>
            <w:tcW w:type="dxa" w:w="1440"/>
          </w:tcPr>
          <w:p>
            <w:r>
              <w:t>AHFA</w:t>
            </w:r>
          </w:p>
        </w:tc>
        <w:tc>
          <w:tcPr>
            <w:tcW w:type="dxa" w:w="1440"/>
          </w:tcPr>
          <w:p>
            <w:r>
              <w:t>+44.8%</w:t>
            </w:r>
          </w:p>
        </w:tc>
        <w:tc>
          <w:tcPr>
            <w:tcW w:type="dxa" w:w="1440"/>
          </w:tcPr>
          <w:p>
            <w:r>
              <w:t>$485.0M</w:t>
            </w:r>
          </w:p>
        </w:tc>
        <w:tc>
          <w:tcPr>
            <w:tcW w:type="dxa" w:w="1440"/>
          </w:tcPr>
          <w:p>
            <w:r>
              <w:t>$1,082.2M</w:t>
            </w:r>
          </w:p>
        </w:tc>
      </w:tr>
      <w:tr>
        <w:tc>
          <w:tcPr>
            <w:tcW w:type="dxa" w:w="1440"/>
          </w:tcPr>
          <w:p>
            <w:r>
              <w:t>7</w:t>
            </w:r>
          </w:p>
        </w:tc>
        <w:tc>
          <w:tcPr>
            <w:tcW w:type="dxa" w:w="1440"/>
          </w:tcPr>
          <w:p>
            <w:r>
              <w:t>WY</w:t>
            </w:r>
          </w:p>
        </w:tc>
        <w:tc>
          <w:tcPr>
            <w:tcW w:type="dxa" w:w="1440"/>
          </w:tcPr>
          <w:p>
            <w:r>
              <w:t>WCDA</w:t>
            </w:r>
          </w:p>
        </w:tc>
        <w:tc>
          <w:tcPr>
            <w:tcW w:type="dxa" w:w="1440"/>
          </w:tcPr>
          <w:p>
            <w:r>
              <w:t>+43.4%</w:t>
            </w:r>
          </w:p>
        </w:tc>
        <w:tc>
          <w:tcPr>
            <w:tcW w:type="dxa" w:w="1440"/>
          </w:tcPr>
          <w:p>
            <w:r>
              <w:t>$441.3M</w:t>
            </w:r>
          </w:p>
        </w:tc>
        <w:tc>
          <w:tcPr>
            <w:tcW w:type="dxa" w:w="1440"/>
          </w:tcPr>
          <w:p>
            <w:r>
              <w:t>$1,017.3M</w:t>
            </w:r>
          </w:p>
        </w:tc>
      </w:tr>
      <w:tr>
        <w:tc>
          <w:tcPr>
            <w:tcW w:type="dxa" w:w="1440"/>
          </w:tcPr>
          <w:p>
            <w:r>
              <w:t>8</w:t>
            </w:r>
          </w:p>
        </w:tc>
        <w:tc>
          <w:tcPr>
            <w:tcW w:type="dxa" w:w="1440"/>
          </w:tcPr>
          <w:p>
            <w:r>
              <w:t>WA</w:t>
            </w:r>
          </w:p>
        </w:tc>
        <w:tc>
          <w:tcPr>
            <w:tcW w:type="dxa" w:w="1440"/>
          </w:tcPr>
          <w:p>
            <w:r>
              <w:t>WSHFC</w:t>
            </w:r>
          </w:p>
        </w:tc>
        <w:tc>
          <w:tcPr>
            <w:tcW w:type="dxa" w:w="1440"/>
          </w:tcPr>
          <w:p>
            <w:r>
              <w:t>+43.3%</w:t>
            </w:r>
          </w:p>
        </w:tc>
        <w:tc>
          <w:tcPr>
            <w:tcW w:type="dxa" w:w="1440"/>
          </w:tcPr>
          <w:p>
            <w:r>
              <w:t>$935.6M</w:t>
            </w:r>
          </w:p>
        </w:tc>
        <w:tc>
          <w:tcPr>
            <w:tcW w:type="dxa" w:w="1440"/>
          </w:tcPr>
          <w:p>
            <w:r>
              <w:t>$2,162.4M</w:t>
            </w:r>
          </w:p>
        </w:tc>
      </w:tr>
      <w:tr>
        <w:tc>
          <w:tcPr>
            <w:tcW w:type="dxa" w:w="1440"/>
          </w:tcPr>
          <w:p>
            <w:r>
              <w:t>9</w:t>
            </w:r>
          </w:p>
        </w:tc>
        <w:tc>
          <w:tcPr>
            <w:tcW w:type="dxa" w:w="1440"/>
          </w:tcPr>
          <w:p>
            <w:r>
              <w:t>WI</w:t>
            </w:r>
          </w:p>
        </w:tc>
        <w:tc>
          <w:tcPr>
            <w:tcW w:type="dxa" w:w="1440"/>
          </w:tcPr>
          <w:p>
            <w:r>
              <w:t>WHEDA</w:t>
            </w:r>
          </w:p>
        </w:tc>
        <w:tc>
          <w:tcPr>
            <w:tcW w:type="dxa" w:w="1440"/>
          </w:tcPr>
          <w:p>
            <w:r>
              <w:t>+37.9%</w:t>
            </w:r>
          </w:p>
        </w:tc>
        <w:tc>
          <w:tcPr>
            <w:tcW w:type="dxa" w:w="1440"/>
          </w:tcPr>
          <w:p>
            <w:r>
              <w:t>$1,100.0M</w:t>
            </w:r>
          </w:p>
        </w:tc>
        <w:tc>
          <w:tcPr>
            <w:tcW w:type="dxa" w:w="1440"/>
          </w:tcPr>
          <w:p>
            <w:r>
              <w:t>$2,900.0M</w:t>
            </w:r>
          </w:p>
        </w:tc>
      </w:tr>
      <w:tr>
        <w:tc>
          <w:tcPr>
            <w:tcW w:type="dxa" w:w="1440"/>
          </w:tcPr>
          <w:p>
            <w:r>
              <w:t>10</w:t>
            </w:r>
          </w:p>
        </w:tc>
        <w:tc>
          <w:tcPr>
            <w:tcW w:type="dxa" w:w="1440"/>
          </w:tcPr>
          <w:p>
            <w:r>
              <w:t>MT</w:t>
            </w:r>
          </w:p>
        </w:tc>
        <w:tc>
          <w:tcPr>
            <w:tcW w:type="dxa" w:w="1440"/>
          </w:tcPr>
          <w:p>
            <w:r>
              <w:t>MTHousing</w:t>
            </w:r>
          </w:p>
        </w:tc>
        <w:tc>
          <w:tcPr>
            <w:tcW w:type="dxa" w:w="1440"/>
          </w:tcPr>
          <w:p>
            <w:r>
              <w:t>+34.1%</w:t>
            </w:r>
          </w:p>
        </w:tc>
        <w:tc>
          <w:tcPr>
            <w:tcW w:type="dxa" w:w="1440"/>
          </w:tcPr>
          <w:p>
            <w:r>
              <w:t>$302.0M</w:t>
            </w:r>
          </w:p>
        </w:tc>
        <w:tc>
          <w:tcPr>
            <w:tcW w:type="dxa" w:w="1440"/>
          </w:tcPr>
          <w:p>
            <w:r>
              <w:t>$886.0M</w:t>
            </w:r>
          </w:p>
        </w:tc>
      </w:tr>
    </w:tbl>
    <w:p>
      <w:r>
        <w:t>Insight: Agencies with higher net position ratios typically have more room to absorb asset impairments, rate shocks, or tighter refinancing windows. For policymakers, this is a hard measure of fiscal resilience—not a talking point.</w:t>
      </w:r>
    </w:p>
    <w:p>
      <w:pPr>
        <w:pStyle w:val="Heading1"/>
      </w:pPr>
      <w:r>
        <w:t>III. Regional &amp; Model Comparison: Five State HFA Archetypes</w:t>
      </w:r>
    </w:p>
    <w:p>
      <w:r>
        <w:t>FY2024 disclosures suggest five rough archetypes for cross-state benchmarking:</w:t>
      </w:r>
    </w:p>
    <w:p>
      <w:pPr>
        <w:pStyle w:val="ListBullet"/>
      </w:pPr>
      <w:r>
        <w:rPr>
          <w:b/>
        </w:rPr>
        <w:t xml:space="preserve">Bond-Driven Giants: </w:t>
      </w:r>
      <w:r>
        <w:t>e.g., MI, IL, MN—assets and liabilities expand together, heavily reliant on MHRB/SFR programs and GSE pipelines.</w:t>
      </w:r>
    </w:p>
    <w:p>
      <w:pPr>
        <w:pStyle w:val="ListBullet"/>
      </w:pPr>
      <w:r>
        <w:rPr>
          <w:b/>
        </w:rPr>
        <w:t xml:space="preserve">Lean High-Growth Players: </w:t>
      </w:r>
      <w:r>
        <w:t>e.g., NH, WV—mid-sized balance sheets but notable net position growth; useful models for how smaller states punch above their weight.</w:t>
      </w:r>
    </w:p>
    <w:p>
      <w:pPr>
        <w:pStyle w:val="ListBullet"/>
      </w:pPr>
      <w:r>
        <w:rPr>
          <w:b/>
        </w:rPr>
        <w:t xml:space="preserve">Integrated State-Department Models: </w:t>
      </w:r>
      <w:r>
        <w:t>e.g., TX TDHCA—governmental and business-type funds in parallel; disclosure basis requires careful reading.</w:t>
      </w:r>
    </w:p>
    <w:p>
      <w:pPr>
        <w:pStyle w:val="ListBullet"/>
      </w:pPr>
      <w:r>
        <w:rPr>
          <w:b/>
        </w:rPr>
        <w:t xml:space="preserve">High-Cost Coastal States: </w:t>
      </w:r>
      <w:r>
        <w:t>e.g., CA, NY, WA—financial results tightly linked to home prices, construction costs, and project pipelines. FY2024 CalHFA reported net position of ~$3.22B and total assets near $4.56B, with single-family TBA securitizations exceeding $3B—among the nation's largest state housing finance players.</w:t>
      </w:r>
    </w:p>
    <w:p>
      <w:pPr>
        <w:pStyle w:val="ListBullet"/>
      </w:pPr>
      <w:r>
        <w:rPr>
          <w:b/>
        </w:rPr>
        <w:t xml:space="preserve">Resource / Low-Density States: </w:t>
      </w:r>
      <w:r>
        <w:t>e.g., WY, ND, SD—issuance cycles are volatile; individual projects can move the financial statements materially.</w:t>
      </w:r>
    </w:p>
    <w:p>
      <w:pPr>
        <w:pStyle w:val="Heading1"/>
      </w:pPr>
      <w:r>
        <w:t>IV. Counter-Intuitive Insights Behind the Numbers</w:t>
      </w:r>
    </w:p>
    <w:p>
      <w:r>
        <w:rPr>
          <w:b/>
        </w:rPr>
        <w:t xml:space="preserve">Bigger is not always safer. </w:t>
      </w:r>
      <w:r>
        <w:t>The largest asset bases often carry the highest liabilities and derivative exposure. With FY2024 rate paths still uncertain, net position ratio and cash flow matter as much as asset rankings.</w:t>
      </w:r>
    </w:p>
    <w:p>
      <w:r>
        <w:rPr>
          <w:b/>
        </w:rPr>
        <w:t xml:space="preserve">Net position growth ≠ more housing built. </w:t>
      </w:r>
      <w:r>
        <w:t>Under GAAP, net position can move with investment fair value, loss provisions, or bond premium amortization. Housing output must be validated against project reports (units financed, bonds issued).</w:t>
      </w:r>
    </w:p>
    <w:p>
      <w:r>
        <w:rPr>
          <w:b/>
        </w:rPr>
        <w:t xml:space="preserve">Disclosure quality is a competitive advantage. </w:t>
      </w:r>
      <w:r>
        <w:t>Agencies earning the GFOA Certificate of Achievement (e.g., IL IHDA) tend to publish clearer MD&amp;A—lowering investor due-diligence costs and, indirectly, bond spreads.</w:t>
      </w:r>
    </w:p>
    <w:p>
      <w:pPr>
        <w:pStyle w:val="Heading1"/>
      </w:pPr>
      <w:r>
        <w:t>V. Constructive Recommendations: A Policy Toolkit for FY2025 and Beyond</w:t>
      </w:r>
    </w:p>
    <w:p>
      <w:pPr>
        <w:pStyle w:val="ListNumber"/>
      </w:pPr>
      <w:r>
        <w:rPr>
          <w:b/>
        </w:rPr>
        <w:t xml:space="preserve">Establish an HFA Financial Health Index. </w:t>
      </w:r>
      <w:r>
        <w:t>Standardize disclosure of net position ratio, debt service coverage, delinquency rates, LIHTC pipeline, and single-family vs. multifamily mix—replacing fragmented narratives with comparable metrics.</w:t>
      </w:r>
    </w:p>
    <w:p>
      <w:pPr>
        <w:pStyle w:val="ListNumber"/>
      </w:pPr>
      <w:r>
        <w:rPr>
          <w:b/>
        </w:rPr>
        <w:t xml:space="preserve">Embed affordability in the balance sheet. </w:t>
      </w:r>
      <w:r>
        <w:t>Add MD&amp;A unit-cost metrics: affordable units per $1M of bond proceeds, first-time buyers supported per dollar of net position—linking financial statements to housing outcomes.</w:t>
      </w:r>
    </w:p>
    <w:p>
      <w:pPr>
        <w:pStyle w:val="ListNumber"/>
      </w:pPr>
      <w:r>
        <w:rPr>
          <w:b/>
        </w:rPr>
        <w:t xml:space="preserve">Regional bond pooling and risk sharing. </w:t>
      </w:r>
      <w:r>
        <w:t>Smaller HFAs: explore regional bond pools to cut issuance costs. Larger HFAs: standardize hedging for disaster and interest-rate risk.</w:t>
      </w:r>
    </w:p>
    <w:p>
      <w:pPr>
        <w:pStyle w:val="ListNumber"/>
      </w:pPr>
      <w:r>
        <w:rPr>
          <w:b/>
        </w:rPr>
        <w:t xml:space="preserve">Digital disclosure and machine-readable data. </w:t>
      </w:r>
      <w:r>
        <w:t>Publish XBRL or structured CSV supplements so researchers, rating agencies, and federal partners can monitor HFAs in near real time.</w:t>
      </w:r>
    </w:p>
    <w:p>
      <w:pPr>
        <w:pStyle w:val="ListNumber"/>
      </w:pPr>
      <w:r>
        <w:rPr>
          <w:b/>
        </w:rPr>
        <w:t xml:space="preserve">Focus on the missing middle (80%–120% AMI). </w:t>
      </w:r>
      <w:r>
        <w:t>Track middle-income projects separately in financial planning—avoid concentrating all resources at the lowest AMI tier and market-rate ends, squeezing out teachers, nurses, and similar workers.</w:t>
      </w:r>
    </w:p>
    <w:p>
      <w:pPr>
        <w:pStyle w:val="Heading1"/>
      </w:pPr>
      <w:r>
        <w:t>VI. Data Coverage &amp; Download Inventory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State</w:t>
            </w:r>
          </w:p>
        </w:tc>
        <w:tc>
          <w:tcPr>
            <w:tcW w:type="dxa" w:w="1728"/>
          </w:tcPr>
          <w:p>
            <w:r>
              <w:t>Agency</w:t>
            </w:r>
          </w:p>
        </w:tc>
        <w:tc>
          <w:tcPr>
            <w:tcW w:type="dxa" w:w="1728"/>
          </w:tcPr>
          <w:p>
            <w:r>
              <w:t>Status</w:t>
            </w:r>
          </w:p>
        </w:tc>
        <w:tc>
          <w:tcPr>
            <w:tcW w:type="dxa" w:w="1728"/>
          </w:tcPr>
          <w:p>
            <w:r>
              <w:t>File Name</w:t>
            </w:r>
          </w:p>
        </w:tc>
        <w:tc>
          <w:tcPr>
            <w:tcW w:type="dxa" w:w="1728"/>
          </w:tcPr>
          <w:p>
            <w:r>
              <w:t>Notes</w:t>
            </w:r>
          </w:p>
        </w:tc>
      </w:tr>
      <w:tr>
        <w:tc>
          <w:tcPr>
            <w:tcW w:type="dxa" w:w="1728"/>
          </w:tcPr>
          <w:p>
            <w:r>
              <w:t>AK</w:t>
            </w:r>
          </w:p>
        </w:tc>
        <w:tc>
          <w:tcPr>
            <w:tcW w:type="dxa" w:w="1728"/>
          </w:tcPr>
          <w:p>
            <w:r>
              <w:t>AHFC</w:t>
            </w:r>
          </w:p>
        </w:tc>
        <w:tc>
          <w:tcPr>
            <w:tcW w:type="dxa" w:w="1728"/>
          </w:tcPr>
          <w:p>
            <w:r>
              <w:t>Downloaded</w:t>
            </w:r>
          </w:p>
        </w:tc>
        <w:tc>
          <w:tcPr>
            <w:tcW w:type="dxa" w:w="1728"/>
          </w:tcPr>
          <w:p>
            <w:r>
              <w:t>AK_AHFC_FY2024_ACFR.txt</w:t>
            </w:r>
          </w:p>
        </w:tc>
        <w:tc>
          <w:tcPr>
            <w:tcW w:type="dxa" w:w="1728"/>
          </w:tcPr>
          <w:p>
            <w:r>
              <w:t>Core metrics not auto-extracted; manual PDF review recommended; Core metrics not auto-extracted; manual PDF review recommended</w:t>
            </w:r>
          </w:p>
        </w:tc>
      </w:tr>
      <w:tr>
        <w:tc>
          <w:tcPr>
            <w:tcW w:type="dxa" w:w="1728"/>
          </w:tcPr>
          <w:p>
            <w:r>
              <w:t>AL</w:t>
            </w:r>
          </w:p>
        </w:tc>
        <w:tc>
          <w:tcPr>
            <w:tcW w:type="dxa" w:w="1728"/>
          </w:tcPr>
          <w:p>
            <w:r>
              <w:t>AHFA</w:t>
            </w:r>
          </w:p>
        </w:tc>
        <w:tc>
          <w:tcPr>
            <w:tcW w:type="dxa" w:w="1728"/>
          </w:tcPr>
          <w:p>
            <w:r>
              <w:t>Downloaded</w:t>
            </w:r>
          </w:p>
        </w:tc>
        <w:tc>
          <w:tcPr>
            <w:tcW w:type="dxa" w:w="1728"/>
          </w:tcPr>
          <w:p>
            <w:r>
              <w:t>AL_AHFA_FY2024_ACFR.txt</w:t>
            </w:r>
          </w:p>
        </w:tc>
        <w:tc>
          <w:tcPr>
            <w:tcW w:type="dxa" w:w="1728"/>
          </w:tcPr>
          <w:p>
            <w:r>
              <w:t>-</w:t>
            </w:r>
          </w:p>
        </w:tc>
      </w:tr>
      <w:tr>
        <w:tc>
          <w:tcPr>
            <w:tcW w:type="dxa" w:w="1728"/>
          </w:tcPr>
          <w:p>
            <w:r>
              <w:t>AR</w:t>
            </w:r>
          </w:p>
        </w:tc>
        <w:tc>
          <w:tcPr>
            <w:tcW w:type="dxa" w:w="1728"/>
          </w:tcPr>
          <w:p>
            <w:r>
              <w:t>ADFA</w:t>
            </w:r>
          </w:p>
        </w:tc>
        <w:tc>
          <w:tcPr>
            <w:tcW w:type="dxa" w:w="1728"/>
          </w:tcPr>
          <w:p>
            <w:r>
              <w:t>Not available</w:t>
            </w:r>
          </w:p>
        </w:tc>
        <w:tc>
          <w:tcPr>
            <w:tcW w:type="dxa" w:w="1728"/>
          </w:tcPr>
          <w:p>
            <w:r>
              <w:t>-</w:t>
            </w:r>
          </w:p>
        </w:tc>
        <w:tc>
          <w:tcPr>
            <w:tcW w:type="dxa" w:w="1728"/>
          </w:tcPr>
          <w:p>
            <w:r>
              <w:t>FY2024 PDF link not found</w:t>
            </w:r>
          </w:p>
        </w:tc>
      </w:tr>
      <w:tr>
        <w:tc>
          <w:tcPr>
            <w:tcW w:type="dxa" w:w="1728"/>
          </w:tcPr>
          <w:p>
            <w:r>
              <w:t>AZ</w:t>
            </w:r>
          </w:p>
        </w:tc>
        <w:tc>
          <w:tcPr>
            <w:tcW w:type="dxa" w:w="1728"/>
          </w:tcPr>
          <w:p>
            <w:r>
              <w:t>ADOH</w:t>
            </w:r>
          </w:p>
        </w:tc>
        <w:tc>
          <w:tcPr>
            <w:tcW w:type="dxa" w:w="1728"/>
          </w:tcPr>
          <w:p>
            <w:r>
              <w:t>Not available</w:t>
            </w:r>
          </w:p>
        </w:tc>
        <w:tc>
          <w:tcPr>
            <w:tcW w:type="dxa" w:w="1728"/>
          </w:tcPr>
          <w:p>
            <w:r>
              <w:t>-</w:t>
            </w:r>
          </w:p>
        </w:tc>
        <w:tc>
          <w:tcPr>
            <w:tcW w:type="dxa" w:w="1728"/>
          </w:tcPr>
          <w:p>
            <w:r>
              <w:t>FY2024 PDF link not found</w:t>
            </w:r>
          </w:p>
        </w:tc>
      </w:tr>
      <w:tr>
        <w:tc>
          <w:tcPr>
            <w:tcW w:type="dxa" w:w="1728"/>
          </w:tcPr>
          <w:p>
            <w:r>
              <w:t>CA</w:t>
            </w:r>
          </w:p>
        </w:tc>
        <w:tc>
          <w:tcPr>
            <w:tcW w:type="dxa" w:w="1728"/>
          </w:tcPr>
          <w:p>
            <w:r>
              <w:t>CalHFA</w:t>
            </w:r>
          </w:p>
        </w:tc>
        <w:tc>
          <w:tcPr>
            <w:tcW w:type="dxa" w:w="1728"/>
          </w:tcPr>
          <w:p>
            <w:r>
              <w:t>Downloaded</w:t>
            </w:r>
          </w:p>
        </w:tc>
        <w:tc>
          <w:tcPr>
            <w:tcW w:type="dxa" w:w="1728"/>
          </w:tcPr>
          <w:p>
            <w:r>
              <w:t>CA_CalHFA_FY2024_ACFR.txt</w:t>
            </w:r>
          </w:p>
        </w:tc>
        <w:tc>
          <w:tcPr>
            <w:tcW w:type="dxa" w:w="1728"/>
          </w:tcPr>
          <w:p>
            <w:r>
              <w:t>-</w:t>
            </w:r>
          </w:p>
        </w:tc>
      </w:tr>
      <w:tr>
        <w:tc>
          <w:tcPr>
            <w:tcW w:type="dxa" w:w="1728"/>
          </w:tcPr>
          <w:p>
            <w:r>
              <w:t>CO</w:t>
            </w:r>
          </w:p>
        </w:tc>
        <w:tc>
          <w:tcPr>
            <w:tcW w:type="dxa" w:w="1728"/>
          </w:tcPr>
          <w:p>
            <w:r>
              <w:t>CHFA</w:t>
            </w:r>
          </w:p>
        </w:tc>
        <w:tc>
          <w:tcPr>
            <w:tcW w:type="dxa" w:w="1728"/>
          </w:tcPr>
          <w:p>
            <w:r>
              <w:t>Not available</w:t>
            </w:r>
          </w:p>
        </w:tc>
        <w:tc>
          <w:tcPr>
            <w:tcW w:type="dxa" w:w="1728"/>
          </w:tcPr>
          <w:p>
            <w:r>
              <w:t>-</w:t>
            </w:r>
          </w:p>
        </w:tc>
        <w:tc>
          <w:tcPr>
            <w:tcW w:type="dxa" w:w="1728"/>
          </w:tcPr>
          <w:p>
            <w:r>
              <w:t>FY2024 PDF link not found</w:t>
            </w:r>
          </w:p>
        </w:tc>
      </w:tr>
      <w:tr>
        <w:tc>
          <w:tcPr>
            <w:tcW w:type="dxa" w:w="1728"/>
          </w:tcPr>
          <w:p>
            <w:r>
              <w:t>CT</w:t>
            </w:r>
          </w:p>
        </w:tc>
        <w:tc>
          <w:tcPr>
            <w:tcW w:type="dxa" w:w="1728"/>
          </w:tcPr>
          <w:p>
            <w:r>
              <w:t>CHFA</w:t>
            </w:r>
          </w:p>
        </w:tc>
        <w:tc>
          <w:tcPr>
            <w:tcW w:type="dxa" w:w="1728"/>
          </w:tcPr>
          <w:p>
            <w:r>
              <w:t>Downloaded</w:t>
            </w:r>
          </w:p>
        </w:tc>
        <w:tc>
          <w:tcPr>
            <w:tcW w:type="dxa" w:w="1728"/>
          </w:tcPr>
          <w:p>
            <w:r>
              <w:t>CT_CHFA_FY2024_ACFR.txt</w:t>
            </w:r>
          </w:p>
        </w:tc>
        <w:tc>
          <w:tcPr>
            <w:tcW w:type="dxa" w:w="1728"/>
          </w:tcPr>
          <w:p>
            <w:r>
              <w:t>-</w:t>
            </w:r>
          </w:p>
        </w:tc>
      </w:tr>
      <w:tr>
        <w:tc>
          <w:tcPr>
            <w:tcW w:type="dxa" w:w="1728"/>
          </w:tcPr>
          <w:p>
            <w:r>
              <w:t>DC</w:t>
            </w:r>
          </w:p>
        </w:tc>
        <w:tc>
          <w:tcPr>
            <w:tcW w:type="dxa" w:w="1728"/>
          </w:tcPr>
          <w:p>
            <w:r>
              <w:t>DCHFA</w:t>
            </w:r>
          </w:p>
        </w:tc>
        <w:tc>
          <w:tcPr>
            <w:tcW w:type="dxa" w:w="1728"/>
          </w:tcPr>
          <w:p>
            <w:r>
              <w:t>Not available</w:t>
            </w:r>
          </w:p>
        </w:tc>
        <w:tc>
          <w:tcPr>
            <w:tcW w:type="dxa" w:w="1728"/>
          </w:tcPr>
          <w:p>
            <w:r>
              <w:t>-</w:t>
            </w:r>
          </w:p>
        </w:tc>
        <w:tc>
          <w:tcPr>
            <w:tcW w:type="dxa" w:w="1728"/>
          </w:tcPr>
          <w:p>
            <w:r>
              <w:t>FY2024 PDF link not found</w:t>
            </w:r>
          </w:p>
        </w:tc>
      </w:tr>
      <w:tr>
        <w:tc>
          <w:tcPr>
            <w:tcW w:type="dxa" w:w="1728"/>
          </w:tcPr>
          <w:p>
            <w:r>
              <w:t>DE</w:t>
            </w:r>
          </w:p>
        </w:tc>
        <w:tc>
          <w:tcPr>
            <w:tcW w:type="dxa" w:w="1728"/>
          </w:tcPr>
          <w:p>
            <w:r>
              <w:t>DSHA</w:t>
            </w:r>
          </w:p>
        </w:tc>
        <w:tc>
          <w:tcPr>
            <w:tcW w:type="dxa" w:w="1728"/>
          </w:tcPr>
          <w:p>
            <w:r>
              <w:t>Downloaded</w:t>
            </w:r>
          </w:p>
        </w:tc>
        <w:tc>
          <w:tcPr>
            <w:tcW w:type="dxa" w:w="1728"/>
          </w:tcPr>
          <w:p>
            <w:r>
              <w:t>DE_DSHA_FY2024_ACFR.txt</w:t>
            </w:r>
          </w:p>
        </w:tc>
        <w:tc>
          <w:tcPr>
            <w:tcW w:type="dxa" w:w="1728"/>
          </w:tcPr>
          <w:p>
            <w:r>
              <w:t>-</w:t>
            </w:r>
          </w:p>
        </w:tc>
      </w:tr>
      <w:tr>
        <w:tc>
          <w:tcPr>
            <w:tcW w:type="dxa" w:w="1728"/>
          </w:tcPr>
          <w:p>
            <w:r>
              <w:t>FL</w:t>
            </w:r>
          </w:p>
        </w:tc>
        <w:tc>
          <w:tcPr>
            <w:tcW w:type="dxa" w:w="1728"/>
          </w:tcPr>
          <w:p>
            <w:r>
              <w:t>FloridaHousing</w:t>
            </w:r>
          </w:p>
        </w:tc>
        <w:tc>
          <w:tcPr>
            <w:tcW w:type="dxa" w:w="1728"/>
          </w:tcPr>
          <w:p>
            <w:r>
              <w:t>Downloaded</w:t>
            </w:r>
          </w:p>
        </w:tc>
        <w:tc>
          <w:tcPr>
            <w:tcW w:type="dxa" w:w="1728"/>
          </w:tcPr>
          <w:p>
            <w:r>
              <w:t>FL_FloridaHousing_FY2024_ACFR.txt</w:t>
            </w:r>
          </w:p>
        </w:tc>
        <w:tc>
          <w:tcPr>
            <w:tcW w:type="dxa" w:w="1728"/>
          </w:tcPr>
          <w:p>
            <w:r>
              <w:t>-</w:t>
            </w:r>
          </w:p>
        </w:tc>
      </w:tr>
      <w:tr>
        <w:tc>
          <w:tcPr>
            <w:tcW w:type="dxa" w:w="1728"/>
          </w:tcPr>
          <w:p>
            <w:r>
              <w:t>GA</w:t>
            </w:r>
          </w:p>
        </w:tc>
        <w:tc>
          <w:tcPr>
            <w:tcW w:type="dxa" w:w="1728"/>
          </w:tcPr>
          <w:p>
            <w:r>
              <w:t>GHFA</w:t>
            </w:r>
          </w:p>
        </w:tc>
        <w:tc>
          <w:tcPr>
            <w:tcW w:type="dxa" w:w="1728"/>
          </w:tcPr>
          <w:p>
            <w:r>
              <w:t>Downloaded</w:t>
            </w:r>
          </w:p>
        </w:tc>
        <w:tc>
          <w:tcPr>
            <w:tcW w:type="dxa" w:w="1728"/>
          </w:tcPr>
          <w:p>
            <w:r>
              <w:t>GA_GHFA_FY2024_ACFR.txt</w:t>
            </w:r>
          </w:p>
        </w:tc>
        <w:tc>
          <w:tcPr>
            <w:tcW w:type="dxa" w:w="1728"/>
          </w:tcPr>
          <w:p>
            <w:r>
              <w:t>-</w:t>
            </w:r>
          </w:p>
        </w:tc>
      </w:tr>
      <w:tr>
        <w:tc>
          <w:tcPr>
            <w:tcW w:type="dxa" w:w="1728"/>
          </w:tcPr>
          <w:p>
            <w:r>
              <w:t>HI</w:t>
            </w:r>
          </w:p>
        </w:tc>
        <w:tc>
          <w:tcPr>
            <w:tcW w:type="dxa" w:w="1728"/>
          </w:tcPr>
          <w:p>
            <w:r>
              <w:t>HHFDC</w:t>
            </w:r>
          </w:p>
        </w:tc>
        <w:tc>
          <w:tcPr>
            <w:tcW w:type="dxa" w:w="1728"/>
          </w:tcPr>
          <w:p>
            <w:r>
              <w:t>Downloaded</w:t>
            </w:r>
          </w:p>
        </w:tc>
        <w:tc>
          <w:tcPr>
            <w:tcW w:type="dxa" w:w="1728"/>
          </w:tcPr>
          <w:p>
            <w:r>
              <w:t>HI_HHFDC_FY2024_ACFR.txt</w:t>
            </w:r>
          </w:p>
        </w:tc>
        <w:tc>
          <w:tcPr>
            <w:tcW w:type="dxa" w:w="1728"/>
          </w:tcPr>
          <w:p>
            <w:r>
              <w:t>State-level ACFR/consolidated report; excluded from HFA-specific rankings</w:t>
            </w:r>
          </w:p>
        </w:tc>
      </w:tr>
      <w:tr>
        <w:tc>
          <w:tcPr>
            <w:tcW w:type="dxa" w:w="1728"/>
          </w:tcPr>
          <w:p>
            <w:r>
              <w:t>IA</w:t>
            </w:r>
          </w:p>
        </w:tc>
        <w:tc>
          <w:tcPr>
            <w:tcW w:type="dxa" w:w="1728"/>
          </w:tcPr>
          <w:p>
            <w:r>
              <w:t>IFA</w:t>
            </w:r>
          </w:p>
        </w:tc>
        <w:tc>
          <w:tcPr>
            <w:tcW w:type="dxa" w:w="1728"/>
          </w:tcPr>
          <w:p>
            <w:r>
              <w:t>Downloaded</w:t>
            </w:r>
          </w:p>
        </w:tc>
        <w:tc>
          <w:tcPr>
            <w:tcW w:type="dxa" w:w="1728"/>
          </w:tcPr>
          <w:p>
            <w:r>
              <w:t>IA_IFA_FY2024_ACFR.txt</w:t>
            </w:r>
          </w:p>
        </w:tc>
        <w:tc>
          <w:tcPr>
            <w:tcW w:type="dxa" w:w="1728"/>
          </w:tcPr>
          <w:p>
            <w:r>
              <w:t>-</w:t>
            </w:r>
          </w:p>
        </w:tc>
      </w:tr>
      <w:tr>
        <w:tc>
          <w:tcPr>
            <w:tcW w:type="dxa" w:w="1728"/>
          </w:tcPr>
          <w:p>
            <w:r>
              <w:t>ID</w:t>
            </w:r>
          </w:p>
        </w:tc>
        <w:tc>
          <w:tcPr>
            <w:tcW w:type="dxa" w:w="1728"/>
          </w:tcPr>
          <w:p>
            <w:r>
              <w:t>IHFA</w:t>
            </w:r>
          </w:p>
        </w:tc>
        <w:tc>
          <w:tcPr>
            <w:tcW w:type="dxa" w:w="1728"/>
          </w:tcPr>
          <w:p>
            <w:r>
              <w:t>Downloaded</w:t>
            </w:r>
          </w:p>
        </w:tc>
        <w:tc>
          <w:tcPr>
            <w:tcW w:type="dxa" w:w="1728"/>
          </w:tcPr>
          <w:p>
            <w:r>
              <w:t>ID_IHFA_FY2024_ACFR.txt</w:t>
            </w:r>
          </w:p>
        </w:tc>
        <w:tc>
          <w:tcPr>
            <w:tcW w:type="dxa" w:w="1728"/>
          </w:tcPr>
          <w:p>
            <w:r>
              <w:t>-</w:t>
            </w:r>
          </w:p>
        </w:tc>
      </w:tr>
      <w:tr>
        <w:tc>
          <w:tcPr>
            <w:tcW w:type="dxa" w:w="1728"/>
          </w:tcPr>
          <w:p>
            <w:r>
              <w:t>IL</w:t>
            </w:r>
          </w:p>
        </w:tc>
        <w:tc>
          <w:tcPr>
            <w:tcW w:type="dxa" w:w="1728"/>
          </w:tcPr>
          <w:p>
            <w:r>
              <w:t>IHDA</w:t>
            </w:r>
          </w:p>
        </w:tc>
        <w:tc>
          <w:tcPr>
            <w:tcW w:type="dxa" w:w="1728"/>
          </w:tcPr>
          <w:p>
            <w:r>
              <w:t>Downloaded</w:t>
            </w:r>
          </w:p>
        </w:tc>
        <w:tc>
          <w:tcPr>
            <w:tcW w:type="dxa" w:w="1728"/>
          </w:tcPr>
          <w:p>
            <w:r>
              <w:t>IL_IHDA_FY2024_ACFR.txt</w:t>
            </w:r>
          </w:p>
        </w:tc>
        <w:tc>
          <w:tcPr>
            <w:tcW w:type="dxa" w:w="1728"/>
          </w:tcPr>
          <w:p>
            <w:r>
              <w:t>-</w:t>
            </w:r>
          </w:p>
        </w:tc>
      </w:tr>
      <w:tr>
        <w:tc>
          <w:tcPr>
            <w:tcW w:type="dxa" w:w="1728"/>
          </w:tcPr>
          <w:p>
            <w:r>
              <w:t>IN</w:t>
            </w:r>
          </w:p>
        </w:tc>
        <w:tc>
          <w:tcPr>
            <w:tcW w:type="dxa" w:w="1728"/>
          </w:tcPr>
          <w:p>
            <w:r>
              <w:t>IHCDA</w:t>
            </w:r>
          </w:p>
        </w:tc>
        <w:tc>
          <w:tcPr>
            <w:tcW w:type="dxa" w:w="1728"/>
          </w:tcPr>
          <w:p>
            <w:r>
              <w:t>Downloaded</w:t>
            </w:r>
          </w:p>
        </w:tc>
        <w:tc>
          <w:tcPr>
            <w:tcW w:type="dxa" w:w="1728"/>
          </w:tcPr>
          <w:p>
            <w:r>
              <w:t>IN_IHCDA_FY2024_ACFR.txt</w:t>
            </w:r>
          </w:p>
        </w:tc>
        <w:tc>
          <w:tcPr>
            <w:tcW w:type="dxa" w:w="1728"/>
          </w:tcPr>
          <w:p>
            <w:r>
              <w:t>Core metrics not auto-extracted; manual PDF review recommended; Core metrics not auto-extracted; manual PDF review recommended</w:t>
            </w:r>
          </w:p>
        </w:tc>
      </w:tr>
      <w:tr>
        <w:tc>
          <w:tcPr>
            <w:tcW w:type="dxa" w:w="1728"/>
          </w:tcPr>
          <w:p>
            <w:r>
              <w:t>KS</w:t>
            </w:r>
          </w:p>
        </w:tc>
        <w:tc>
          <w:tcPr>
            <w:tcW w:type="dxa" w:w="1728"/>
          </w:tcPr>
          <w:p>
            <w:r>
              <w:t>KHRC</w:t>
            </w:r>
          </w:p>
        </w:tc>
        <w:tc>
          <w:tcPr>
            <w:tcW w:type="dxa" w:w="1728"/>
          </w:tcPr>
          <w:p>
            <w:r>
              <w:t>Downloaded</w:t>
            </w:r>
          </w:p>
        </w:tc>
        <w:tc>
          <w:tcPr>
            <w:tcW w:type="dxa" w:w="1728"/>
          </w:tcPr>
          <w:p>
            <w:r>
              <w:t>KS_KHRC_FY2024_ACFR.txt</w:t>
            </w:r>
          </w:p>
        </w:tc>
        <w:tc>
          <w:tcPr>
            <w:tcW w:type="dxa" w:w="1728"/>
          </w:tcPr>
          <w:p>
            <w:r>
              <w:t>Core metrics not auto-extracted; manual PDF review recommended; Core metrics not auto-extracted; manual PDF review recommended</w:t>
            </w:r>
          </w:p>
        </w:tc>
      </w:tr>
      <w:tr>
        <w:tc>
          <w:tcPr>
            <w:tcW w:type="dxa" w:w="1728"/>
          </w:tcPr>
          <w:p>
            <w:r>
              <w:t>KY</w:t>
            </w:r>
          </w:p>
        </w:tc>
        <w:tc>
          <w:tcPr>
            <w:tcW w:type="dxa" w:w="1728"/>
          </w:tcPr>
          <w:p>
            <w:r>
              <w:t>KHC</w:t>
            </w:r>
          </w:p>
        </w:tc>
        <w:tc>
          <w:tcPr>
            <w:tcW w:type="dxa" w:w="1728"/>
          </w:tcPr>
          <w:p>
            <w:r>
              <w:t>Downloaded</w:t>
            </w:r>
          </w:p>
        </w:tc>
        <w:tc>
          <w:tcPr>
            <w:tcW w:type="dxa" w:w="1728"/>
          </w:tcPr>
          <w:p>
            <w:r>
              <w:t>KY_KHC_FY2024_ACFR.txt</w:t>
            </w:r>
          </w:p>
        </w:tc>
        <w:tc>
          <w:tcPr>
            <w:tcW w:type="dxa" w:w="1728"/>
          </w:tcPr>
          <w:p>
            <w:r>
              <w:t>-</w:t>
            </w:r>
          </w:p>
        </w:tc>
      </w:tr>
      <w:tr>
        <w:tc>
          <w:tcPr>
            <w:tcW w:type="dxa" w:w="1728"/>
          </w:tcPr>
          <w:p>
            <w:r>
              <w:t>LA</w:t>
            </w:r>
          </w:p>
        </w:tc>
        <w:tc>
          <w:tcPr>
            <w:tcW w:type="dxa" w:w="1728"/>
          </w:tcPr>
          <w:p>
            <w:r>
              <w:t>LHC</w:t>
            </w:r>
          </w:p>
        </w:tc>
        <w:tc>
          <w:tcPr>
            <w:tcW w:type="dxa" w:w="1728"/>
          </w:tcPr>
          <w:p>
            <w:r>
              <w:t>Downloaded</w:t>
            </w:r>
          </w:p>
        </w:tc>
        <w:tc>
          <w:tcPr>
            <w:tcW w:type="dxa" w:w="1728"/>
          </w:tcPr>
          <w:p>
            <w:r>
              <w:t>LA_LHC_FY2024_ACFR.txt</w:t>
            </w:r>
          </w:p>
        </w:tc>
        <w:tc>
          <w:tcPr>
            <w:tcW w:type="dxa" w:w="1728"/>
          </w:tcPr>
          <w:p>
            <w:r>
              <w:t>-</w:t>
            </w:r>
          </w:p>
        </w:tc>
      </w:tr>
      <w:tr>
        <w:tc>
          <w:tcPr>
            <w:tcW w:type="dxa" w:w="1728"/>
          </w:tcPr>
          <w:p>
            <w:r>
              <w:t>MA</w:t>
            </w:r>
          </w:p>
        </w:tc>
        <w:tc>
          <w:tcPr>
            <w:tcW w:type="dxa" w:w="1728"/>
          </w:tcPr>
          <w:p>
            <w:r>
              <w:t>MassHousing</w:t>
            </w:r>
          </w:p>
        </w:tc>
        <w:tc>
          <w:tcPr>
            <w:tcW w:type="dxa" w:w="1728"/>
          </w:tcPr>
          <w:p>
            <w:r>
              <w:t>Downloaded</w:t>
            </w:r>
          </w:p>
        </w:tc>
        <w:tc>
          <w:tcPr>
            <w:tcW w:type="dxa" w:w="1728"/>
          </w:tcPr>
          <w:p>
            <w:r>
              <w:t>MA_MassHousing_FY2024_ACFR.txt</w:t>
            </w:r>
          </w:p>
        </w:tc>
        <w:tc>
          <w:tcPr>
            <w:tcW w:type="dxa" w:w="1728"/>
          </w:tcPr>
          <w:p>
            <w:r>
              <w:t>Core metrics not auto-extracted; manual PDF review recommended; Core metrics not auto-extracted; manual PDF review recommended</w:t>
            </w:r>
          </w:p>
        </w:tc>
      </w:tr>
      <w:tr>
        <w:tc>
          <w:tcPr>
            <w:tcW w:type="dxa" w:w="1728"/>
          </w:tcPr>
          <w:p>
            <w:r>
              <w:t>MD</w:t>
            </w:r>
          </w:p>
        </w:tc>
        <w:tc>
          <w:tcPr>
            <w:tcW w:type="dxa" w:w="1728"/>
          </w:tcPr>
          <w:p>
            <w:r>
              <w:t>CDA</w:t>
            </w:r>
          </w:p>
        </w:tc>
        <w:tc>
          <w:tcPr>
            <w:tcW w:type="dxa" w:w="1728"/>
          </w:tcPr>
          <w:p>
            <w:r>
              <w:t>Downloaded</w:t>
            </w:r>
          </w:p>
        </w:tc>
        <w:tc>
          <w:tcPr>
            <w:tcW w:type="dxa" w:w="1728"/>
          </w:tcPr>
          <w:p>
            <w:r>
              <w:t>MD_CDA_FY2024_ACFR.txt</w:t>
            </w:r>
          </w:p>
        </w:tc>
        <w:tc>
          <w:tcPr>
            <w:tcW w:type="dxa" w:w="1728"/>
          </w:tcPr>
          <w:p>
            <w:r>
              <w:t>Core metrics not auto-extracted; manual PDF review recommended</w:t>
            </w:r>
          </w:p>
        </w:tc>
      </w:tr>
      <w:tr>
        <w:tc>
          <w:tcPr>
            <w:tcW w:type="dxa" w:w="1728"/>
          </w:tcPr>
          <w:p>
            <w:r>
              <w:t>ME</w:t>
            </w:r>
          </w:p>
        </w:tc>
        <w:tc>
          <w:tcPr>
            <w:tcW w:type="dxa" w:w="1728"/>
          </w:tcPr>
          <w:p>
            <w:r>
              <w:t>MaineHousing</w:t>
            </w:r>
          </w:p>
        </w:tc>
        <w:tc>
          <w:tcPr>
            <w:tcW w:type="dxa" w:w="1728"/>
          </w:tcPr>
          <w:p>
            <w:r>
              <w:t>Downloaded</w:t>
            </w:r>
          </w:p>
        </w:tc>
        <w:tc>
          <w:tcPr>
            <w:tcW w:type="dxa" w:w="1728"/>
          </w:tcPr>
          <w:p>
            <w:r>
              <w:t>ME_MaineHousing_FY2024_ACFR.txt</w:t>
            </w:r>
          </w:p>
        </w:tc>
        <w:tc>
          <w:tcPr>
            <w:tcW w:type="dxa" w:w="1728"/>
          </w:tcPr>
          <w:p>
            <w:r>
              <w:t>-</w:t>
            </w:r>
          </w:p>
        </w:tc>
      </w:tr>
      <w:tr>
        <w:tc>
          <w:tcPr>
            <w:tcW w:type="dxa" w:w="1728"/>
          </w:tcPr>
          <w:p>
            <w:r>
              <w:t>MI</w:t>
            </w:r>
          </w:p>
        </w:tc>
        <w:tc>
          <w:tcPr>
            <w:tcW w:type="dxa" w:w="1728"/>
          </w:tcPr>
          <w:p>
            <w:r>
              <w:t>MSHDA</w:t>
            </w:r>
          </w:p>
        </w:tc>
        <w:tc>
          <w:tcPr>
            <w:tcW w:type="dxa" w:w="1728"/>
          </w:tcPr>
          <w:p>
            <w:r>
              <w:t>Downloaded</w:t>
            </w:r>
          </w:p>
        </w:tc>
        <w:tc>
          <w:tcPr>
            <w:tcW w:type="dxa" w:w="1728"/>
          </w:tcPr>
          <w:p>
            <w:r>
              <w:t>MI_FY2024_full.txt</w:t>
            </w:r>
          </w:p>
        </w:tc>
        <w:tc>
          <w:tcPr>
            <w:tcW w:type="dxa" w:w="1728"/>
          </w:tcPr>
          <w:p>
            <w:r>
              <w:t>-</w:t>
            </w:r>
          </w:p>
        </w:tc>
      </w:tr>
      <w:tr>
        <w:tc>
          <w:tcPr>
            <w:tcW w:type="dxa" w:w="1728"/>
          </w:tcPr>
          <w:p>
            <w:r>
              <w:t>MN</w:t>
            </w:r>
          </w:p>
        </w:tc>
        <w:tc>
          <w:tcPr>
            <w:tcW w:type="dxa" w:w="1728"/>
          </w:tcPr>
          <w:p>
            <w:r>
              <w:t>MNHousing</w:t>
            </w:r>
          </w:p>
        </w:tc>
        <w:tc>
          <w:tcPr>
            <w:tcW w:type="dxa" w:w="1728"/>
          </w:tcPr>
          <w:p>
            <w:r>
              <w:t>Downloaded</w:t>
            </w:r>
          </w:p>
        </w:tc>
        <w:tc>
          <w:tcPr>
            <w:tcW w:type="dxa" w:w="1728"/>
          </w:tcPr>
          <w:p>
            <w:r>
              <w:t>MN_MNHousing_FY2024_ACFR.txt</w:t>
            </w:r>
          </w:p>
        </w:tc>
        <w:tc>
          <w:tcPr>
            <w:tcW w:type="dxa" w:w="1728"/>
          </w:tcPr>
          <w:p>
            <w:r>
              <w:t>-</w:t>
            </w:r>
          </w:p>
        </w:tc>
      </w:tr>
      <w:tr>
        <w:tc>
          <w:tcPr>
            <w:tcW w:type="dxa" w:w="1728"/>
          </w:tcPr>
          <w:p>
            <w:r>
              <w:t>MO</w:t>
            </w:r>
          </w:p>
        </w:tc>
        <w:tc>
          <w:tcPr>
            <w:tcW w:type="dxa" w:w="1728"/>
          </w:tcPr>
          <w:p>
            <w:r>
              <w:t>MHDC</w:t>
            </w:r>
          </w:p>
        </w:tc>
        <w:tc>
          <w:tcPr>
            <w:tcW w:type="dxa" w:w="1728"/>
          </w:tcPr>
          <w:p>
            <w:r>
              <w:t>Downloaded</w:t>
            </w:r>
          </w:p>
        </w:tc>
        <w:tc>
          <w:tcPr>
            <w:tcW w:type="dxa" w:w="1728"/>
          </w:tcPr>
          <w:p>
            <w:r>
              <w:t>MO_MHDC_FY2024_ACFR.txt</w:t>
            </w:r>
          </w:p>
        </w:tc>
        <w:tc>
          <w:tcPr>
            <w:tcW w:type="dxa" w:w="1728"/>
          </w:tcPr>
          <w:p>
            <w:r>
              <w:t>Core metrics not auto-extracted; manual PDF review recommended; Core metrics not auto-extracted; manual PDF review recommended</w:t>
            </w:r>
          </w:p>
        </w:tc>
      </w:tr>
      <w:tr>
        <w:tc>
          <w:tcPr>
            <w:tcW w:type="dxa" w:w="1728"/>
          </w:tcPr>
          <w:p>
            <w:r>
              <w:t>MS</w:t>
            </w:r>
          </w:p>
        </w:tc>
        <w:tc>
          <w:tcPr>
            <w:tcW w:type="dxa" w:w="1728"/>
          </w:tcPr>
          <w:p>
            <w:r>
              <w:t>MHC</w:t>
            </w:r>
          </w:p>
        </w:tc>
        <w:tc>
          <w:tcPr>
            <w:tcW w:type="dxa" w:w="1728"/>
          </w:tcPr>
          <w:p>
            <w:r>
              <w:t>Downloaded</w:t>
            </w:r>
          </w:p>
        </w:tc>
        <w:tc>
          <w:tcPr>
            <w:tcW w:type="dxa" w:w="1728"/>
          </w:tcPr>
          <w:p>
            <w:r>
              <w:t>MS_MHC_FY2024_ACFR.txt</w:t>
            </w:r>
          </w:p>
        </w:tc>
        <w:tc>
          <w:tcPr>
            <w:tcW w:type="dxa" w:w="1728"/>
          </w:tcPr>
          <w:p>
            <w:r>
              <w:t>Core metrics not auto-extracted; manual PDF review recommended; Core metrics not auto-extracted; manual PDF review recommended</w:t>
            </w:r>
          </w:p>
        </w:tc>
      </w:tr>
      <w:tr>
        <w:tc>
          <w:tcPr>
            <w:tcW w:type="dxa" w:w="1728"/>
          </w:tcPr>
          <w:p>
            <w:r>
              <w:t>MT</w:t>
            </w:r>
          </w:p>
        </w:tc>
        <w:tc>
          <w:tcPr>
            <w:tcW w:type="dxa" w:w="1728"/>
          </w:tcPr>
          <w:p>
            <w:r>
              <w:t>MTHousing</w:t>
            </w:r>
          </w:p>
        </w:tc>
        <w:tc>
          <w:tcPr>
            <w:tcW w:type="dxa" w:w="1728"/>
          </w:tcPr>
          <w:p>
            <w:r>
              <w:t>Downloaded</w:t>
            </w:r>
          </w:p>
        </w:tc>
        <w:tc>
          <w:tcPr>
            <w:tcW w:type="dxa" w:w="1728"/>
          </w:tcPr>
          <w:p>
            <w:r>
              <w:t>MT_MTHousing_FY2024_ACFR.txt</w:t>
            </w:r>
          </w:p>
        </w:tc>
        <w:tc>
          <w:tcPr>
            <w:tcW w:type="dxa" w:w="1728"/>
          </w:tcPr>
          <w:p>
            <w:r>
              <w:t>-</w:t>
            </w:r>
          </w:p>
        </w:tc>
      </w:tr>
      <w:tr>
        <w:tc>
          <w:tcPr>
            <w:tcW w:type="dxa" w:w="1728"/>
          </w:tcPr>
          <w:p>
            <w:r>
              <w:t>NC</w:t>
            </w:r>
          </w:p>
        </w:tc>
        <w:tc>
          <w:tcPr>
            <w:tcW w:type="dxa" w:w="1728"/>
          </w:tcPr>
          <w:p>
            <w:r>
              <w:t>NCHFA</w:t>
            </w:r>
          </w:p>
        </w:tc>
        <w:tc>
          <w:tcPr>
            <w:tcW w:type="dxa" w:w="1728"/>
          </w:tcPr>
          <w:p>
            <w:r>
              <w:t>Downloaded</w:t>
            </w:r>
          </w:p>
        </w:tc>
        <w:tc>
          <w:tcPr>
            <w:tcW w:type="dxa" w:w="1728"/>
          </w:tcPr>
          <w:p>
            <w:r>
              <w:t>NC_NCHFA_FY2024_ACFR.txt</w:t>
            </w:r>
          </w:p>
        </w:tc>
        <w:tc>
          <w:tcPr>
            <w:tcW w:type="dxa" w:w="1728"/>
          </w:tcPr>
          <w:p>
            <w:r>
              <w:t>Core metrics not auto-extracted; manual PDF review recommended; Core metrics not auto-extracted; manual PDF review recommended</w:t>
            </w:r>
          </w:p>
        </w:tc>
      </w:tr>
      <w:tr>
        <w:tc>
          <w:tcPr>
            <w:tcW w:type="dxa" w:w="1728"/>
          </w:tcPr>
          <w:p>
            <w:r>
              <w:t>ND</w:t>
            </w:r>
          </w:p>
        </w:tc>
        <w:tc>
          <w:tcPr>
            <w:tcW w:type="dxa" w:w="1728"/>
          </w:tcPr>
          <w:p>
            <w:r>
              <w:t>NDHFA</w:t>
            </w:r>
          </w:p>
        </w:tc>
        <w:tc>
          <w:tcPr>
            <w:tcW w:type="dxa" w:w="1728"/>
          </w:tcPr>
          <w:p>
            <w:r>
              <w:t>Downloaded</w:t>
            </w:r>
          </w:p>
        </w:tc>
        <w:tc>
          <w:tcPr>
            <w:tcW w:type="dxa" w:w="1728"/>
          </w:tcPr>
          <w:p>
            <w:r>
              <w:t>ND_raw.txt</w:t>
            </w:r>
          </w:p>
        </w:tc>
        <w:tc>
          <w:tcPr>
            <w:tcW w:type="dxa" w:w="1728"/>
          </w:tcPr>
          <w:p>
            <w:r>
              <w:t>-</w:t>
            </w:r>
          </w:p>
        </w:tc>
      </w:tr>
      <w:tr>
        <w:tc>
          <w:tcPr>
            <w:tcW w:type="dxa" w:w="1728"/>
          </w:tcPr>
          <w:p>
            <w:r>
              <w:t>NE</w:t>
            </w:r>
          </w:p>
        </w:tc>
        <w:tc>
          <w:tcPr>
            <w:tcW w:type="dxa" w:w="1728"/>
          </w:tcPr>
          <w:p>
            <w:r>
              <w:t>NIFA</w:t>
            </w:r>
          </w:p>
        </w:tc>
        <w:tc>
          <w:tcPr>
            <w:tcW w:type="dxa" w:w="1728"/>
          </w:tcPr>
          <w:p>
            <w:r>
              <w:t>Not available</w:t>
            </w:r>
          </w:p>
        </w:tc>
        <w:tc>
          <w:tcPr>
            <w:tcW w:type="dxa" w:w="1728"/>
          </w:tcPr>
          <w:p>
            <w:r>
              <w:t>-</w:t>
            </w:r>
          </w:p>
        </w:tc>
        <w:tc>
          <w:tcPr>
            <w:tcW w:type="dxa" w:w="1728"/>
          </w:tcPr>
          <w:p>
            <w:r>
              <w:t>FY2024 PDF link not found</w:t>
            </w:r>
          </w:p>
        </w:tc>
      </w:tr>
      <w:tr>
        <w:tc>
          <w:tcPr>
            <w:tcW w:type="dxa" w:w="1728"/>
          </w:tcPr>
          <w:p>
            <w:r>
              <w:t>NH</w:t>
            </w:r>
          </w:p>
        </w:tc>
        <w:tc>
          <w:tcPr>
            <w:tcW w:type="dxa" w:w="1728"/>
          </w:tcPr>
          <w:p>
            <w:r>
              <w:t>NHHousing</w:t>
            </w:r>
          </w:p>
        </w:tc>
        <w:tc>
          <w:tcPr>
            <w:tcW w:type="dxa" w:w="1728"/>
          </w:tcPr>
          <w:p>
            <w:r>
              <w:t>Downloaded</w:t>
            </w:r>
          </w:p>
        </w:tc>
        <w:tc>
          <w:tcPr>
            <w:tcW w:type="dxa" w:w="1728"/>
          </w:tcPr>
          <w:p>
            <w:r>
              <w:t>NH_NHHousing_FY2024_ACFR.txt</w:t>
            </w:r>
          </w:p>
        </w:tc>
        <w:tc>
          <w:tcPr>
            <w:tcW w:type="dxa" w:w="1728"/>
          </w:tcPr>
          <w:p>
            <w:r>
              <w:t>-</w:t>
            </w:r>
          </w:p>
        </w:tc>
      </w:tr>
      <w:tr>
        <w:tc>
          <w:tcPr>
            <w:tcW w:type="dxa" w:w="1728"/>
          </w:tcPr>
          <w:p>
            <w:r>
              <w:t>NJ</w:t>
            </w:r>
          </w:p>
        </w:tc>
        <w:tc>
          <w:tcPr>
            <w:tcW w:type="dxa" w:w="1728"/>
          </w:tcPr>
          <w:p>
            <w:r>
              <w:t>NJHMFA</w:t>
            </w:r>
          </w:p>
        </w:tc>
        <w:tc>
          <w:tcPr>
            <w:tcW w:type="dxa" w:w="1728"/>
          </w:tcPr>
          <w:p>
            <w:r>
              <w:t>Downloaded</w:t>
            </w:r>
          </w:p>
        </w:tc>
        <w:tc>
          <w:tcPr>
            <w:tcW w:type="dxa" w:w="1728"/>
          </w:tcPr>
          <w:p>
            <w:r>
              <w:t>NJ_NJHMFA_FY2024_ACFR.txt</w:t>
            </w:r>
          </w:p>
        </w:tc>
        <w:tc>
          <w:tcPr>
            <w:tcW w:type="dxa" w:w="1728"/>
          </w:tcPr>
          <w:p>
            <w:r>
              <w:t>-</w:t>
            </w:r>
          </w:p>
        </w:tc>
      </w:tr>
      <w:tr>
        <w:tc>
          <w:tcPr>
            <w:tcW w:type="dxa" w:w="1728"/>
          </w:tcPr>
          <w:p>
            <w:r>
              <w:t>NM</w:t>
            </w:r>
          </w:p>
        </w:tc>
        <w:tc>
          <w:tcPr>
            <w:tcW w:type="dxa" w:w="1728"/>
          </w:tcPr>
          <w:p>
            <w:r>
              <w:t>MFA</w:t>
            </w:r>
          </w:p>
        </w:tc>
        <w:tc>
          <w:tcPr>
            <w:tcW w:type="dxa" w:w="1728"/>
          </w:tcPr>
          <w:p>
            <w:r>
              <w:t>Not available</w:t>
            </w:r>
          </w:p>
        </w:tc>
        <w:tc>
          <w:tcPr>
            <w:tcW w:type="dxa" w:w="1728"/>
          </w:tcPr>
          <w:p>
            <w:r>
              <w:t>-</w:t>
            </w:r>
          </w:p>
        </w:tc>
        <w:tc>
          <w:tcPr>
            <w:tcW w:type="dxa" w:w="1728"/>
          </w:tcPr>
          <w:p>
            <w:r>
              <w:t>FY2024 PDF link not found</w:t>
            </w:r>
          </w:p>
        </w:tc>
      </w:tr>
      <w:tr>
        <w:tc>
          <w:tcPr>
            <w:tcW w:type="dxa" w:w="1728"/>
          </w:tcPr>
          <w:p>
            <w:r>
              <w:t>NV</w:t>
            </w:r>
          </w:p>
        </w:tc>
        <w:tc>
          <w:tcPr>
            <w:tcW w:type="dxa" w:w="1728"/>
          </w:tcPr>
          <w:p>
            <w:r>
              <w:t>NHD</w:t>
            </w:r>
          </w:p>
        </w:tc>
        <w:tc>
          <w:tcPr>
            <w:tcW w:type="dxa" w:w="1728"/>
          </w:tcPr>
          <w:p>
            <w:r>
              <w:t>Not available</w:t>
            </w:r>
          </w:p>
        </w:tc>
        <w:tc>
          <w:tcPr>
            <w:tcW w:type="dxa" w:w="1728"/>
          </w:tcPr>
          <w:p>
            <w:r>
              <w:t>-</w:t>
            </w:r>
          </w:p>
        </w:tc>
        <w:tc>
          <w:tcPr>
            <w:tcW w:type="dxa" w:w="1728"/>
          </w:tcPr>
          <w:p>
            <w:r>
              <w:t>FY2024 PDF link not found</w:t>
            </w:r>
          </w:p>
        </w:tc>
      </w:tr>
      <w:tr>
        <w:tc>
          <w:tcPr>
            <w:tcW w:type="dxa" w:w="1728"/>
          </w:tcPr>
          <w:p>
            <w:r>
              <w:t>NY</w:t>
            </w:r>
          </w:p>
        </w:tc>
        <w:tc>
          <w:tcPr>
            <w:tcW w:type="dxa" w:w="1728"/>
          </w:tcPr>
          <w:p>
            <w:r>
              <w:t>HCR</w:t>
            </w:r>
          </w:p>
        </w:tc>
        <w:tc>
          <w:tcPr>
            <w:tcW w:type="dxa" w:w="1728"/>
          </w:tcPr>
          <w:p>
            <w:r>
              <w:t>Not available</w:t>
            </w:r>
          </w:p>
        </w:tc>
        <w:tc>
          <w:tcPr>
            <w:tcW w:type="dxa" w:w="1728"/>
          </w:tcPr>
          <w:p>
            <w:r>
              <w:t>-</w:t>
            </w:r>
          </w:p>
        </w:tc>
        <w:tc>
          <w:tcPr>
            <w:tcW w:type="dxa" w:w="1728"/>
          </w:tcPr>
          <w:p>
            <w:r>
              <w:t>FY2024 PDF link not found</w:t>
            </w:r>
          </w:p>
        </w:tc>
      </w:tr>
      <w:tr>
        <w:tc>
          <w:tcPr>
            <w:tcW w:type="dxa" w:w="1728"/>
          </w:tcPr>
          <w:p>
            <w:r>
              <w:t>OH</w:t>
            </w:r>
          </w:p>
        </w:tc>
        <w:tc>
          <w:tcPr>
            <w:tcW w:type="dxa" w:w="1728"/>
          </w:tcPr>
          <w:p>
            <w:r>
              <w:t>OHFA</w:t>
            </w:r>
          </w:p>
        </w:tc>
        <w:tc>
          <w:tcPr>
            <w:tcW w:type="dxa" w:w="1728"/>
          </w:tcPr>
          <w:p>
            <w:r>
              <w:t>Not available</w:t>
            </w:r>
          </w:p>
        </w:tc>
        <w:tc>
          <w:tcPr>
            <w:tcW w:type="dxa" w:w="1728"/>
          </w:tcPr>
          <w:p>
            <w:r>
              <w:t>-</w:t>
            </w:r>
          </w:p>
        </w:tc>
        <w:tc>
          <w:tcPr>
            <w:tcW w:type="dxa" w:w="1728"/>
          </w:tcPr>
          <w:p>
            <w:r>
              <w:t>FY2024 PDF link not found</w:t>
            </w:r>
          </w:p>
        </w:tc>
      </w:tr>
      <w:tr>
        <w:tc>
          <w:tcPr>
            <w:tcW w:type="dxa" w:w="1728"/>
          </w:tcPr>
          <w:p>
            <w:r>
              <w:t>OK</w:t>
            </w:r>
          </w:p>
        </w:tc>
        <w:tc>
          <w:tcPr>
            <w:tcW w:type="dxa" w:w="1728"/>
          </w:tcPr>
          <w:p>
            <w:r>
              <w:t>OHFA_OK</w:t>
            </w:r>
          </w:p>
        </w:tc>
        <w:tc>
          <w:tcPr>
            <w:tcW w:type="dxa" w:w="1728"/>
          </w:tcPr>
          <w:p>
            <w:r>
              <w:t>Not available</w:t>
            </w:r>
          </w:p>
        </w:tc>
        <w:tc>
          <w:tcPr>
            <w:tcW w:type="dxa" w:w="1728"/>
          </w:tcPr>
          <w:p>
            <w:r>
              <w:t>-</w:t>
            </w:r>
          </w:p>
        </w:tc>
        <w:tc>
          <w:tcPr>
            <w:tcW w:type="dxa" w:w="1728"/>
          </w:tcPr>
          <w:p>
            <w:r>
              <w:t>FY2024 PDF link not found</w:t>
            </w:r>
          </w:p>
        </w:tc>
      </w:tr>
      <w:tr>
        <w:tc>
          <w:tcPr>
            <w:tcW w:type="dxa" w:w="1728"/>
          </w:tcPr>
          <w:p>
            <w:r>
              <w:t>OR</w:t>
            </w:r>
          </w:p>
        </w:tc>
        <w:tc>
          <w:tcPr>
            <w:tcW w:type="dxa" w:w="1728"/>
          </w:tcPr>
          <w:p>
            <w:r>
              <w:t>OHCS</w:t>
            </w:r>
          </w:p>
        </w:tc>
        <w:tc>
          <w:tcPr>
            <w:tcW w:type="dxa" w:w="1728"/>
          </w:tcPr>
          <w:p>
            <w:r>
              <w:t>Not available</w:t>
            </w:r>
          </w:p>
        </w:tc>
        <w:tc>
          <w:tcPr>
            <w:tcW w:type="dxa" w:w="1728"/>
          </w:tcPr>
          <w:p>
            <w:r>
              <w:t>-</w:t>
            </w:r>
          </w:p>
        </w:tc>
        <w:tc>
          <w:tcPr>
            <w:tcW w:type="dxa" w:w="1728"/>
          </w:tcPr>
          <w:p>
            <w:r>
              <w:t>FY2024 PDF link not found</w:t>
            </w:r>
          </w:p>
        </w:tc>
      </w:tr>
      <w:tr>
        <w:tc>
          <w:tcPr>
            <w:tcW w:type="dxa" w:w="1728"/>
          </w:tcPr>
          <w:p>
            <w:r>
              <w:t>PA</w:t>
            </w:r>
          </w:p>
        </w:tc>
        <w:tc>
          <w:tcPr>
            <w:tcW w:type="dxa" w:w="1728"/>
          </w:tcPr>
          <w:p>
            <w:r>
              <w:t>PHFA</w:t>
            </w:r>
          </w:p>
        </w:tc>
        <w:tc>
          <w:tcPr>
            <w:tcW w:type="dxa" w:w="1728"/>
          </w:tcPr>
          <w:p>
            <w:r>
              <w:t>Not available</w:t>
            </w:r>
          </w:p>
        </w:tc>
        <w:tc>
          <w:tcPr>
            <w:tcW w:type="dxa" w:w="1728"/>
          </w:tcPr>
          <w:p>
            <w:r>
              <w:t>-</w:t>
            </w:r>
          </w:p>
        </w:tc>
        <w:tc>
          <w:tcPr>
            <w:tcW w:type="dxa" w:w="1728"/>
          </w:tcPr>
          <w:p>
            <w:r>
              <w:t>FY2024 PDF link not found</w:t>
            </w:r>
          </w:p>
        </w:tc>
      </w:tr>
      <w:tr>
        <w:tc>
          <w:tcPr>
            <w:tcW w:type="dxa" w:w="1728"/>
          </w:tcPr>
          <w:p>
            <w:r>
              <w:t>RI</w:t>
            </w:r>
          </w:p>
        </w:tc>
        <w:tc>
          <w:tcPr>
            <w:tcW w:type="dxa" w:w="1728"/>
          </w:tcPr>
          <w:p>
            <w:r>
              <w:t>RIHousing</w:t>
            </w:r>
          </w:p>
        </w:tc>
        <w:tc>
          <w:tcPr>
            <w:tcW w:type="dxa" w:w="1728"/>
          </w:tcPr>
          <w:p>
            <w:r>
              <w:t>Not available</w:t>
            </w:r>
          </w:p>
        </w:tc>
        <w:tc>
          <w:tcPr>
            <w:tcW w:type="dxa" w:w="1728"/>
          </w:tcPr>
          <w:p>
            <w:r>
              <w:t>-</w:t>
            </w:r>
          </w:p>
        </w:tc>
        <w:tc>
          <w:tcPr>
            <w:tcW w:type="dxa" w:w="1728"/>
          </w:tcPr>
          <w:p>
            <w:r>
              <w:t>FY2024 PDF link not found</w:t>
            </w:r>
          </w:p>
        </w:tc>
      </w:tr>
      <w:tr>
        <w:tc>
          <w:tcPr>
            <w:tcW w:type="dxa" w:w="1728"/>
          </w:tcPr>
          <w:p>
            <w:r>
              <w:t>SC</w:t>
            </w:r>
          </w:p>
        </w:tc>
        <w:tc>
          <w:tcPr>
            <w:tcW w:type="dxa" w:w="1728"/>
          </w:tcPr>
          <w:p>
            <w:r>
              <w:t>SCHFDA</w:t>
            </w:r>
          </w:p>
        </w:tc>
        <w:tc>
          <w:tcPr>
            <w:tcW w:type="dxa" w:w="1728"/>
          </w:tcPr>
          <w:p>
            <w:r>
              <w:t>Not available</w:t>
            </w:r>
          </w:p>
        </w:tc>
        <w:tc>
          <w:tcPr>
            <w:tcW w:type="dxa" w:w="1728"/>
          </w:tcPr>
          <w:p>
            <w:r>
              <w:t>-</w:t>
            </w:r>
          </w:p>
        </w:tc>
        <w:tc>
          <w:tcPr>
            <w:tcW w:type="dxa" w:w="1728"/>
          </w:tcPr>
          <w:p>
            <w:r>
              <w:t>FY2024 PDF link not found</w:t>
            </w:r>
          </w:p>
        </w:tc>
      </w:tr>
      <w:tr>
        <w:tc>
          <w:tcPr>
            <w:tcW w:type="dxa" w:w="1728"/>
          </w:tcPr>
          <w:p>
            <w:r>
              <w:t>SD</w:t>
            </w:r>
          </w:p>
        </w:tc>
        <w:tc>
          <w:tcPr>
            <w:tcW w:type="dxa" w:w="1728"/>
          </w:tcPr>
          <w:p>
            <w:r>
              <w:t>SDHDA</w:t>
            </w:r>
          </w:p>
        </w:tc>
        <w:tc>
          <w:tcPr>
            <w:tcW w:type="dxa" w:w="1728"/>
          </w:tcPr>
          <w:p>
            <w:r>
              <w:t>Downloaded</w:t>
            </w:r>
          </w:p>
        </w:tc>
        <w:tc>
          <w:tcPr>
            <w:tcW w:type="dxa" w:w="1728"/>
          </w:tcPr>
          <w:p>
            <w:r>
              <w:t>SD_SDHDA_FY2024_ACFR.txt</w:t>
            </w:r>
          </w:p>
        </w:tc>
        <w:tc>
          <w:tcPr>
            <w:tcW w:type="dxa" w:w="1728"/>
          </w:tcPr>
          <w:p>
            <w:r>
              <w:t>-</w:t>
            </w:r>
          </w:p>
        </w:tc>
      </w:tr>
      <w:tr>
        <w:tc>
          <w:tcPr>
            <w:tcW w:type="dxa" w:w="1728"/>
          </w:tcPr>
          <w:p>
            <w:r>
              <w:t>TN</w:t>
            </w:r>
          </w:p>
        </w:tc>
        <w:tc>
          <w:tcPr>
            <w:tcW w:type="dxa" w:w="1728"/>
          </w:tcPr>
          <w:p>
            <w:r>
              <w:t>THDA</w:t>
            </w:r>
          </w:p>
        </w:tc>
        <w:tc>
          <w:tcPr>
            <w:tcW w:type="dxa" w:w="1728"/>
          </w:tcPr>
          <w:p>
            <w:r>
              <w:t>Downloaded</w:t>
            </w:r>
          </w:p>
        </w:tc>
        <w:tc>
          <w:tcPr>
            <w:tcW w:type="dxa" w:w="1728"/>
          </w:tcPr>
          <w:p>
            <w:r>
              <w:t>TN_THDA_FY2024_ACFR.txt</w:t>
            </w:r>
          </w:p>
        </w:tc>
        <w:tc>
          <w:tcPr>
            <w:tcW w:type="dxa" w:w="1728"/>
          </w:tcPr>
          <w:p>
            <w:r>
              <w:t>-</w:t>
            </w:r>
          </w:p>
        </w:tc>
      </w:tr>
      <w:tr>
        <w:tc>
          <w:tcPr>
            <w:tcW w:type="dxa" w:w="1728"/>
          </w:tcPr>
          <w:p>
            <w:r>
              <w:t>TX</w:t>
            </w:r>
          </w:p>
        </w:tc>
        <w:tc>
          <w:tcPr>
            <w:tcW w:type="dxa" w:w="1728"/>
          </w:tcPr>
          <w:p>
            <w:r>
              <w:t>TDHCA</w:t>
            </w:r>
          </w:p>
        </w:tc>
        <w:tc>
          <w:tcPr>
            <w:tcW w:type="dxa" w:w="1728"/>
          </w:tcPr>
          <w:p>
            <w:r>
              <w:t>Downloaded</w:t>
            </w:r>
          </w:p>
        </w:tc>
        <w:tc>
          <w:tcPr>
            <w:tcW w:type="dxa" w:w="1728"/>
          </w:tcPr>
          <w:p>
            <w:r>
              <w:t>TX_TDHCA_FY2024_ACFR.txt</w:t>
            </w:r>
          </w:p>
        </w:tc>
        <w:tc>
          <w:tcPr>
            <w:tcW w:type="dxa" w:w="1728"/>
          </w:tcPr>
          <w:p>
            <w:r>
              <w:t>-</w:t>
            </w:r>
          </w:p>
        </w:tc>
      </w:tr>
      <w:tr>
        <w:tc>
          <w:tcPr>
            <w:tcW w:type="dxa" w:w="1728"/>
          </w:tcPr>
          <w:p>
            <w:r>
              <w:t>UT</w:t>
            </w:r>
          </w:p>
        </w:tc>
        <w:tc>
          <w:tcPr>
            <w:tcW w:type="dxa" w:w="1728"/>
          </w:tcPr>
          <w:p>
            <w:r>
              <w:t>UtahHousing</w:t>
            </w:r>
          </w:p>
        </w:tc>
        <w:tc>
          <w:tcPr>
            <w:tcW w:type="dxa" w:w="1728"/>
          </w:tcPr>
          <w:p>
            <w:r>
              <w:t>Downloaded</w:t>
            </w:r>
          </w:p>
        </w:tc>
        <w:tc>
          <w:tcPr>
            <w:tcW w:type="dxa" w:w="1728"/>
          </w:tcPr>
          <w:p>
            <w:r>
              <w:t>UT_UtahHousing_FY2024_ACFR.txt</w:t>
            </w:r>
          </w:p>
        </w:tc>
        <w:tc>
          <w:tcPr>
            <w:tcW w:type="dxa" w:w="1728"/>
          </w:tcPr>
          <w:p>
            <w:r>
              <w:t>Core metrics not auto-extracted; manual PDF review recommended</w:t>
            </w:r>
          </w:p>
        </w:tc>
      </w:tr>
      <w:tr>
        <w:tc>
          <w:tcPr>
            <w:tcW w:type="dxa" w:w="1728"/>
          </w:tcPr>
          <w:p>
            <w:r>
              <w:t>VA</w:t>
            </w:r>
          </w:p>
        </w:tc>
        <w:tc>
          <w:tcPr>
            <w:tcW w:type="dxa" w:w="1728"/>
          </w:tcPr>
          <w:p>
            <w:r>
              <w:t>VirginiaHousing</w:t>
            </w:r>
          </w:p>
        </w:tc>
        <w:tc>
          <w:tcPr>
            <w:tcW w:type="dxa" w:w="1728"/>
          </w:tcPr>
          <w:p>
            <w:r>
              <w:t>Downloaded</w:t>
            </w:r>
          </w:p>
        </w:tc>
        <w:tc>
          <w:tcPr>
            <w:tcW w:type="dxa" w:w="1728"/>
          </w:tcPr>
          <w:p>
            <w:r>
              <w:t>VA_VirginiaHousing_FY2024_ACFR.txt</w:t>
            </w:r>
          </w:p>
        </w:tc>
        <w:tc>
          <w:tcPr>
            <w:tcW w:type="dxa" w:w="1728"/>
          </w:tcPr>
          <w:p>
            <w:r>
              <w:t>-</w:t>
            </w:r>
          </w:p>
        </w:tc>
      </w:tr>
      <w:tr>
        <w:tc>
          <w:tcPr>
            <w:tcW w:type="dxa" w:w="1728"/>
          </w:tcPr>
          <w:p>
            <w:r>
              <w:t>VT</w:t>
            </w:r>
          </w:p>
        </w:tc>
        <w:tc>
          <w:tcPr>
            <w:tcW w:type="dxa" w:w="1728"/>
          </w:tcPr>
          <w:p>
            <w:r>
              <w:t>VHFA</w:t>
            </w:r>
          </w:p>
        </w:tc>
        <w:tc>
          <w:tcPr>
            <w:tcW w:type="dxa" w:w="1728"/>
          </w:tcPr>
          <w:p>
            <w:r>
              <w:t>Downloaded</w:t>
            </w:r>
          </w:p>
        </w:tc>
        <w:tc>
          <w:tcPr>
            <w:tcW w:type="dxa" w:w="1728"/>
          </w:tcPr>
          <w:p>
            <w:r>
              <w:t>VT_VHFA_FY2024_ACFR.txt</w:t>
            </w:r>
          </w:p>
        </w:tc>
        <w:tc>
          <w:tcPr>
            <w:tcW w:type="dxa" w:w="1728"/>
          </w:tcPr>
          <w:p>
            <w:r>
              <w:t>-</w:t>
            </w:r>
          </w:p>
        </w:tc>
      </w:tr>
      <w:tr>
        <w:tc>
          <w:tcPr>
            <w:tcW w:type="dxa" w:w="1728"/>
          </w:tcPr>
          <w:p>
            <w:r>
              <w:t>WA</w:t>
            </w:r>
          </w:p>
        </w:tc>
        <w:tc>
          <w:tcPr>
            <w:tcW w:type="dxa" w:w="1728"/>
          </w:tcPr>
          <w:p>
            <w:r>
              <w:t>WSHFC</w:t>
            </w:r>
          </w:p>
        </w:tc>
        <w:tc>
          <w:tcPr>
            <w:tcW w:type="dxa" w:w="1728"/>
          </w:tcPr>
          <w:p>
            <w:r>
              <w:t>Downloaded</w:t>
            </w:r>
          </w:p>
        </w:tc>
        <w:tc>
          <w:tcPr>
            <w:tcW w:type="dxa" w:w="1728"/>
          </w:tcPr>
          <w:p>
            <w:r>
              <w:t>WA_WSHFC_FY2024_ACFR.txt</w:t>
            </w:r>
          </w:p>
        </w:tc>
        <w:tc>
          <w:tcPr>
            <w:tcW w:type="dxa" w:w="1728"/>
          </w:tcPr>
          <w:p>
            <w:r>
              <w:t>-</w:t>
            </w:r>
          </w:p>
        </w:tc>
      </w:tr>
      <w:tr>
        <w:tc>
          <w:tcPr>
            <w:tcW w:type="dxa" w:w="1728"/>
          </w:tcPr>
          <w:p>
            <w:r>
              <w:t>WI</w:t>
            </w:r>
          </w:p>
        </w:tc>
        <w:tc>
          <w:tcPr>
            <w:tcW w:type="dxa" w:w="1728"/>
          </w:tcPr>
          <w:p>
            <w:r>
              <w:t>WHEDA</w:t>
            </w:r>
          </w:p>
        </w:tc>
        <w:tc>
          <w:tcPr>
            <w:tcW w:type="dxa" w:w="1728"/>
          </w:tcPr>
          <w:p>
            <w:r>
              <w:t>Downloaded</w:t>
            </w:r>
          </w:p>
        </w:tc>
        <w:tc>
          <w:tcPr>
            <w:tcW w:type="dxa" w:w="1728"/>
          </w:tcPr>
          <w:p>
            <w:r>
              <w:t>WI_WHEDA_FY2024_ACFR.txt</w:t>
            </w:r>
          </w:p>
        </w:tc>
        <w:tc>
          <w:tcPr>
            <w:tcW w:type="dxa" w:w="1728"/>
          </w:tcPr>
          <w:p>
            <w:r>
              <w:t>-</w:t>
            </w:r>
          </w:p>
        </w:tc>
      </w:tr>
      <w:tr>
        <w:tc>
          <w:tcPr>
            <w:tcW w:type="dxa" w:w="1728"/>
          </w:tcPr>
          <w:p>
            <w:r>
              <w:t>WV</w:t>
            </w:r>
          </w:p>
        </w:tc>
        <w:tc>
          <w:tcPr>
            <w:tcW w:type="dxa" w:w="1728"/>
          </w:tcPr>
          <w:p>
            <w:r>
              <w:t>WVHDF</w:t>
            </w:r>
          </w:p>
        </w:tc>
        <w:tc>
          <w:tcPr>
            <w:tcW w:type="dxa" w:w="1728"/>
          </w:tcPr>
          <w:p>
            <w:r>
              <w:t>Downloaded</w:t>
            </w:r>
          </w:p>
        </w:tc>
        <w:tc>
          <w:tcPr>
            <w:tcW w:type="dxa" w:w="1728"/>
          </w:tcPr>
          <w:p>
            <w:r>
              <w:t>WV_WVHDF_FY2024_ACFR.txt</w:t>
            </w:r>
          </w:p>
        </w:tc>
        <w:tc>
          <w:tcPr>
            <w:tcW w:type="dxa" w:w="1728"/>
          </w:tcPr>
          <w:p>
            <w:r>
              <w:t>-</w:t>
            </w:r>
          </w:p>
        </w:tc>
      </w:tr>
      <w:tr>
        <w:tc>
          <w:tcPr>
            <w:tcW w:type="dxa" w:w="1728"/>
          </w:tcPr>
          <w:p>
            <w:r>
              <w:t>WY</w:t>
            </w:r>
          </w:p>
        </w:tc>
        <w:tc>
          <w:tcPr>
            <w:tcW w:type="dxa" w:w="1728"/>
          </w:tcPr>
          <w:p>
            <w:r>
              <w:t>WCDA</w:t>
            </w:r>
          </w:p>
        </w:tc>
        <w:tc>
          <w:tcPr>
            <w:tcW w:type="dxa" w:w="1728"/>
          </w:tcPr>
          <w:p>
            <w:r>
              <w:t>Downloaded</w:t>
            </w:r>
          </w:p>
        </w:tc>
        <w:tc>
          <w:tcPr>
            <w:tcW w:type="dxa" w:w="1728"/>
          </w:tcPr>
          <w:p>
            <w:r>
              <w:t>WY_WCDA_FY2024_ACFR.txt</w:t>
            </w:r>
          </w:p>
        </w:tc>
        <w:tc>
          <w:tcPr>
            <w:tcW w:type="dxa" w:w="1728"/>
          </w:tcPr>
          <w:p>
            <w:r>
              <w:t>-</w:t>
            </w:r>
          </w:p>
        </w:tc>
      </w:tr>
    </w:tbl>
    <w:p>
      <w:pPr>
        <w:pStyle w:val="Heading1"/>
      </w:pPr>
      <w:r>
        <w:t>VII. States Without FY2024 Reports (Watch List)</w:t>
      </w:r>
    </w:p>
    <w:p>
      <w:r>
        <w:t>The following 14 states/territories had no locatable FY2024 ACFR/financial statement in public channels as of this report—often because audits were incomplete, only FY2023 was posted, or filings sit behind non-standard portals.</w:t>
      </w:r>
    </w:p>
    <w:p>
      <w:pPr>
        <w:pStyle w:val="ListBullet"/>
      </w:pPr>
      <w:r>
        <w:t>AZ - Arizona Department of Housing (ADOH)</w:t>
      </w:r>
    </w:p>
    <w:p>
      <w:pPr>
        <w:pStyle w:val="ListBullet"/>
      </w:pPr>
      <w:r>
        <w:t>AR - Arkansas Development Finance Authority (ADFA)</w:t>
      </w:r>
    </w:p>
    <w:p>
      <w:pPr>
        <w:pStyle w:val="ListBullet"/>
      </w:pPr>
      <w:r>
        <w:t>CO - Colorado Housing and Finance Authority (CHFA)</w:t>
      </w:r>
    </w:p>
    <w:p>
      <w:pPr>
        <w:pStyle w:val="ListBullet"/>
      </w:pPr>
      <w:r>
        <w:t>DC - DC Housing Finance Agency (DCHFA)</w:t>
      </w:r>
    </w:p>
    <w:p>
      <w:pPr>
        <w:pStyle w:val="ListBullet"/>
      </w:pPr>
      <w:r>
        <w:t>NE - Nebraska Investment Finance Authority (NIFA)</w:t>
      </w:r>
    </w:p>
    <w:p>
      <w:pPr>
        <w:pStyle w:val="ListBullet"/>
      </w:pPr>
      <w:r>
        <w:t>NV - Nevada Housing Division (NHD)</w:t>
      </w:r>
    </w:p>
    <w:p>
      <w:pPr>
        <w:pStyle w:val="ListBullet"/>
      </w:pPr>
      <w:r>
        <w:t>NM - New Mexico Mortgage Finance Authority (MFA)</w:t>
      </w:r>
    </w:p>
    <w:p>
      <w:pPr>
        <w:pStyle w:val="ListBullet"/>
      </w:pPr>
      <w:r>
        <w:t>NY - New York State Homes and Community Renewal (HCR)</w:t>
      </w:r>
    </w:p>
    <w:p>
      <w:pPr>
        <w:pStyle w:val="ListBullet"/>
      </w:pPr>
      <w:r>
        <w:t>OH - Ohio Housing Finance Agency (OHFA)</w:t>
      </w:r>
    </w:p>
    <w:p>
      <w:pPr>
        <w:pStyle w:val="ListBullet"/>
      </w:pPr>
      <w:r>
        <w:t>OK - Oklahoma Housing Finance Agency (OHFA_OK)</w:t>
      </w:r>
    </w:p>
    <w:p>
      <w:pPr>
        <w:pStyle w:val="ListBullet"/>
      </w:pPr>
      <w:r>
        <w:t>OR - Oregon Housing and Community Services (OHCS)</w:t>
      </w:r>
    </w:p>
    <w:p>
      <w:pPr>
        <w:pStyle w:val="ListBullet"/>
      </w:pPr>
      <w:r>
        <w:t>PA - Pennsylvania Housing Finance Agency (PHFA)</w:t>
      </w:r>
    </w:p>
    <w:p>
      <w:pPr>
        <w:pStyle w:val="ListBullet"/>
      </w:pPr>
      <w:r>
        <w:t>RI - Rhode Island Housing (RIHousing)</w:t>
      </w:r>
    </w:p>
    <w:p>
      <w:pPr>
        <w:pStyle w:val="ListBullet"/>
      </w:pPr>
      <w:r>
        <w:t>SC - South Carolina State Housing Finance and Development Authority (SCHFDA)</w:t>
      </w:r>
    </w:p>
    <w:p>
      <w:pPr>
        <w:pStyle w:val="Heading1"/>
      </w:pPr>
      <w:r>
        <w:t>Appendix: Methodology</w:t>
      </w:r>
    </w:p>
    <w:p>
      <w:r>
        <w:t>Data sources: FY2024 ACFRs or audited financial statement PDFs published on state HFA or state auditor websites. Metric extraction prioritizes MD&amp;A Financial Highlights and Statement of Net Position lines for Total assets, Total liabilities, and Total net position (typically in thousands of dollars). Limitation: disclosure bases differ (governmental vs. business-type vs. blended); cross-state comparisons should be read with footnotes.</w:t>
      </w:r>
    </w:p>
    <w:sectPr w:rsidR="00FC693F" w:rsidRPr="0006063C" w:rsidSect="00034616">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