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rPr>
        <w:t xml:space="preserve">Lease and SBITA Liability Reporting: Governmental Funds vs. Government-Wide Financial Statements</w:t>
      </w:r>
    </w:p>
    <w:p>
      <w:pPr>
        <w:spacing w:after="200"/>
      </w:pPr>
      <w:r>
        <w:rPr>
          <w:sz w:val="22"/>
          <w:szCs w:val="22"/>
        </w:rPr>
        <w:t xml:space="preserve">Analysis of U.S. State Housing Finance Agency ACFRs - FY2024 and FY2025</w:t>
      </w:r>
    </w:p>
    <w:p>
      <w:pPr>
        <w:spacing w:after="200"/>
      </w:pPr>
      <w:r>
        <w:rPr>
          <w:sz w:val="22"/>
          <w:szCs w:val="22"/>
        </w:rPr>
        <w:t xml:space="preserve">Prepared: July 23, 2026</w:t>
      </w:r>
    </w:p>
    <w:p>
      <w:pPr>
        <w:spacing w:after="200"/>
      </w:pPr>
      <w:r>
        <w:rPr>
          <w:sz w:val="22"/>
          <w:szCs w:val="22"/>
        </w:rPr>
        <w:t xml:space="preserve"/>
      </w:r>
    </w:p>
    <w:p>
      <w:pPr>
        <w:pStyle w:val="Heading1"/>
      </w:pPr>
      <w:r>
        <w:t xml:space="preserve">1. Executive Summary</w:t>
      </w:r>
    </w:p>
    <w:p>
      <w:pPr>
        <w:spacing w:after="200"/>
      </w:pPr>
      <w:r>
        <w:rPr>
          <w:sz w:val="22"/>
          <w:szCs w:val="22"/>
        </w:rPr>
        <w:t xml:space="preserve">This report addresses whether state housing finance agencies should record lease and SBITA liabilities on governmental fund balance sheets or on the government-wide Statement of Net Position, and summarizes current vs noncurrent presentation in FY2024 and FY2025 ACFRs.</w:t>
      </w:r>
    </w:p>
    <w:p>
      <w:pPr>
        <w:pStyle w:val="ListParagraph"/>
        <w:numPr>
          <w:ilvl w:val="0"/>
          <w:numId w:val="1"/>
        </w:numPr>
        <w:spacing w:after="200"/>
      </w:pPr>
      <w:r>
        <w:rPr>
          <w:sz w:val="22"/>
          <w:szCs w:val="22"/>
        </w:rPr>
        <w:t xml:space="preserve">Review of 92 agency-year files found 27 with identifiable liability amounts and 17 with separate current and noncurrent breakdowns on the Statement of Net Position.</w:t>
      </w:r>
    </w:p>
    <w:p>
      <w:pPr>
        <w:pStyle w:val="ListParagraph"/>
        <w:numPr>
          <w:ilvl w:val="0"/>
          <w:numId w:val="1"/>
        </w:numPr>
        <w:spacing w:after="200"/>
      </w:pPr>
      <w:r>
        <w:rPr>
          <w:sz w:val="22"/>
          <w:szCs w:val="22"/>
        </w:rPr>
        <w:t xml:space="preserve">3 agency-year observations report lease liabilities in the governmental activities column.</w:t>
      </w:r>
    </w:p>
    <w:p>
      <w:pPr>
        <w:pStyle w:val="ListParagraph"/>
        <w:numPr>
          <w:ilvl w:val="0"/>
          <w:numId w:val="1"/>
        </w:numPr>
        <w:spacing w:after="200"/>
      </w:pPr>
      <w:r>
        <w:rPr>
          <w:sz w:val="22"/>
          <w:szCs w:val="22"/>
        </w:rPr>
        <w:t xml:space="preserve">0 report lease liabilities on a governmental fund balance sheet; 0 report SBITA on a governmental fund balance sheet.</w:t>
      </w:r>
    </w:p>
    <w:p>
      <w:pPr>
        <w:spacing w:after="200"/>
      </w:pPr>
      <w:r>
        <w:rPr>
          <w:sz w:val="22"/>
          <w:szCs w:val="22"/>
        </w:rPr>
        <w:t xml:space="preserve"/>
      </w:r>
    </w:p>
    <w:p>
      <w:pPr>
        <w:pStyle w:val="Heading1"/>
      </w:pPr>
      <w:r>
        <w:t xml:space="preserve">2. GASB Requirements</w:t>
      </w:r>
    </w:p>
    <w:p>
      <w:pPr>
        <w:spacing w:after="200"/>
      </w:pPr>
      <w:r>
        <w:rPr>
          <w:sz w:val="22"/>
          <w:szCs w:val="22"/>
        </w:rPr>
        <w:t xml:space="preserve">Under GASB 1500.103, noncurrent lease and SBITA liabilities are general long-term liabilities excluded from governmental funds. Current portions are likewise not fund liabilities; payment is reported as expenditure when due. Both current and noncurrent portions belong on the government-wide Statement of Net Position (governmental and/or business-type columns).</w:t>
      </w:r>
    </w:p>
    <w:p>
      <w:pPr>
        <w:spacing w:after="200"/>
      </w:pPr>
      <w:r>
        <w:rPr>
          <w:sz w:val="22"/>
          <w:szCs w:val="22"/>
        </w:rPr>
        <w:t xml:space="preserve"/>
      </w:r>
    </w:p>
    <w:p>
      <w:pPr>
        <w:pStyle w:val="Heading1"/>
      </w:pPr>
      <w:r>
        <w:t xml:space="preserve">3. Current vs Noncurrent Presentation</w:t>
      </w:r>
    </w:p>
    <w:p>
      <w:pPr>
        <w:spacing w:after="200"/>
      </w:pPr>
      <w:r>
        <w:rPr>
          <w:sz w:val="22"/>
          <w:szCs w:val="22"/>
        </w:rPr>
        <w:t xml:space="preserve">Agencies typically split lease and SBITA liabilities between Current liabilities (current portion) and Noncurrent liabilities (net of current portion) on the Statement of Net Position. The companion Excel workbook groups all extracted amounts into Current, Noncurrent, and Total columns for each state and fiscal year.</w:t>
      </w:r>
    </w:p>
    <w:p>
      <w:pPr>
        <w:pStyle w:val="ListParagraph"/>
        <w:numPr>
          <w:ilvl w:val="0"/>
          <w:numId w:val="1"/>
        </w:numPr>
        <w:spacing w:after="200"/>
      </w:pPr>
      <w:r>
        <w:rPr>
          <w:sz w:val="22"/>
          <w:szCs w:val="22"/>
        </w:rPr>
        <w:t xml:space="preserve">Illinois IHDA FY2025 example (amounts in thousands in source): Lease current 1,312; Lease noncurrent 564; SBITA current 532; SBITA noncurrent 781.</w:t>
      </w:r>
    </w:p>
    <w:p>
      <w:pPr>
        <w:pStyle w:val="ListParagraph"/>
        <w:numPr>
          <w:ilvl w:val="0"/>
          <w:numId w:val="1"/>
        </w:numPr>
        <w:spacing w:after="200"/>
      </w:pPr>
      <w:r>
        <w:rPr>
          <w:sz w:val="22"/>
          <w:szCs w:val="22"/>
        </w:rPr>
        <w:t xml:space="preserve">Montana Housing FY2025: Lease current 117,392; Lease noncurrent 2,094,576; SBITA current 76,260; SBITA noncurrent 287,397.</w:t>
      </w:r>
    </w:p>
    <w:p>
      <w:pPr>
        <w:pStyle w:val="ListParagraph"/>
        <w:numPr>
          <w:ilvl w:val="0"/>
          <w:numId w:val="1"/>
        </w:numPr>
        <w:spacing w:after="200"/>
      </w:pPr>
      <w:r>
        <w:rPr>
          <w:sz w:val="22"/>
          <w:szCs w:val="22"/>
        </w:rPr>
        <w:t xml:space="preserve">Ohio OHFA FY2025: Lease current 370,829; Lease noncurrent 5,643,127 (business-type/general fund column).</w:t>
      </w:r>
    </w:p>
    <w:p>
      <w:pPr>
        <w:spacing w:after="200"/>
      </w:pPr>
      <w:r>
        <w:rPr>
          <w:sz w:val="22"/>
          <w:szCs w:val="22"/>
        </w:rPr>
        <w:t xml:space="preserve"/>
      </w:r>
    </w:p>
    <w:p>
      <w:pPr>
        <w:pStyle w:val="Heading1"/>
      </w:pPr>
      <w:r>
        <w:t xml:space="preserve">4. Conclusion</w:t>
      </w:r>
    </w:p>
    <w:p>
      <w:pPr>
        <w:spacing w:after="200"/>
      </w:pPr>
      <w:r>
        <w:rPr>
          <w:sz w:val="22"/>
          <w:szCs w:val="22"/>
        </w:rPr>
        <w:t xml:space="preserve">Lease and SBITA liabilities should not appear on governmental fund balance sheets. On the government-wide Statement of Net Position, report current and noncurrent portions in the appropriate activity columns. See Lease_SBITA_Liability_SN_P_by_State_FY2024_FY2025.xlsx for the full state-by-state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2026-07-23T07:49:03.564Z</dcterms:created>
  <dcterms:modified xsi:type="dcterms:W3CDTF">2026-07-23T07:49:03.564Z</dcterms:modified>
</cp:coreProperties>
</file>

<file path=docProps/custom.xml><?xml version="1.0" encoding="utf-8"?>
<Properties xmlns="http://schemas.openxmlformats.org/officeDocument/2006/custom-properties" xmlns:vt="http://schemas.openxmlformats.org/officeDocument/2006/docPropsVTypes"/>
</file>