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Agencias Estatales de Financiamiento de Vivienda de EE. UU. — FY2025</w:t>
      </w:r>
      <w:r>
        <w:br/>
      </w:r>
      <w:r>
        <w:rPr>
          <w:b/>
          <w:i w:val="0"/>
        </w:rPr>
        <w:t>Análisis del ACFR y de los Estados Financieros</w:t>
      </w:r>
    </w:p>
    <w:p>
      <w:r>
        <w:rPr>
          <w:b w:val="0"/>
          <w:i w:val="0"/>
        </w:rPr>
        <w:t>Preparado: 9 de agosto de 2026 | Cobertura: 51 estados/territorios | Informes obtenidos: 44 presentaciones del FY2025</w:t>
      </w:r>
    </w:p>
    <w:p>
      <w:pPr>
        <w:pStyle w:val="Heading1"/>
      </w:pPr>
      <w:r>
        <w:rPr>
          <w:b w:val="0"/>
          <w:i w:val="0"/>
        </w:rPr>
        <w:t>I. Resumen ejecutivo</w:t>
      </w:r>
    </w:p>
    <w:p>
      <w:r>
        <w:rPr>
          <w:b w:val="0"/>
          <w:i w:val="0"/>
        </w:rPr>
        <w:t>El ejercicio fiscal 2025 (concluido el 30 de junio de 2025 para la mayoría de las agencias; algunas informan por año calendario) fue un período de gran relevancia para las Agencias Estatales de Financiamiento de Vivienda (HFA, por sus siglas en inglés). Las tasas de interés se relajaron, la competencia por los Créditos Fiscales para Vivienda de Bajos Ingresos (LIHTC) se intensificó, y los programas para compradores de vivienda primerizos siguieron expandiéndose. Este informe recopila y compara los ACFR y estados financieros auditados de acceso público correspondientes a las HFA de los 51 estados y el Distrito de Columbia. A la fecha de elaboración, se obtuvieron 44 informes del FY2025 (86 % de cobertura).</w:t>
      </w:r>
    </w:p>
    <w:p>
      <w:r>
        <w:rPr>
          <w:b w:val="0"/>
          <w:i w:val="0"/>
        </w:rPr>
        <w:t>Entre las 44 agencias con indicadores extraídos, el activo neto agregado asciende a aproximadamente 44,680 millones de dólares y el activo total agregado a aproximadamente 179,910 millones de dólares. Estas cifras agregadas solo son indicativas de la escala del sector y no son comparables con estados financieros consolidados, dadas las diferentes bases de presentación. Las HFA estatales funcionan principalmente como intermediarias financiadas mediante bonos: préstamos hipotecarios y de desarrollo del lado del activo, y bonos de vivienda del lado del pasivo. El índice de activo neto (activo neto dividido entre activo total) es un indicador útil del colchón financiero y la resiliencia de la agencia.</w:t>
      </w:r>
    </w:p>
    <w:p>
      <w:r>
        <w:rPr>
          <w:b w:val="0"/>
          <w:i w:val="0"/>
        </w:rPr>
        <w:t>El mayor incremento interanual del activo neto lo registró Misisipi (MHC), con un +121,2 % (partiendo de una base reducida de 17,5 millones de dólares hasta 38,8 millones, ya que es la primera presentación del FY2025 de Misisipi incorporada a este informe); entre las agencias con una base comparable del año anterior, el mayor incremento lo registró Luisiana (LHC), con un +31,9 %, que llevó su activo neto a 821,7 millones de dólares. Este tipo de incrementos suele coincidir con una mayor emisión de bonos, el crecimiento de la cartera o la recuperación del valor razonable, y debe interpretarse junto con indicadores de producción de vivienda (por ejemplo, unidades financiadas).</w:t>
      </w:r>
    </w:p>
    <w:p>
      <w:pPr>
        <w:pStyle w:val="Heading1"/>
      </w:pPr>
      <w:r>
        <w:rPr>
          <w:b w:val="0"/>
          <w:i w:val="0"/>
        </w:rPr>
        <w:t>II. Clasificaciones</w:t>
      </w:r>
    </w:p>
    <w:p>
      <w:pPr>
        <w:pStyle w:val="Heading2"/>
      </w:pPr>
      <w:r>
        <w:rPr>
          <w:b w:val="0"/>
          <w:i w:val="0"/>
        </w:rPr>
        <w:t>2.1 Los 10 primeros por activo neto</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trPr>
        <w:tc>
          <w:tcPr>
            <w:tcW w:type="dxa" w:w="1440"/>
          </w:tcPr>
          <w:p>
            <w:r/>
            <w:r>
              <w:rPr>
                <w:b/>
              </w:rPr>
              <w:t>N.º</w:t>
            </w:r>
          </w:p>
        </w:tc>
        <w:tc>
          <w:tcPr>
            <w:tcW w:type="dxa" w:w="1440"/>
          </w:tcPr>
          <w:p>
            <w:r/>
            <w:r>
              <w:rPr>
                <w:b/>
              </w:rPr>
              <w:t>Estado</w:t>
            </w:r>
          </w:p>
        </w:tc>
        <w:tc>
          <w:tcPr>
            <w:tcW w:type="dxa" w:w="1440"/>
          </w:tcPr>
          <w:p>
            <w:r/>
            <w:r>
              <w:rPr>
                <w:b/>
              </w:rPr>
              <w:t>Agencia</w:t>
            </w:r>
          </w:p>
        </w:tc>
        <w:tc>
          <w:tcPr>
            <w:tcW w:type="dxa" w:w="1440"/>
          </w:tcPr>
          <w:p>
            <w:r/>
            <w:r>
              <w:rPr>
                <w:b/>
              </w:rPr>
              <w:t>Activo neto FY2025</w:t>
            </w:r>
          </w:p>
        </w:tc>
        <w:tc>
          <w:tcPr>
            <w:tcW w:type="dxa" w:w="1440"/>
          </w:tcPr>
          <w:p>
            <w:r/>
            <w:r>
              <w:rPr>
                <w:b/>
              </w:rPr>
              <w:t>Activo total FY2025</w:t>
            </w:r>
          </w:p>
        </w:tc>
        <w:tc>
          <w:tcPr>
            <w:tcW w:type="dxa" w:w="1440"/>
          </w:tcPr>
          <w:p>
            <w:r/>
            <w:r>
              <w:rPr>
                <w:b/>
              </w:rPr>
              <w:t>Índice de activo neto</w:t>
            </w:r>
          </w:p>
        </w:tc>
      </w:tr>
      <w:tr>
        <w:tc>
          <w:tcPr>
            <w:tcW w:type="dxa" w:w="1440"/>
          </w:tcPr>
          <w:p>
            <w:r/>
            <w:r>
              <w:t>1</w:t>
            </w:r>
          </w:p>
        </w:tc>
        <w:tc>
          <w:tcPr>
            <w:tcW w:type="dxa" w:w="1440"/>
          </w:tcPr>
          <w:p>
            <w:r/>
            <w:r>
              <w:t>FL</w:t>
            </w:r>
          </w:p>
        </w:tc>
        <w:tc>
          <w:tcPr>
            <w:tcW w:type="dxa" w:w="1440"/>
          </w:tcPr>
          <w:p>
            <w:r/>
            <w:r>
              <w:t>FloridaHousing</w:t>
            </w:r>
          </w:p>
        </w:tc>
        <w:tc>
          <w:tcPr>
            <w:tcW w:type="dxa" w:w="1440"/>
          </w:tcPr>
          <w:p>
            <w:r/>
            <w:r>
              <w:t>$4,771.1M</w:t>
            </w:r>
          </w:p>
        </w:tc>
        <w:tc>
          <w:tcPr>
            <w:tcW w:type="dxa" w:w="1440"/>
          </w:tcPr>
          <w:p>
            <w:r/>
            <w:r>
              <w:t>$7,722.4M</w:t>
            </w:r>
          </w:p>
        </w:tc>
        <w:tc>
          <w:tcPr>
            <w:tcW w:type="dxa" w:w="1440"/>
          </w:tcPr>
          <w:p>
            <w:r/>
            <w:r>
              <w:t>+61.8%</w:t>
            </w:r>
          </w:p>
        </w:tc>
      </w:tr>
      <w:tr>
        <w:tc>
          <w:tcPr>
            <w:tcW w:type="dxa" w:w="1440"/>
          </w:tcPr>
          <w:p>
            <w:r/>
            <w:r>
              <w:t>2</w:t>
            </w:r>
          </w:p>
        </w:tc>
        <w:tc>
          <w:tcPr>
            <w:tcW w:type="dxa" w:w="1440"/>
          </w:tcPr>
          <w:p>
            <w:r/>
            <w:r>
              <w:t>VA</w:t>
            </w:r>
          </w:p>
        </w:tc>
        <w:tc>
          <w:tcPr>
            <w:tcW w:type="dxa" w:w="1440"/>
          </w:tcPr>
          <w:p>
            <w:r/>
            <w:r>
              <w:t>VirginiaHousing</w:t>
            </w:r>
          </w:p>
        </w:tc>
        <w:tc>
          <w:tcPr>
            <w:tcW w:type="dxa" w:w="1440"/>
          </w:tcPr>
          <w:p>
            <w:r/>
            <w:r>
              <w:t>$3,963.1M</w:t>
            </w:r>
          </w:p>
        </w:tc>
        <w:tc>
          <w:tcPr>
            <w:tcW w:type="dxa" w:w="1440"/>
          </w:tcPr>
          <w:p>
            <w:r/>
            <w:r>
              <w:t>$12,350.1M</w:t>
            </w:r>
          </w:p>
        </w:tc>
        <w:tc>
          <w:tcPr>
            <w:tcW w:type="dxa" w:w="1440"/>
          </w:tcPr>
          <w:p>
            <w:r/>
            <w:r>
              <w:t>+32.1%</w:t>
            </w:r>
          </w:p>
        </w:tc>
      </w:tr>
      <w:tr>
        <w:tc>
          <w:tcPr>
            <w:tcW w:type="dxa" w:w="1440"/>
          </w:tcPr>
          <w:p>
            <w:r/>
            <w:r>
              <w:t>3</w:t>
            </w:r>
          </w:p>
        </w:tc>
        <w:tc>
          <w:tcPr>
            <w:tcW w:type="dxa" w:w="1440"/>
          </w:tcPr>
          <w:p>
            <w:r/>
            <w:r>
              <w:t>CA</w:t>
            </w:r>
          </w:p>
        </w:tc>
        <w:tc>
          <w:tcPr>
            <w:tcW w:type="dxa" w:w="1440"/>
          </w:tcPr>
          <w:p>
            <w:r/>
            <w:r>
              <w:t>CalHFA</w:t>
            </w:r>
          </w:p>
        </w:tc>
        <w:tc>
          <w:tcPr>
            <w:tcW w:type="dxa" w:w="1440"/>
          </w:tcPr>
          <w:p>
            <w:r/>
            <w:r>
              <w:t>$3,442.9M</w:t>
            </w:r>
          </w:p>
        </w:tc>
        <w:tc>
          <w:tcPr>
            <w:tcW w:type="dxa" w:w="1440"/>
          </w:tcPr>
          <w:p>
            <w:r/>
            <w:r>
              <w:t>$4,980.0M</w:t>
            </w:r>
          </w:p>
        </w:tc>
        <w:tc>
          <w:tcPr>
            <w:tcW w:type="dxa" w:w="1440"/>
          </w:tcPr>
          <w:p>
            <w:r/>
            <w:r>
              <w:t>+69.1%</w:t>
            </w:r>
          </w:p>
        </w:tc>
      </w:tr>
      <w:tr>
        <w:tc>
          <w:tcPr>
            <w:tcW w:type="dxa" w:w="1440"/>
          </w:tcPr>
          <w:p>
            <w:r/>
            <w:r>
              <w:t>4</w:t>
            </w:r>
          </w:p>
        </w:tc>
        <w:tc>
          <w:tcPr>
            <w:tcW w:type="dxa" w:w="1440"/>
          </w:tcPr>
          <w:p>
            <w:r/>
            <w:r>
              <w:t>HI</w:t>
            </w:r>
          </w:p>
        </w:tc>
        <w:tc>
          <w:tcPr>
            <w:tcW w:type="dxa" w:w="1440"/>
          </w:tcPr>
          <w:p>
            <w:r/>
            <w:r>
              <w:t>HHFDC</w:t>
            </w:r>
          </w:p>
        </w:tc>
        <w:tc>
          <w:tcPr>
            <w:tcW w:type="dxa" w:w="1440"/>
          </w:tcPr>
          <w:p>
            <w:r/>
            <w:r>
              <w:t>$2,653.2M</w:t>
            </w:r>
          </w:p>
        </w:tc>
        <w:tc>
          <w:tcPr>
            <w:tcW w:type="dxa" w:w="1440"/>
          </w:tcPr>
          <w:p>
            <w:r/>
            <w:r>
              <w:t>$2,708.7M</w:t>
            </w:r>
          </w:p>
        </w:tc>
        <w:tc>
          <w:tcPr>
            <w:tcW w:type="dxa" w:w="1440"/>
          </w:tcPr>
          <w:p>
            <w:r/>
            <w:r>
              <w:t>+98.0%</w:t>
            </w:r>
          </w:p>
        </w:tc>
      </w:tr>
      <w:tr>
        <w:tc>
          <w:tcPr>
            <w:tcW w:type="dxa" w:w="1440"/>
          </w:tcPr>
          <w:p>
            <w:r/>
            <w:r>
              <w:t>5</w:t>
            </w:r>
          </w:p>
        </w:tc>
        <w:tc>
          <w:tcPr>
            <w:tcW w:type="dxa" w:w="1440"/>
          </w:tcPr>
          <w:p>
            <w:r/>
            <w:r>
              <w:t>MA</w:t>
            </w:r>
          </w:p>
        </w:tc>
        <w:tc>
          <w:tcPr>
            <w:tcW w:type="dxa" w:w="1440"/>
          </w:tcPr>
          <w:p>
            <w:r/>
            <w:r>
              <w:t>MassHousing</w:t>
            </w:r>
          </w:p>
        </w:tc>
        <w:tc>
          <w:tcPr>
            <w:tcW w:type="dxa" w:w="1440"/>
          </w:tcPr>
          <w:p>
            <w:r/>
            <w:r>
              <w:t>$2,083.9M</w:t>
            </w:r>
          </w:p>
        </w:tc>
        <w:tc>
          <w:tcPr>
            <w:tcW w:type="dxa" w:w="1440"/>
          </w:tcPr>
          <w:p>
            <w:r/>
            <w:r>
              <w:t>$8,079.7M</w:t>
            </w:r>
          </w:p>
        </w:tc>
        <w:tc>
          <w:tcPr>
            <w:tcW w:type="dxa" w:w="1440"/>
          </w:tcPr>
          <w:p>
            <w:r/>
            <w:r>
              <w:t>+25.8%</w:t>
            </w:r>
          </w:p>
        </w:tc>
      </w:tr>
      <w:tr>
        <w:tc>
          <w:tcPr>
            <w:tcW w:type="dxa" w:w="1440"/>
          </w:tcPr>
          <w:p>
            <w:r/>
            <w:r>
              <w:t>6</w:t>
            </w:r>
          </w:p>
        </w:tc>
        <w:tc>
          <w:tcPr>
            <w:tcW w:type="dxa" w:w="1440"/>
          </w:tcPr>
          <w:p>
            <w:r/>
            <w:r>
              <w:t>AK</w:t>
            </w:r>
          </w:p>
        </w:tc>
        <w:tc>
          <w:tcPr>
            <w:tcW w:type="dxa" w:w="1440"/>
          </w:tcPr>
          <w:p>
            <w:r/>
            <w:r>
              <w:t>AHFC</w:t>
            </w:r>
          </w:p>
        </w:tc>
        <w:tc>
          <w:tcPr>
            <w:tcW w:type="dxa" w:w="1440"/>
          </w:tcPr>
          <w:p>
            <w:r/>
            <w:r>
              <w:t>$1,699.2M</w:t>
            </w:r>
          </w:p>
        </w:tc>
        <w:tc>
          <w:tcPr>
            <w:tcW w:type="dxa" w:w="1440"/>
          </w:tcPr>
          <w:p>
            <w:r/>
            <w:r>
              <w:t>$4,734.4M</w:t>
            </w:r>
          </w:p>
        </w:tc>
        <w:tc>
          <w:tcPr>
            <w:tcW w:type="dxa" w:w="1440"/>
          </w:tcPr>
          <w:p>
            <w:r/>
            <w:r>
              <w:t>+35.9%</w:t>
            </w:r>
          </w:p>
        </w:tc>
      </w:tr>
      <w:tr>
        <w:tc>
          <w:tcPr>
            <w:tcW w:type="dxa" w:w="1440"/>
          </w:tcPr>
          <w:p>
            <w:r/>
            <w:r>
              <w:t>7</w:t>
            </w:r>
          </w:p>
        </w:tc>
        <w:tc>
          <w:tcPr>
            <w:tcW w:type="dxa" w:w="1440"/>
          </w:tcPr>
          <w:p>
            <w:r/>
            <w:r>
              <w:t>IA</w:t>
            </w:r>
          </w:p>
        </w:tc>
        <w:tc>
          <w:tcPr>
            <w:tcW w:type="dxa" w:w="1440"/>
          </w:tcPr>
          <w:p>
            <w:r/>
            <w:r>
              <w:t>IFA</w:t>
            </w:r>
          </w:p>
        </w:tc>
        <w:tc>
          <w:tcPr>
            <w:tcW w:type="dxa" w:w="1440"/>
          </w:tcPr>
          <w:p>
            <w:r/>
            <w:r>
              <w:t>$1,664.6M</w:t>
            </w:r>
          </w:p>
        </w:tc>
        <w:tc>
          <w:tcPr>
            <w:tcW w:type="dxa" w:w="1440"/>
          </w:tcPr>
          <w:p>
            <w:r/>
            <w:r>
              <w:t>$6,173.2M</w:t>
            </w:r>
          </w:p>
        </w:tc>
        <w:tc>
          <w:tcPr>
            <w:tcW w:type="dxa" w:w="1440"/>
          </w:tcPr>
          <w:p>
            <w:r/>
            <w:r>
              <w:t>+27.0%</w:t>
            </w:r>
          </w:p>
        </w:tc>
      </w:tr>
      <w:tr>
        <w:tc>
          <w:tcPr>
            <w:tcW w:type="dxa" w:w="1440"/>
          </w:tcPr>
          <w:p>
            <w:r/>
            <w:r>
              <w:t>8</w:t>
            </w:r>
          </w:p>
        </w:tc>
        <w:tc>
          <w:tcPr>
            <w:tcW w:type="dxa" w:w="1440"/>
          </w:tcPr>
          <w:p>
            <w:r/>
            <w:r>
              <w:t>MN</w:t>
            </w:r>
          </w:p>
        </w:tc>
        <w:tc>
          <w:tcPr>
            <w:tcW w:type="dxa" w:w="1440"/>
          </w:tcPr>
          <w:p>
            <w:r/>
            <w:r>
              <w:t>MNHousing</w:t>
            </w:r>
          </w:p>
        </w:tc>
        <w:tc>
          <w:tcPr>
            <w:tcW w:type="dxa" w:w="1440"/>
          </w:tcPr>
          <w:p>
            <w:r/>
            <w:r>
              <w:t>$1,649.4M</w:t>
            </w:r>
          </w:p>
        </w:tc>
        <w:tc>
          <w:tcPr>
            <w:tcW w:type="dxa" w:w="1440"/>
          </w:tcPr>
          <w:p>
            <w:r/>
            <w:r>
              <w:t>$8,543.3M</w:t>
            </w:r>
          </w:p>
        </w:tc>
        <w:tc>
          <w:tcPr>
            <w:tcW w:type="dxa" w:w="1440"/>
          </w:tcPr>
          <w:p>
            <w:r/>
            <w:r>
              <w:t>+19.3%</w:t>
            </w:r>
          </w:p>
        </w:tc>
      </w:tr>
      <w:tr>
        <w:tc>
          <w:tcPr>
            <w:tcW w:type="dxa" w:w="1440"/>
          </w:tcPr>
          <w:p>
            <w:r/>
            <w:r>
              <w:t>9</w:t>
            </w:r>
          </w:p>
        </w:tc>
        <w:tc>
          <w:tcPr>
            <w:tcW w:type="dxa" w:w="1440"/>
          </w:tcPr>
          <w:p>
            <w:r/>
            <w:r>
              <w:t>IL</w:t>
            </w:r>
          </w:p>
        </w:tc>
        <w:tc>
          <w:tcPr>
            <w:tcW w:type="dxa" w:w="1440"/>
          </w:tcPr>
          <w:p>
            <w:r/>
            <w:r>
              <w:t>IHDA</w:t>
            </w:r>
          </w:p>
        </w:tc>
        <w:tc>
          <w:tcPr>
            <w:tcW w:type="dxa" w:w="1440"/>
          </w:tcPr>
          <w:p>
            <w:r/>
            <w:r>
              <w:t>$1,533.7M</w:t>
            </w:r>
          </w:p>
        </w:tc>
        <w:tc>
          <w:tcPr>
            <w:tcW w:type="dxa" w:w="1440"/>
          </w:tcPr>
          <w:p>
            <w:r/>
            <w:r>
              <w:t>$7,846.5M</w:t>
            </w:r>
          </w:p>
        </w:tc>
        <w:tc>
          <w:tcPr>
            <w:tcW w:type="dxa" w:w="1440"/>
          </w:tcPr>
          <w:p>
            <w:r/>
            <w:r>
              <w:t>+19.5%</w:t>
            </w:r>
          </w:p>
        </w:tc>
      </w:tr>
      <w:tr>
        <w:tc>
          <w:tcPr>
            <w:tcW w:type="dxa" w:w="1440"/>
          </w:tcPr>
          <w:p>
            <w:r/>
            <w:r>
              <w:t>10</w:t>
            </w:r>
          </w:p>
        </w:tc>
        <w:tc>
          <w:tcPr>
            <w:tcW w:type="dxa" w:w="1440"/>
          </w:tcPr>
          <w:p>
            <w:r/>
            <w:r>
              <w:t>MI</w:t>
            </w:r>
          </w:p>
        </w:tc>
        <w:tc>
          <w:tcPr>
            <w:tcW w:type="dxa" w:w="1440"/>
          </w:tcPr>
          <w:p>
            <w:r/>
            <w:r>
              <w:t>MSHDA</w:t>
            </w:r>
          </w:p>
        </w:tc>
        <w:tc>
          <w:tcPr>
            <w:tcW w:type="dxa" w:w="1440"/>
          </w:tcPr>
          <w:p>
            <w:r/>
            <w:r>
              <w:t>$1,292.0M</w:t>
            </w:r>
          </w:p>
        </w:tc>
        <w:tc>
          <w:tcPr>
            <w:tcW w:type="dxa" w:w="1440"/>
          </w:tcPr>
          <w:p>
            <w:r/>
            <w:r>
              <w:t>$8,027.8M</w:t>
            </w:r>
          </w:p>
        </w:tc>
        <w:tc>
          <w:tcPr>
            <w:tcW w:type="dxa" w:w="1440"/>
          </w:tcPr>
          <w:p>
            <w:r/>
            <w:r>
              <w:t>+16.1%</w:t>
            </w:r>
          </w:p>
        </w:tc>
      </w:tr>
    </w:tbl>
    <w:p/>
    <w:p>
      <w:r>
        <w:rPr>
          <w:b w:val="0"/>
          <w:i w:val="0"/>
        </w:rPr>
        <w:t>Florida, Virginia y California encabezan la clasificación por activo neto, seguidas de Hawái y Massachusetts. Las agencias más grandes suelen operar tanto programas de bonos de ingresos para vivienda multifamiliar como programas hipotecarios unifamiliares. El tamaño no es en sí mismo un indicador de desempeño, pero suele correlacionarse con un mejor acceso al mercado, menores costos marginales de financiamiento y mayor capacidad para financiar grandes operaciones de vivienda asequible cuando cambia la política federal.</w:t>
      </w:r>
    </w:p>
    <w:p>
      <w:pPr>
        <w:pStyle w:val="Heading2"/>
      </w:pPr>
      <w:r>
        <w:rPr>
          <w:b w:val="0"/>
          <w:i w:val="0"/>
        </w:rPr>
        <w:t>2.2 Los 10 primeros por crecimiento del activo neto</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trPr>
        <w:tc>
          <w:tcPr>
            <w:tcW w:type="dxa" w:w="1440"/>
          </w:tcPr>
          <w:p>
            <w:r/>
            <w:r>
              <w:rPr>
                <w:b/>
              </w:rPr>
              <w:t>N.º</w:t>
            </w:r>
          </w:p>
        </w:tc>
        <w:tc>
          <w:tcPr>
            <w:tcW w:type="dxa" w:w="1440"/>
          </w:tcPr>
          <w:p>
            <w:r/>
            <w:r>
              <w:rPr>
                <w:b/>
              </w:rPr>
              <w:t>Estado</w:t>
            </w:r>
          </w:p>
        </w:tc>
        <w:tc>
          <w:tcPr>
            <w:tcW w:type="dxa" w:w="1440"/>
          </w:tcPr>
          <w:p>
            <w:r/>
            <w:r>
              <w:rPr>
                <w:b/>
              </w:rPr>
              <w:t>Agencia</w:t>
            </w:r>
          </w:p>
        </w:tc>
        <w:tc>
          <w:tcPr>
            <w:tcW w:type="dxa" w:w="1440"/>
          </w:tcPr>
          <w:p>
            <w:r/>
            <w:r>
              <w:rPr>
                <w:b/>
              </w:rPr>
              <w:t>Variación del activo neto</w:t>
            </w:r>
          </w:p>
        </w:tc>
        <w:tc>
          <w:tcPr>
            <w:tcW w:type="dxa" w:w="1440"/>
          </w:tcPr>
          <w:p>
            <w:r/>
            <w:r>
              <w:rPr>
                <w:b/>
              </w:rPr>
              <w:t>Tasa de crecimiento</w:t>
            </w:r>
          </w:p>
        </w:tc>
        <w:tc>
          <w:tcPr>
            <w:tcW w:type="dxa" w:w="1440"/>
          </w:tcPr>
          <w:p>
            <w:r/>
            <w:r>
              <w:rPr>
                <w:b/>
              </w:rPr>
              <w:t>Activo neto FY2025</w:t>
            </w:r>
          </w:p>
        </w:tc>
      </w:tr>
      <w:tr>
        <w:tc>
          <w:tcPr>
            <w:tcW w:type="dxa" w:w="1440"/>
          </w:tcPr>
          <w:p>
            <w:r/>
            <w:r>
              <w:t>1</w:t>
            </w:r>
          </w:p>
        </w:tc>
        <w:tc>
          <w:tcPr>
            <w:tcW w:type="dxa" w:w="1440"/>
          </w:tcPr>
          <w:p>
            <w:r/>
            <w:r>
              <w:t>MS</w:t>
            </w:r>
          </w:p>
        </w:tc>
        <w:tc>
          <w:tcPr>
            <w:tcW w:type="dxa" w:w="1440"/>
          </w:tcPr>
          <w:p>
            <w:r/>
            <w:r>
              <w:t>MHC</w:t>
            </w:r>
          </w:p>
        </w:tc>
        <w:tc>
          <w:tcPr>
            <w:tcW w:type="dxa" w:w="1440"/>
          </w:tcPr>
          <w:p>
            <w:r/>
            <w:r>
              <w:t>$21.3M</w:t>
            </w:r>
          </w:p>
        </w:tc>
        <w:tc>
          <w:tcPr>
            <w:tcW w:type="dxa" w:w="1440"/>
          </w:tcPr>
          <w:p>
            <w:r/>
            <w:r>
              <w:t>+121.2%</w:t>
            </w:r>
          </w:p>
        </w:tc>
        <w:tc>
          <w:tcPr>
            <w:tcW w:type="dxa" w:w="1440"/>
          </w:tcPr>
          <w:p>
            <w:r/>
            <w:r>
              <w:t>$38.8M</w:t>
            </w:r>
          </w:p>
        </w:tc>
      </w:tr>
      <w:tr>
        <w:tc>
          <w:tcPr>
            <w:tcW w:type="dxa" w:w="1440"/>
          </w:tcPr>
          <w:p>
            <w:r/>
            <w:r>
              <w:t>2</w:t>
            </w:r>
          </w:p>
        </w:tc>
        <w:tc>
          <w:tcPr>
            <w:tcW w:type="dxa" w:w="1440"/>
          </w:tcPr>
          <w:p>
            <w:r/>
            <w:r>
              <w:t>LA</w:t>
            </w:r>
          </w:p>
        </w:tc>
        <w:tc>
          <w:tcPr>
            <w:tcW w:type="dxa" w:w="1440"/>
          </w:tcPr>
          <w:p>
            <w:r/>
            <w:r>
              <w:t>LHC</w:t>
            </w:r>
          </w:p>
        </w:tc>
        <w:tc>
          <w:tcPr>
            <w:tcW w:type="dxa" w:w="1440"/>
          </w:tcPr>
          <w:p>
            <w:r/>
            <w:r>
              <w:t>$198.7M</w:t>
            </w:r>
          </w:p>
        </w:tc>
        <w:tc>
          <w:tcPr>
            <w:tcW w:type="dxa" w:w="1440"/>
          </w:tcPr>
          <w:p>
            <w:r/>
            <w:r>
              <w:t>+31.9%</w:t>
            </w:r>
          </w:p>
        </w:tc>
        <w:tc>
          <w:tcPr>
            <w:tcW w:type="dxa" w:w="1440"/>
          </w:tcPr>
          <w:p>
            <w:r/>
            <w:r>
              <w:t>$821.7M</w:t>
            </w:r>
          </w:p>
        </w:tc>
      </w:tr>
      <w:tr>
        <w:tc>
          <w:tcPr>
            <w:tcW w:type="dxa" w:w="1440"/>
          </w:tcPr>
          <w:p>
            <w:r/>
            <w:r>
              <w:t>3</w:t>
            </w:r>
          </w:p>
        </w:tc>
        <w:tc>
          <w:tcPr>
            <w:tcW w:type="dxa" w:w="1440"/>
          </w:tcPr>
          <w:p>
            <w:r/>
            <w:r>
              <w:t>MD</w:t>
            </w:r>
          </w:p>
        </w:tc>
        <w:tc>
          <w:tcPr>
            <w:tcW w:type="dxa" w:w="1440"/>
          </w:tcPr>
          <w:p>
            <w:r/>
            <w:r>
              <w:t>CDA</w:t>
            </w:r>
          </w:p>
        </w:tc>
        <w:tc>
          <w:tcPr>
            <w:tcW w:type="dxa" w:w="1440"/>
          </w:tcPr>
          <w:p>
            <w:r/>
            <w:r>
              <w:t>$125.0M</w:t>
            </w:r>
          </w:p>
        </w:tc>
        <w:tc>
          <w:tcPr>
            <w:tcW w:type="dxa" w:w="1440"/>
          </w:tcPr>
          <w:p>
            <w:r/>
            <w:r>
              <w:t>+28.0%</w:t>
            </w:r>
          </w:p>
        </w:tc>
        <w:tc>
          <w:tcPr>
            <w:tcW w:type="dxa" w:w="1440"/>
          </w:tcPr>
          <w:p>
            <w:r/>
            <w:r>
              <w:t>$572.1M</w:t>
            </w:r>
          </w:p>
        </w:tc>
      </w:tr>
      <w:tr>
        <w:tc>
          <w:tcPr>
            <w:tcW w:type="dxa" w:w="1440"/>
          </w:tcPr>
          <w:p>
            <w:r/>
            <w:r>
              <w:t>4</w:t>
            </w:r>
          </w:p>
        </w:tc>
        <w:tc>
          <w:tcPr>
            <w:tcW w:type="dxa" w:w="1440"/>
          </w:tcPr>
          <w:p>
            <w:r/>
            <w:r>
              <w:t>CT</w:t>
            </w:r>
          </w:p>
        </w:tc>
        <w:tc>
          <w:tcPr>
            <w:tcW w:type="dxa" w:w="1440"/>
          </w:tcPr>
          <w:p>
            <w:r/>
            <w:r>
              <w:t>CHFA</w:t>
            </w:r>
          </w:p>
        </w:tc>
        <w:tc>
          <w:tcPr>
            <w:tcW w:type="dxa" w:w="1440"/>
          </w:tcPr>
          <w:p>
            <w:r/>
            <w:r>
              <w:t>$192.6M</w:t>
            </w:r>
          </w:p>
        </w:tc>
        <w:tc>
          <w:tcPr>
            <w:tcW w:type="dxa" w:w="1440"/>
          </w:tcPr>
          <w:p>
            <w:r/>
            <w:r>
              <w:t>+25.2%</w:t>
            </w:r>
          </w:p>
        </w:tc>
        <w:tc>
          <w:tcPr>
            <w:tcW w:type="dxa" w:w="1440"/>
          </w:tcPr>
          <w:p>
            <w:r/>
            <w:r>
              <w:t>$957.0M</w:t>
            </w:r>
          </w:p>
        </w:tc>
      </w:tr>
      <w:tr>
        <w:tc>
          <w:tcPr>
            <w:tcW w:type="dxa" w:w="1440"/>
          </w:tcPr>
          <w:p>
            <w:r/>
            <w:r>
              <w:t>5</w:t>
            </w:r>
          </w:p>
        </w:tc>
        <w:tc>
          <w:tcPr>
            <w:tcW w:type="dxa" w:w="1440"/>
          </w:tcPr>
          <w:p>
            <w:r/>
            <w:r>
              <w:t>IN</w:t>
            </w:r>
          </w:p>
        </w:tc>
        <w:tc>
          <w:tcPr>
            <w:tcW w:type="dxa" w:w="1440"/>
          </w:tcPr>
          <w:p>
            <w:r/>
            <w:r>
              <w:t>IHCDA</w:t>
            </w:r>
          </w:p>
        </w:tc>
        <w:tc>
          <w:tcPr>
            <w:tcW w:type="dxa" w:w="1440"/>
          </w:tcPr>
          <w:p>
            <w:r/>
            <w:r>
              <w:t>$101.6M</w:t>
            </w:r>
          </w:p>
        </w:tc>
        <w:tc>
          <w:tcPr>
            <w:tcW w:type="dxa" w:w="1440"/>
          </w:tcPr>
          <w:p>
            <w:r/>
            <w:r>
              <w:t>+20.4%</w:t>
            </w:r>
          </w:p>
        </w:tc>
        <w:tc>
          <w:tcPr>
            <w:tcW w:type="dxa" w:w="1440"/>
          </w:tcPr>
          <w:p>
            <w:r/>
            <w:r>
              <w:t>$599.5M</w:t>
            </w:r>
          </w:p>
        </w:tc>
      </w:tr>
      <w:tr>
        <w:tc>
          <w:tcPr>
            <w:tcW w:type="dxa" w:w="1440"/>
          </w:tcPr>
          <w:p>
            <w:r/>
            <w:r>
              <w:t>6</w:t>
            </w:r>
          </w:p>
        </w:tc>
        <w:tc>
          <w:tcPr>
            <w:tcW w:type="dxa" w:w="1440"/>
          </w:tcPr>
          <w:p>
            <w:r/>
            <w:r>
              <w:t>OH</w:t>
            </w:r>
          </w:p>
        </w:tc>
        <w:tc>
          <w:tcPr>
            <w:tcW w:type="dxa" w:w="1440"/>
          </w:tcPr>
          <w:p>
            <w:r/>
            <w:r>
              <w:t>OHFA</w:t>
            </w:r>
          </w:p>
        </w:tc>
        <w:tc>
          <w:tcPr>
            <w:tcW w:type="dxa" w:w="1440"/>
          </w:tcPr>
          <w:p>
            <w:r/>
            <w:r>
              <w:t>$86.9M</w:t>
            </w:r>
          </w:p>
        </w:tc>
        <w:tc>
          <w:tcPr>
            <w:tcW w:type="dxa" w:w="1440"/>
          </w:tcPr>
          <w:p>
            <w:r/>
            <w:r>
              <w:t>+19.8%</w:t>
            </w:r>
          </w:p>
        </w:tc>
        <w:tc>
          <w:tcPr>
            <w:tcW w:type="dxa" w:w="1440"/>
          </w:tcPr>
          <w:p>
            <w:r/>
            <w:r>
              <w:t>$526.1M</w:t>
            </w:r>
          </w:p>
        </w:tc>
      </w:tr>
      <w:tr>
        <w:tc>
          <w:tcPr>
            <w:tcW w:type="dxa" w:w="1440"/>
          </w:tcPr>
          <w:p>
            <w:r/>
            <w:r>
              <w:t>7</w:t>
            </w:r>
          </w:p>
        </w:tc>
        <w:tc>
          <w:tcPr>
            <w:tcW w:type="dxa" w:w="1440"/>
          </w:tcPr>
          <w:p>
            <w:r/>
            <w:r>
              <w:t>MN</w:t>
            </w:r>
          </w:p>
        </w:tc>
        <w:tc>
          <w:tcPr>
            <w:tcW w:type="dxa" w:w="1440"/>
          </w:tcPr>
          <w:p>
            <w:r/>
            <w:r>
              <w:t>MNHousing</w:t>
            </w:r>
          </w:p>
        </w:tc>
        <w:tc>
          <w:tcPr>
            <w:tcW w:type="dxa" w:w="1440"/>
          </w:tcPr>
          <w:p>
            <w:r/>
            <w:r>
              <w:t>$259.9M</w:t>
            </w:r>
          </w:p>
        </w:tc>
        <w:tc>
          <w:tcPr>
            <w:tcW w:type="dxa" w:w="1440"/>
          </w:tcPr>
          <w:p>
            <w:r/>
            <w:r>
              <w:t>+18.7%</w:t>
            </w:r>
          </w:p>
        </w:tc>
        <w:tc>
          <w:tcPr>
            <w:tcW w:type="dxa" w:w="1440"/>
          </w:tcPr>
          <w:p>
            <w:r/>
            <w:r>
              <w:t>$1,649.4M</w:t>
            </w:r>
          </w:p>
        </w:tc>
      </w:tr>
      <w:tr>
        <w:tc>
          <w:tcPr>
            <w:tcW w:type="dxa" w:w="1440"/>
          </w:tcPr>
          <w:p>
            <w:r/>
            <w:r>
              <w:t>8</w:t>
            </w:r>
          </w:p>
        </w:tc>
        <w:tc>
          <w:tcPr>
            <w:tcW w:type="dxa" w:w="1440"/>
          </w:tcPr>
          <w:p>
            <w:r/>
            <w:r>
              <w:t>UT</w:t>
            </w:r>
          </w:p>
        </w:tc>
        <w:tc>
          <w:tcPr>
            <w:tcW w:type="dxa" w:w="1440"/>
          </w:tcPr>
          <w:p>
            <w:r/>
            <w:r>
              <w:t>UtahHousing</w:t>
            </w:r>
          </w:p>
        </w:tc>
        <w:tc>
          <w:tcPr>
            <w:tcW w:type="dxa" w:w="1440"/>
          </w:tcPr>
          <w:p>
            <w:r/>
            <w:r>
              <w:t>$96.2M</w:t>
            </w:r>
          </w:p>
        </w:tc>
        <w:tc>
          <w:tcPr>
            <w:tcW w:type="dxa" w:w="1440"/>
          </w:tcPr>
          <w:p>
            <w:r/>
            <w:r>
              <w:t>+18.7%</w:t>
            </w:r>
          </w:p>
        </w:tc>
        <w:tc>
          <w:tcPr>
            <w:tcW w:type="dxa" w:w="1440"/>
          </w:tcPr>
          <w:p>
            <w:r/>
            <w:r>
              <w:t>$610.6M</w:t>
            </w:r>
          </w:p>
        </w:tc>
      </w:tr>
      <w:tr>
        <w:tc>
          <w:tcPr>
            <w:tcW w:type="dxa" w:w="1440"/>
          </w:tcPr>
          <w:p>
            <w:r/>
            <w:r>
              <w:t>9</w:t>
            </w:r>
          </w:p>
        </w:tc>
        <w:tc>
          <w:tcPr>
            <w:tcW w:type="dxa" w:w="1440"/>
          </w:tcPr>
          <w:p>
            <w:r/>
            <w:r>
              <w:t>WI</w:t>
            </w:r>
          </w:p>
        </w:tc>
        <w:tc>
          <w:tcPr>
            <w:tcW w:type="dxa" w:w="1440"/>
          </w:tcPr>
          <w:p>
            <w:r/>
            <w:r>
              <w:t>WHEDA</w:t>
            </w:r>
          </w:p>
        </w:tc>
        <w:tc>
          <w:tcPr>
            <w:tcW w:type="dxa" w:w="1440"/>
          </w:tcPr>
          <w:p>
            <w:r/>
            <w:r>
              <w:t>$169.7M</w:t>
            </w:r>
          </w:p>
        </w:tc>
        <w:tc>
          <w:tcPr>
            <w:tcW w:type="dxa" w:w="1440"/>
          </w:tcPr>
          <w:p>
            <w:r/>
            <w:r>
              <w:t>+17.6%</w:t>
            </w:r>
          </w:p>
        </w:tc>
        <w:tc>
          <w:tcPr>
            <w:tcW w:type="dxa" w:w="1440"/>
          </w:tcPr>
          <w:p>
            <w:r/>
            <w:r>
              <w:t>$1,134.1M</w:t>
            </w:r>
          </w:p>
        </w:tc>
      </w:tr>
      <w:tr>
        <w:tc>
          <w:tcPr>
            <w:tcW w:type="dxa" w:w="1440"/>
          </w:tcPr>
          <w:p>
            <w:r/>
            <w:r>
              <w:t>10</w:t>
            </w:r>
          </w:p>
        </w:tc>
        <w:tc>
          <w:tcPr>
            <w:tcW w:type="dxa" w:w="1440"/>
          </w:tcPr>
          <w:p>
            <w:r/>
            <w:r>
              <w:t>CO</w:t>
            </w:r>
          </w:p>
        </w:tc>
        <w:tc>
          <w:tcPr>
            <w:tcW w:type="dxa" w:w="1440"/>
          </w:tcPr>
          <w:p>
            <w:r/>
            <w:r>
              <w:t>CHFA</w:t>
            </w:r>
          </w:p>
        </w:tc>
        <w:tc>
          <w:tcPr>
            <w:tcW w:type="dxa" w:w="1440"/>
          </w:tcPr>
          <w:p>
            <w:r/>
            <w:r>
              <w:t>$143.3M</w:t>
            </w:r>
          </w:p>
        </w:tc>
        <w:tc>
          <w:tcPr>
            <w:tcW w:type="dxa" w:w="1440"/>
          </w:tcPr>
          <w:p>
            <w:r/>
            <w:r>
              <w:t>+17.3%</w:t>
            </w:r>
          </w:p>
        </w:tc>
        <w:tc>
          <w:tcPr>
            <w:tcW w:type="dxa" w:w="1440"/>
          </w:tcPr>
          <w:p>
            <w:r/>
            <w:r>
              <w:t>$971.7M</w:t>
            </w:r>
          </w:p>
        </w:tc>
      </w:tr>
    </w:tbl>
    <w:p/>
    <w:p>
      <w:r>
        <w:rPr>
          <w:b w:val="0"/>
          <w:i w:val="0"/>
        </w:rPr>
        <w:t>Misisipi registró el mayor crecimiento interanual del activo neto en términos porcentuales (+121,2 %), aunque partiendo de una base reducida al tratarse de una presentación del FY2025 recién incorporada. Entre las agencias con una base comparable del año anterior, Luisiana registró el mayor crecimiento, mientras que Connecticut, Indiana, Ohio, Minnesota y Utah también reportaron incrementos de entre poco más del 15 % y mediados de los 20 %. Un crecimiento rápido suele reflejar un repunte en la emisión de bonos, liberaciones de reservas para pérdidas crediticias o ganancias de valor razonable, o mayores ingresos por comisiones y márgenes de los programas estatales para compradores de vivienda. Las ganancias impulsadas principalmente por cambios en el valor razonable, y no por resultados operativos, pueden resultar menos duraderas.</w:t>
      </w:r>
    </w:p>
    <w:p>
      <w:pPr>
        <w:pStyle w:val="Heading2"/>
      </w:pPr>
      <w:r>
        <w:rPr>
          <w:b w:val="0"/>
          <w:i w:val="0"/>
        </w:rPr>
        <w:t>2.3 Los 10 primeros por activo total</w:t>
      </w:r>
    </w:p>
    <w:tbl>
      <w:tblPr>
        <w:tblStyle w:val="TableGrid"/>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r/>
            <w:r>
              <w:rPr>
                <w:b/>
              </w:rPr>
              <w:t>N.º</w:t>
            </w:r>
          </w:p>
        </w:tc>
        <w:tc>
          <w:tcPr>
            <w:tcW w:type="dxa" w:w="1728"/>
          </w:tcPr>
          <w:p>
            <w:r/>
            <w:r>
              <w:rPr>
                <w:b/>
              </w:rPr>
              <w:t>Estado</w:t>
            </w:r>
          </w:p>
        </w:tc>
        <w:tc>
          <w:tcPr>
            <w:tcW w:type="dxa" w:w="1728"/>
          </w:tcPr>
          <w:p>
            <w:r/>
            <w:r>
              <w:rPr>
                <w:b/>
              </w:rPr>
              <w:t>Agencia</w:t>
            </w:r>
          </w:p>
        </w:tc>
        <w:tc>
          <w:tcPr>
            <w:tcW w:type="dxa" w:w="1728"/>
          </w:tcPr>
          <w:p>
            <w:r/>
            <w:r>
              <w:rPr>
                <w:b/>
              </w:rPr>
              <w:t>Activo total FY2025</w:t>
            </w:r>
          </w:p>
        </w:tc>
        <w:tc>
          <w:tcPr>
            <w:tcW w:type="dxa" w:w="1728"/>
          </w:tcPr>
          <w:p>
            <w:r/>
            <w:r>
              <w:rPr>
                <w:b/>
              </w:rPr>
              <w:t>Activo neto FY2025</w:t>
            </w:r>
          </w:p>
        </w:tc>
      </w:tr>
      <w:tr>
        <w:tc>
          <w:tcPr>
            <w:tcW w:type="dxa" w:w="1728"/>
          </w:tcPr>
          <w:p>
            <w:r/>
            <w:r>
              <w:t>1</w:t>
            </w:r>
          </w:p>
        </w:tc>
        <w:tc>
          <w:tcPr>
            <w:tcW w:type="dxa" w:w="1728"/>
          </w:tcPr>
          <w:p>
            <w:r/>
            <w:r>
              <w:t>VA</w:t>
            </w:r>
          </w:p>
        </w:tc>
        <w:tc>
          <w:tcPr>
            <w:tcW w:type="dxa" w:w="1728"/>
          </w:tcPr>
          <w:p>
            <w:r/>
            <w:r>
              <w:t>VirginiaHousing</w:t>
            </w:r>
          </w:p>
        </w:tc>
        <w:tc>
          <w:tcPr>
            <w:tcW w:type="dxa" w:w="1728"/>
          </w:tcPr>
          <w:p>
            <w:r/>
            <w:r>
              <w:t>$12,350.1M</w:t>
            </w:r>
          </w:p>
        </w:tc>
        <w:tc>
          <w:tcPr>
            <w:tcW w:type="dxa" w:w="1728"/>
          </w:tcPr>
          <w:p>
            <w:r/>
            <w:r>
              <w:t>$3,963.1M</w:t>
            </w:r>
          </w:p>
        </w:tc>
      </w:tr>
      <w:tr>
        <w:tc>
          <w:tcPr>
            <w:tcW w:type="dxa" w:w="1728"/>
          </w:tcPr>
          <w:p>
            <w:r/>
            <w:r>
              <w:t>2</w:t>
            </w:r>
          </w:p>
        </w:tc>
        <w:tc>
          <w:tcPr>
            <w:tcW w:type="dxa" w:w="1728"/>
          </w:tcPr>
          <w:p>
            <w:r/>
            <w:r>
              <w:t>MN</w:t>
            </w:r>
          </w:p>
        </w:tc>
        <w:tc>
          <w:tcPr>
            <w:tcW w:type="dxa" w:w="1728"/>
          </w:tcPr>
          <w:p>
            <w:r/>
            <w:r>
              <w:t>MNHousing</w:t>
            </w:r>
          </w:p>
        </w:tc>
        <w:tc>
          <w:tcPr>
            <w:tcW w:type="dxa" w:w="1728"/>
          </w:tcPr>
          <w:p>
            <w:r/>
            <w:r>
              <w:t>$8,543.3M</w:t>
            </w:r>
          </w:p>
        </w:tc>
        <w:tc>
          <w:tcPr>
            <w:tcW w:type="dxa" w:w="1728"/>
          </w:tcPr>
          <w:p>
            <w:r/>
            <w:r>
              <w:t>$1,649.4M</w:t>
            </w:r>
          </w:p>
        </w:tc>
      </w:tr>
      <w:tr>
        <w:tc>
          <w:tcPr>
            <w:tcW w:type="dxa" w:w="1728"/>
          </w:tcPr>
          <w:p>
            <w:r/>
            <w:r>
              <w:t>3</w:t>
            </w:r>
          </w:p>
        </w:tc>
        <w:tc>
          <w:tcPr>
            <w:tcW w:type="dxa" w:w="1728"/>
          </w:tcPr>
          <w:p>
            <w:r/>
            <w:r>
              <w:t>CO</w:t>
            </w:r>
          </w:p>
        </w:tc>
        <w:tc>
          <w:tcPr>
            <w:tcW w:type="dxa" w:w="1728"/>
          </w:tcPr>
          <w:p>
            <w:r/>
            <w:r>
              <w:t>CHFA</w:t>
            </w:r>
          </w:p>
        </w:tc>
        <w:tc>
          <w:tcPr>
            <w:tcW w:type="dxa" w:w="1728"/>
          </w:tcPr>
          <w:p>
            <w:r/>
            <w:r>
              <w:t>$8,385.3M</w:t>
            </w:r>
          </w:p>
        </w:tc>
        <w:tc>
          <w:tcPr>
            <w:tcW w:type="dxa" w:w="1728"/>
          </w:tcPr>
          <w:p>
            <w:r/>
            <w:r>
              <w:t>$971.7M</w:t>
            </w:r>
          </w:p>
        </w:tc>
      </w:tr>
      <w:tr>
        <w:tc>
          <w:tcPr>
            <w:tcW w:type="dxa" w:w="1728"/>
          </w:tcPr>
          <w:p>
            <w:r/>
            <w:r>
              <w:t>4</w:t>
            </w:r>
          </w:p>
        </w:tc>
        <w:tc>
          <w:tcPr>
            <w:tcW w:type="dxa" w:w="1728"/>
          </w:tcPr>
          <w:p>
            <w:r/>
            <w:r>
              <w:t>PA</w:t>
            </w:r>
          </w:p>
        </w:tc>
        <w:tc>
          <w:tcPr>
            <w:tcW w:type="dxa" w:w="1728"/>
          </w:tcPr>
          <w:p>
            <w:r/>
            <w:r>
              <w:t>PHFA</w:t>
            </w:r>
          </w:p>
        </w:tc>
        <w:tc>
          <w:tcPr>
            <w:tcW w:type="dxa" w:w="1728"/>
          </w:tcPr>
          <w:p>
            <w:r/>
            <w:r>
              <w:t>$8,211.3M</w:t>
            </w:r>
          </w:p>
        </w:tc>
        <w:tc>
          <w:tcPr>
            <w:tcW w:type="dxa" w:w="1728"/>
          </w:tcPr>
          <w:p>
            <w:r/>
            <w:r>
              <w:t>$890.3M</w:t>
            </w:r>
          </w:p>
        </w:tc>
      </w:tr>
      <w:tr>
        <w:tc>
          <w:tcPr>
            <w:tcW w:type="dxa" w:w="1728"/>
          </w:tcPr>
          <w:p>
            <w:r/>
            <w:r>
              <w:t>5</w:t>
            </w:r>
          </w:p>
        </w:tc>
        <w:tc>
          <w:tcPr>
            <w:tcW w:type="dxa" w:w="1728"/>
          </w:tcPr>
          <w:p>
            <w:r/>
            <w:r>
              <w:t>CT</w:t>
            </w:r>
          </w:p>
        </w:tc>
        <w:tc>
          <w:tcPr>
            <w:tcW w:type="dxa" w:w="1728"/>
          </w:tcPr>
          <w:p>
            <w:r/>
            <w:r>
              <w:t>CHFA</w:t>
            </w:r>
          </w:p>
        </w:tc>
        <w:tc>
          <w:tcPr>
            <w:tcW w:type="dxa" w:w="1728"/>
          </w:tcPr>
          <w:p>
            <w:r/>
            <w:r>
              <w:t>$8,122.4M</w:t>
            </w:r>
          </w:p>
        </w:tc>
        <w:tc>
          <w:tcPr>
            <w:tcW w:type="dxa" w:w="1728"/>
          </w:tcPr>
          <w:p>
            <w:r/>
            <w:r>
              <w:t>$957.0M</w:t>
            </w:r>
          </w:p>
        </w:tc>
      </w:tr>
      <w:tr>
        <w:tc>
          <w:tcPr>
            <w:tcW w:type="dxa" w:w="1728"/>
          </w:tcPr>
          <w:p>
            <w:r/>
            <w:r>
              <w:t>6</w:t>
            </w:r>
          </w:p>
        </w:tc>
        <w:tc>
          <w:tcPr>
            <w:tcW w:type="dxa" w:w="1728"/>
          </w:tcPr>
          <w:p>
            <w:r/>
            <w:r>
              <w:t>MA</w:t>
            </w:r>
          </w:p>
        </w:tc>
        <w:tc>
          <w:tcPr>
            <w:tcW w:type="dxa" w:w="1728"/>
          </w:tcPr>
          <w:p>
            <w:r/>
            <w:r>
              <w:t>MassHousing</w:t>
            </w:r>
          </w:p>
        </w:tc>
        <w:tc>
          <w:tcPr>
            <w:tcW w:type="dxa" w:w="1728"/>
          </w:tcPr>
          <w:p>
            <w:r/>
            <w:r>
              <w:t>$8,079.7M</w:t>
            </w:r>
          </w:p>
        </w:tc>
        <w:tc>
          <w:tcPr>
            <w:tcW w:type="dxa" w:w="1728"/>
          </w:tcPr>
          <w:p>
            <w:r/>
            <w:r>
              <w:t>$2,083.9M</w:t>
            </w:r>
          </w:p>
        </w:tc>
      </w:tr>
      <w:tr>
        <w:tc>
          <w:tcPr>
            <w:tcW w:type="dxa" w:w="1728"/>
          </w:tcPr>
          <w:p>
            <w:r/>
            <w:r>
              <w:t>7</w:t>
            </w:r>
          </w:p>
        </w:tc>
        <w:tc>
          <w:tcPr>
            <w:tcW w:type="dxa" w:w="1728"/>
          </w:tcPr>
          <w:p>
            <w:r/>
            <w:r>
              <w:t>MI</w:t>
            </w:r>
          </w:p>
        </w:tc>
        <w:tc>
          <w:tcPr>
            <w:tcW w:type="dxa" w:w="1728"/>
          </w:tcPr>
          <w:p>
            <w:r/>
            <w:r>
              <w:t>MSHDA</w:t>
            </w:r>
          </w:p>
        </w:tc>
        <w:tc>
          <w:tcPr>
            <w:tcW w:type="dxa" w:w="1728"/>
          </w:tcPr>
          <w:p>
            <w:r/>
            <w:r>
              <w:t>$8,027.8M</w:t>
            </w:r>
          </w:p>
        </w:tc>
        <w:tc>
          <w:tcPr>
            <w:tcW w:type="dxa" w:w="1728"/>
          </w:tcPr>
          <w:p>
            <w:r/>
            <w:r>
              <w:t>$1,292.0M</w:t>
            </w:r>
          </w:p>
        </w:tc>
      </w:tr>
      <w:tr>
        <w:tc>
          <w:tcPr>
            <w:tcW w:type="dxa" w:w="1728"/>
          </w:tcPr>
          <w:p>
            <w:r/>
            <w:r>
              <w:t>8</w:t>
            </w:r>
          </w:p>
        </w:tc>
        <w:tc>
          <w:tcPr>
            <w:tcW w:type="dxa" w:w="1728"/>
          </w:tcPr>
          <w:p>
            <w:r/>
            <w:r>
              <w:t>IL</w:t>
            </w:r>
          </w:p>
        </w:tc>
        <w:tc>
          <w:tcPr>
            <w:tcW w:type="dxa" w:w="1728"/>
          </w:tcPr>
          <w:p>
            <w:r/>
            <w:r>
              <w:t>IHDA</w:t>
            </w:r>
          </w:p>
        </w:tc>
        <w:tc>
          <w:tcPr>
            <w:tcW w:type="dxa" w:w="1728"/>
          </w:tcPr>
          <w:p>
            <w:r/>
            <w:r>
              <w:t>$7,846.5M</w:t>
            </w:r>
          </w:p>
        </w:tc>
        <w:tc>
          <w:tcPr>
            <w:tcW w:type="dxa" w:w="1728"/>
          </w:tcPr>
          <w:p>
            <w:r/>
            <w:r>
              <w:t>$1,533.7M</w:t>
            </w:r>
          </w:p>
        </w:tc>
      </w:tr>
      <w:tr>
        <w:tc>
          <w:tcPr>
            <w:tcW w:type="dxa" w:w="1728"/>
          </w:tcPr>
          <w:p>
            <w:r/>
            <w:r>
              <w:t>9</w:t>
            </w:r>
          </w:p>
        </w:tc>
        <w:tc>
          <w:tcPr>
            <w:tcW w:type="dxa" w:w="1728"/>
          </w:tcPr>
          <w:p>
            <w:r/>
            <w:r>
              <w:t>FL</w:t>
            </w:r>
          </w:p>
        </w:tc>
        <w:tc>
          <w:tcPr>
            <w:tcW w:type="dxa" w:w="1728"/>
          </w:tcPr>
          <w:p>
            <w:r/>
            <w:r>
              <w:t>FloridaHousing</w:t>
            </w:r>
          </w:p>
        </w:tc>
        <w:tc>
          <w:tcPr>
            <w:tcW w:type="dxa" w:w="1728"/>
          </w:tcPr>
          <w:p>
            <w:r/>
            <w:r>
              <w:t>$7,722.4M</w:t>
            </w:r>
          </w:p>
        </w:tc>
        <w:tc>
          <w:tcPr>
            <w:tcW w:type="dxa" w:w="1728"/>
          </w:tcPr>
          <w:p>
            <w:r/>
            <w:r>
              <w:t>$4,771.1M</w:t>
            </w:r>
          </w:p>
        </w:tc>
      </w:tr>
      <w:tr>
        <w:tc>
          <w:tcPr>
            <w:tcW w:type="dxa" w:w="1728"/>
          </w:tcPr>
          <w:p>
            <w:r/>
            <w:r>
              <w:t>10</w:t>
            </w:r>
          </w:p>
        </w:tc>
        <w:tc>
          <w:tcPr>
            <w:tcW w:type="dxa" w:w="1728"/>
          </w:tcPr>
          <w:p>
            <w:r/>
            <w:r>
              <w:t>IA</w:t>
            </w:r>
          </w:p>
        </w:tc>
        <w:tc>
          <w:tcPr>
            <w:tcW w:type="dxa" w:w="1728"/>
          </w:tcPr>
          <w:p>
            <w:r/>
            <w:r>
              <w:t>IFA</w:t>
            </w:r>
          </w:p>
        </w:tc>
        <w:tc>
          <w:tcPr>
            <w:tcW w:type="dxa" w:w="1728"/>
          </w:tcPr>
          <w:p>
            <w:r/>
            <w:r>
              <w:t>$6,173.2M</w:t>
            </w:r>
          </w:p>
        </w:tc>
        <w:tc>
          <w:tcPr>
            <w:tcW w:type="dxa" w:w="1728"/>
          </w:tcPr>
          <w:p>
            <w:r/>
            <w:r>
              <w:t>$1,664.6M</w:t>
            </w:r>
          </w:p>
        </w:tc>
      </w:tr>
    </w:tbl>
    <w:p/>
    <w:p>
      <w:pPr>
        <w:pStyle w:val="Heading2"/>
      </w:pPr>
      <w:r>
        <w:rPr>
          <w:b w:val="0"/>
          <w:i w:val="0"/>
        </w:rPr>
        <w:t>2.4 Los 10 primeros por índice de activo neto</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trPr>
        <w:tc>
          <w:tcPr>
            <w:tcW w:type="dxa" w:w="1440"/>
          </w:tcPr>
          <w:p>
            <w:r/>
            <w:r>
              <w:rPr>
                <w:b/>
              </w:rPr>
              <w:t>N.º</w:t>
            </w:r>
          </w:p>
        </w:tc>
        <w:tc>
          <w:tcPr>
            <w:tcW w:type="dxa" w:w="1440"/>
          </w:tcPr>
          <w:p>
            <w:r/>
            <w:r>
              <w:rPr>
                <w:b/>
              </w:rPr>
              <w:t>Estado</w:t>
            </w:r>
          </w:p>
        </w:tc>
        <w:tc>
          <w:tcPr>
            <w:tcW w:type="dxa" w:w="1440"/>
          </w:tcPr>
          <w:p>
            <w:r/>
            <w:r>
              <w:rPr>
                <w:b/>
              </w:rPr>
              <w:t>Agencia</w:t>
            </w:r>
          </w:p>
        </w:tc>
        <w:tc>
          <w:tcPr>
            <w:tcW w:type="dxa" w:w="1440"/>
          </w:tcPr>
          <w:p>
            <w:r/>
            <w:r>
              <w:rPr>
                <w:b/>
              </w:rPr>
              <w:t>Índice de activo neto</w:t>
            </w:r>
          </w:p>
        </w:tc>
        <w:tc>
          <w:tcPr>
            <w:tcW w:type="dxa" w:w="1440"/>
          </w:tcPr>
          <w:p>
            <w:r/>
            <w:r>
              <w:rPr>
                <w:b/>
              </w:rPr>
              <w:t>Activo neto FY2025</w:t>
            </w:r>
          </w:p>
        </w:tc>
        <w:tc>
          <w:tcPr>
            <w:tcW w:type="dxa" w:w="1440"/>
          </w:tcPr>
          <w:p>
            <w:r/>
            <w:r>
              <w:rPr>
                <w:b/>
              </w:rPr>
              <w:t>Activo total FY2025</w:t>
            </w:r>
          </w:p>
        </w:tc>
      </w:tr>
      <w:tr>
        <w:tc>
          <w:tcPr>
            <w:tcW w:type="dxa" w:w="1440"/>
          </w:tcPr>
          <w:p>
            <w:r/>
            <w:r>
              <w:t>1</w:t>
            </w:r>
          </w:p>
        </w:tc>
        <w:tc>
          <w:tcPr>
            <w:tcW w:type="dxa" w:w="1440"/>
          </w:tcPr>
          <w:p>
            <w:r/>
            <w:r>
              <w:t>HI</w:t>
            </w:r>
          </w:p>
        </w:tc>
        <w:tc>
          <w:tcPr>
            <w:tcW w:type="dxa" w:w="1440"/>
          </w:tcPr>
          <w:p>
            <w:r/>
            <w:r>
              <w:t>HHFDC</w:t>
            </w:r>
          </w:p>
        </w:tc>
        <w:tc>
          <w:tcPr>
            <w:tcW w:type="dxa" w:w="1440"/>
          </w:tcPr>
          <w:p>
            <w:r/>
            <w:r>
              <w:t>+98.0%</w:t>
            </w:r>
          </w:p>
        </w:tc>
        <w:tc>
          <w:tcPr>
            <w:tcW w:type="dxa" w:w="1440"/>
          </w:tcPr>
          <w:p>
            <w:r/>
            <w:r>
              <w:t>$2,653.2M</w:t>
            </w:r>
          </w:p>
        </w:tc>
        <w:tc>
          <w:tcPr>
            <w:tcW w:type="dxa" w:w="1440"/>
          </w:tcPr>
          <w:p>
            <w:r/>
            <w:r>
              <w:t>$2,708.7M</w:t>
            </w:r>
          </w:p>
        </w:tc>
      </w:tr>
      <w:tr>
        <w:tc>
          <w:tcPr>
            <w:tcW w:type="dxa" w:w="1440"/>
          </w:tcPr>
          <w:p>
            <w:r/>
            <w:r>
              <w:t>2</w:t>
            </w:r>
          </w:p>
        </w:tc>
        <w:tc>
          <w:tcPr>
            <w:tcW w:type="dxa" w:w="1440"/>
          </w:tcPr>
          <w:p>
            <w:r/>
            <w:r>
              <w:t>KS</w:t>
            </w:r>
          </w:p>
        </w:tc>
        <w:tc>
          <w:tcPr>
            <w:tcW w:type="dxa" w:w="1440"/>
          </w:tcPr>
          <w:p>
            <w:r/>
            <w:r>
              <w:t>KHRC</w:t>
            </w:r>
          </w:p>
        </w:tc>
        <w:tc>
          <w:tcPr>
            <w:tcW w:type="dxa" w:w="1440"/>
          </w:tcPr>
          <w:p>
            <w:r/>
            <w:r>
              <w:t>+81.2%</w:t>
            </w:r>
          </w:p>
        </w:tc>
        <w:tc>
          <w:tcPr>
            <w:tcW w:type="dxa" w:w="1440"/>
          </w:tcPr>
          <w:p>
            <w:r/>
            <w:r>
              <w:t>$78.7M</w:t>
            </w:r>
          </w:p>
        </w:tc>
        <w:tc>
          <w:tcPr>
            <w:tcW w:type="dxa" w:w="1440"/>
          </w:tcPr>
          <w:p>
            <w:r/>
            <w:r>
              <w:t>$96.9M</w:t>
            </w:r>
          </w:p>
        </w:tc>
      </w:tr>
      <w:tr>
        <w:tc>
          <w:tcPr>
            <w:tcW w:type="dxa" w:w="1440"/>
          </w:tcPr>
          <w:p>
            <w:r/>
            <w:r>
              <w:t>3</w:t>
            </w:r>
          </w:p>
        </w:tc>
        <w:tc>
          <w:tcPr>
            <w:tcW w:type="dxa" w:w="1440"/>
          </w:tcPr>
          <w:p>
            <w:r/>
            <w:r>
              <w:t>CA</w:t>
            </w:r>
          </w:p>
        </w:tc>
        <w:tc>
          <w:tcPr>
            <w:tcW w:type="dxa" w:w="1440"/>
          </w:tcPr>
          <w:p>
            <w:r/>
            <w:r>
              <w:t>CalHFA</w:t>
            </w:r>
          </w:p>
        </w:tc>
        <w:tc>
          <w:tcPr>
            <w:tcW w:type="dxa" w:w="1440"/>
          </w:tcPr>
          <w:p>
            <w:r/>
            <w:r>
              <w:t>+69.1%</w:t>
            </w:r>
          </w:p>
        </w:tc>
        <w:tc>
          <w:tcPr>
            <w:tcW w:type="dxa" w:w="1440"/>
          </w:tcPr>
          <w:p>
            <w:r/>
            <w:r>
              <w:t>$3,442.9M</w:t>
            </w:r>
          </w:p>
        </w:tc>
        <w:tc>
          <w:tcPr>
            <w:tcW w:type="dxa" w:w="1440"/>
          </w:tcPr>
          <w:p>
            <w:r/>
            <w:r>
              <w:t>$4,980.0M</w:t>
            </w:r>
          </w:p>
        </w:tc>
      </w:tr>
      <w:tr>
        <w:tc>
          <w:tcPr>
            <w:tcW w:type="dxa" w:w="1440"/>
          </w:tcPr>
          <w:p>
            <w:r/>
            <w:r>
              <w:t>4</w:t>
            </w:r>
          </w:p>
        </w:tc>
        <w:tc>
          <w:tcPr>
            <w:tcW w:type="dxa" w:w="1440"/>
          </w:tcPr>
          <w:p>
            <w:r/>
            <w:r>
              <w:t>FL</w:t>
            </w:r>
          </w:p>
        </w:tc>
        <w:tc>
          <w:tcPr>
            <w:tcW w:type="dxa" w:w="1440"/>
          </w:tcPr>
          <w:p>
            <w:r/>
            <w:r>
              <w:t>FloridaHousing</w:t>
            </w:r>
          </w:p>
        </w:tc>
        <w:tc>
          <w:tcPr>
            <w:tcW w:type="dxa" w:w="1440"/>
          </w:tcPr>
          <w:p>
            <w:r/>
            <w:r>
              <w:t>+61.8%</w:t>
            </w:r>
          </w:p>
        </w:tc>
        <w:tc>
          <w:tcPr>
            <w:tcW w:type="dxa" w:w="1440"/>
          </w:tcPr>
          <w:p>
            <w:r/>
            <w:r>
              <w:t>$4,771.1M</w:t>
            </w:r>
          </w:p>
        </w:tc>
        <w:tc>
          <w:tcPr>
            <w:tcW w:type="dxa" w:w="1440"/>
          </w:tcPr>
          <w:p>
            <w:r/>
            <w:r>
              <w:t>$7,722.4M</w:t>
            </w:r>
          </w:p>
        </w:tc>
      </w:tr>
      <w:tr>
        <w:tc>
          <w:tcPr>
            <w:tcW w:type="dxa" w:w="1440"/>
          </w:tcPr>
          <w:p>
            <w:r/>
            <w:r>
              <w:t>5</w:t>
            </w:r>
          </w:p>
        </w:tc>
        <w:tc>
          <w:tcPr>
            <w:tcW w:type="dxa" w:w="1440"/>
          </w:tcPr>
          <w:p>
            <w:r/>
            <w:r>
              <w:t>LA</w:t>
            </w:r>
          </w:p>
        </w:tc>
        <w:tc>
          <w:tcPr>
            <w:tcW w:type="dxa" w:w="1440"/>
          </w:tcPr>
          <w:p>
            <w:r/>
            <w:r>
              <w:t>LHC</w:t>
            </w:r>
          </w:p>
        </w:tc>
        <w:tc>
          <w:tcPr>
            <w:tcW w:type="dxa" w:w="1440"/>
          </w:tcPr>
          <w:p>
            <w:r/>
            <w:r>
              <w:t>+53.2%</w:t>
            </w:r>
          </w:p>
        </w:tc>
        <w:tc>
          <w:tcPr>
            <w:tcW w:type="dxa" w:w="1440"/>
          </w:tcPr>
          <w:p>
            <w:r/>
            <w:r>
              <w:t>$821.7M</w:t>
            </w:r>
          </w:p>
        </w:tc>
        <w:tc>
          <w:tcPr>
            <w:tcW w:type="dxa" w:w="1440"/>
          </w:tcPr>
          <w:p>
            <w:r/>
            <w:r>
              <w:t>$1,545.0M</w:t>
            </w:r>
          </w:p>
        </w:tc>
      </w:tr>
      <w:tr>
        <w:tc>
          <w:tcPr>
            <w:tcW w:type="dxa" w:w="1440"/>
          </w:tcPr>
          <w:p>
            <w:r/>
            <w:r>
              <w:t>6</w:t>
            </w:r>
          </w:p>
        </w:tc>
        <w:tc>
          <w:tcPr>
            <w:tcW w:type="dxa" w:w="1440"/>
          </w:tcPr>
          <w:p>
            <w:r/>
            <w:r>
              <w:t>DE</w:t>
            </w:r>
          </w:p>
        </w:tc>
        <w:tc>
          <w:tcPr>
            <w:tcW w:type="dxa" w:w="1440"/>
          </w:tcPr>
          <w:p>
            <w:r/>
            <w:r>
              <w:t>DSHA</w:t>
            </w:r>
          </w:p>
        </w:tc>
        <w:tc>
          <w:tcPr>
            <w:tcW w:type="dxa" w:w="1440"/>
          </w:tcPr>
          <w:p>
            <w:r/>
            <w:r>
              <w:t>+46.8%</w:t>
            </w:r>
          </w:p>
        </w:tc>
        <w:tc>
          <w:tcPr>
            <w:tcW w:type="dxa" w:w="1440"/>
          </w:tcPr>
          <w:p>
            <w:r/>
            <w:r>
              <w:t>$732.5M</w:t>
            </w:r>
          </w:p>
        </w:tc>
        <w:tc>
          <w:tcPr>
            <w:tcW w:type="dxa" w:w="1440"/>
          </w:tcPr>
          <w:p>
            <w:r/>
            <w:r>
              <w:t>$1,564.9M</w:t>
            </w:r>
          </w:p>
        </w:tc>
      </w:tr>
      <w:tr>
        <w:tc>
          <w:tcPr>
            <w:tcW w:type="dxa" w:w="1440"/>
          </w:tcPr>
          <w:p>
            <w:r/>
            <w:r>
              <w:t>7</w:t>
            </w:r>
          </w:p>
        </w:tc>
        <w:tc>
          <w:tcPr>
            <w:tcW w:type="dxa" w:w="1440"/>
          </w:tcPr>
          <w:p>
            <w:r/>
            <w:r>
              <w:t>AR</w:t>
            </w:r>
          </w:p>
        </w:tc>
        <w:tc>
          <w:tcPr>
            <w:tcW w:type="dxa" w:w="1440"/>
          </w:tcPr>
          <w:p>
            <w:r/>
            <w:r>
              <w:t>ADFA</w:t>
            </w:r>
          </w:p>
        </w:tc>
        <w:tc>
          <w:tcPr>
            <w:tcW w:type="dxa" w:w="1440"/>
          </w:tcPr>
          <w:p>
            <w:r/>
            <w:r>
              <w:t>+46.5%</w:t>
            </w:r>
          </w:p>
        </w:tc>
        <w:tc>
          <w:tcPr>
            <w:tcW w:type="dxa" w:w="1440"/>
          </w:tcPr>
          <w:p>
            <w:r/>
            <w:r>
              <w:t>$530.8M</w:t>
            </w:r>
          </w:p>
        </w:tc>
        <w:tc>
          <w:tcPr>
            <w:tcW w:type="dxa" w:w="1440"/>
          </w:tcPr>
          <w:p>
            <w:r/>
            <w:r>
              <w:t>$1,142.2M</w:t>
            </w:r>
          </w:p>
        </w:tc>
      </w:tr>
      <w:tr>
        <w:tc>
          <w:tcPr>
            <w:tcW w:type="dxa" w:w="1440"/>
          </w:tcPr>
          <w:p>
            <w:r/>
            <w:r>
              <w:t>8</w:t>
            </w:r>
          </w:p>
        </w:tc>
        <w:tc>
          <w:tcPr>
            <w:tcW w:type="dxa" w:w="1440"/>
          </w:tcPr>
          <w:p>
            <w:r/>
            <w:r>
              <w:t>WA</w:t>
            </w:r>
          </w:p>
        </w:tc>
        <w:tc>
          <w:tcPr>
            <w:tcW w:type="dxa" w:w="1440"/>
          </w:tcPr>
          <w:p>
            <w:r/>
            <w:r>
              <w:t>WSHFC</w:t>
            </w:r>
          </w:p>
        </w:tc>
        <w:tc>
          <w:tcPr>
            <w:tcW w:type="dxa" w:w="1440"/>
          </w:tcPr>
          <w:p>
            <w:r/>
            <w:r>
              <w:t>+42.1%</w:t>
            </w:r>
          </w:p>
        </w:tc>
        <w:tc>
          <w:tcPr>
            <w:tcW w:type="dxa" w:w="1440"/>
          </w:tcPr>
          <w:p>
            <w:r/>
            <w:r>
              <w:t>$1,064.1M</w:t>
            </w:r>
          </w:p>
        </w:tc>
        <w:tc>
          <w:tcPr>
            <w:tcW w:type="dxa" w:w="1440"/>
          </w:tcPr>
          <w:p>
            <w:r/>
            <w:r>
              <w:t>$2,525.7M</w:t>
            </w:r>
          </w:p>
        </w:tc>
      </w:tr>
      <w:tr>
        <w:tc>
          <w:tcPr>
            <w:tcW w:type="dxa" w:w="1440"/>
          </w:tcPr>
          <w:p>
            <w:r/>
            <w:r>
              <w:t>9</w:t>
            </w:r>
          </w:p>
        </w:tc>
        <w:tc>
          <w:tcPr>
            <w:tcW w:type="dxa" w:w="1440"/>
          </w:tcPr>
          <w:p>
            <w:r/>
            <w:r>
              <w:t>WV</w:t>
            </w:r>
          </w:p>
        </w:tc>
        <w:tc>
          <w:tcPr>
            <w:tcW w:type="dxa" w:w="1440"/>
          </w:tcPr>
          <w:p>
            <w:r/>
            <w:r>
              <w:t>WVHDF</w:t>
            </w:r>
          </w:p>
        </w:tc>
        <w:tc>
          <w:tcPr>
            <w:tcW w:type="dxa" w:w="1440"/>
          </w:tcPr>
          <w:p>
            <w:r/>
            <w:r>
              <w:t>+39.8%</w:t>
            </w:r>
          </w:p>
        </w:tc>
        <w:tc>
          <w:tcPr>
            <w:tcW w:type="dxa" w:w="1440"/>
          </w:tcPr>
          <w:p>
            <w:r/>
            <w:r>
              <w:t>$640.0M</w:t>
            </w:r>
          </w:p>
        </w:tc>
        <w:tc>
          <w:tcPr>
            <w:tcW w:type="dxa" w:w="1440"/>
          </w:tcPr>
          <w:p>
            <w:r/>
            <w:r>
              <w:t>$1,607.0M</w:t>
            </w:r>
          </w:p>
        </w:tc>
      </w:tr>
      <w:tr>
        <w:tc>
          <w:tcPr>
            <w:tcW w:type="dxa" w:w="1440"/>
          </w:tcPr>
          <w:p>
            <w:r/>
            <w:r>
              <w:t>10</w:t>
            </w:r>
          </w:p>
        </w:tc>
        <w:tc>
          <w:tcPr>
            <w:tcW w:type="dxa" w:w="1440"/>
          </w:tcPr>
          <w:p>
            <w:r/>
            <w:r>
              <w:t>AL</w:t>
            </w:r>
          </w:p>
        </w:tc>
        <w:tc>
          <w:tcPr>
            <w:tcW w:type="dxa" w:w="1440"/>
          </w:tcPr>
          <w:p>
            <w:r/>
            <w:r>
              <w:t>AHFA</w:t>
            </w:r>
          </w:p>
        </w:tc>
        <w:tc>
          <w:tcPr>
            <w:tcW w:type="dxa" w:w="1440"/>
          </w:tcPr>
          <w:p>
            <w:r/>
            <w:r>
              <w:t>+37.8%</w:t>
            </w:r>
          </w:p>
        </w:tc>
        <w:tc>
          <w:tcPr>
            <w:tcW w:type="dxa" w:w="1440"/>
          </w:tcPr>
          <w:p>
            <w:r/>
            <w:r>
              <w:t>$516.0M</w:t>
            </w:r>
          </w:p>
        </w:tc>
        <w:tc>
          <w:tcPr>
            <w:tcW w:type="dxa" w:w="1440"/>
          </w:tcPr>
          <w:p>
            <w:r/>
            <w:r>
              <w:t>$1,364.9M</w:t>
            </w:r>
          </w:p>
        </w:tc>
      </w:tr>
    </w:tbl>
    <w:p/>
    <w:p>
      <w:r>
        <w:rPr>
          <w:b w:val="0"/>
          <w:i w:val="0"/>
        </w:rPr>
        <w:t>Entre las agencias más grandes, Hawái y California presentan los índices de activo neto más altos; Florida y Luisiana también se sitúan muy por encima del nivel típico de sus pares. Las HFA más pequeñas pueden mostrar índices elevados debido a balances más simples, por lo que el tamaño y el índice deben interpretarse en conjunto. Un colchón financiero más amplio generalmente ofrece mayor flexibilidad ante deterioros de activos, presión de tasas de interés o ventanas de refinanciamiento más estrechas.</w:t>
      </w:r>
    </w:p>
    <w:p>
      <w:pPr>
        <w:pStyle w:val="Heading1"/>
      </w:pPr>
      <w:r>
        <w:rPr>
          <w:b w:val="0"/>
          <w:i w:val="0"/>
        </w:rPr>
        <w:t>III. Modelos operativos: cinco arquetipos</w:t>
      </w:r>
    </w:p>
    <w:p>
      <w:r>
        <w:rPr>
          <w:b w:val="0"/>
          <w:i w:val="0"/>
        </w:rPr>
        <w:t>Las revelaciones del FY2025 sugieren cinco modelos operativos generales útiles para la comparación entre estados:</w:t>
      </w:r>
    </w:p>
    <w:p>
      <w:pPr>
        <w:pStyle w:val="ListBullet"/>
      </w:pPr>
      <w:r>
        <w:rPr>
          <w:b/>
          <w:i w:val="0"/>
        </w:rPr>
        <w:t xml:space="preserve">Grandes agencias financiadas con bonos: </w:t>
      </w:r>
      <w:r>
        <w:rPr>
          <w:b w:val="0"/>
          <w:i w:val="0"/>
        </w:rPr>
        <w:t>Entre los ejemplos se incluyen Virginia, Minnesota, Colorado, Connecticut, Míchigan e Illinois: bases de activos amplias con pasivos que se expanden en paralelo, y una fuerte dependencia de programas de bonos multifamiliares y unifamiliares, así como de los canales de las GSE (entidades patrocinadas por el gobierno).</w:t>
      </w:r>
    </w:p>
    <w:p>
      <w:pPr>
        <w:pStyle w:val="ListBullet"/>
      </w:pPr>
      <w:r>
        <w:rPr>
          <w:b/>
          <w:i w:val="0"/>
        </w:rPr>
        <w:t xml:space="preserve">Agencias medianas a grandes de alto crecimiento: </w:t>
      </w:r>
      <w:r>
        <w:rPr>
          <w:b w:val="0"/>
          <w:i w:val="0"/>
        </w:rPr>
        <w:t>Entre los ejemplos se incluyen Luisiana, Connecticut, Indiana, Ohio y Utah: crecimiento de dos dígitos en el activo neto sobre balances de tamaño mediano a grande, lo que ilustra cómo los ciclos de emisión y la combinación de programas pueden fortalecer el capital.</w:t>
      </w:r>
    </w:p>
    <w:p>
      <w:pPr>
        <w:pStyle w:val="ListBullet"/>
      </w:pPr>
      <w:r>
        <w:rPr>
          <w:b/>
          <w:i w:val="0"/>
        </w:rPr>
        <w:t xml:space="preserve">Modelos integrados de departamento estatal: </w:t>
      </w:r>
      <w:r>
        <w:rPr>
          <w:b w:val="0"/>
          <w:i w:val="0"/>
        </w:rPr>
        <w:t>El TDHCA de Texas es representativo: los fondos gubernamentales y los de tipo empresarial operan en paralelo, por lo que la base de revelación y el alcance de la consolidación requieren una lectura cuidadosa.</w:t>
      </w:r>
    </w:p>
    <w:p>
      <w:pPr>
        <w:pStyle w:val="ListBullet"/>
      </w:pPr>
      <w:r>
        <w:rPr>
          <w:b/>
          <w:i w:val="0"/>
        </w:rPr>
        <w:t xml:space="preserve">Mercados costeros de alto costo: </w:t>
      </w:r>
      <w:r>
        <w:rPr>
          <w:b w:val="0"/>
          <w:i w:val="0"/>
        </w:rPr>
        <w:t>California y Washington son ilustrativos (las presentaciones a nivel de entidad de Nueva York siguen siendo limitadas). Los resultados siguen de cerca los precios de la vivienda, los costos de construcción y la cartera de proyectos. En el FY2025, CalHFA reportó un activo neto de aproximadamente 3,440 millones de dólares y un activo total cercano a 5,000 millones de dólares, manteniéndose entre las mayores agencias estatales de financiamiento de vivienda.</w:t>
      </w:r>
    </w:p>
    <w:p>
      <w:pPr>
        <w:pStyle w:val="ListBullet"/>
      </w:pPr>
      <w:r>
        <w:rPr>
          <w:b/>
          <w:i w:val="0"/>
        </w:rPr>
        <w:t xml:space="preserve">Estados de recursos y baja densidad: </w:t>
      </w:r>
      <w:r>
        <w:rPr>
          <w:b w:val="0"/>
          <w:i w:val="0"/>
        </w:rPr>
        <w:t>Wyoming, Dakota del Norte, Dakota del Sur y Nuevo México suelen mostrar ciclos de emisión más volátiles; proyectos individuales pueden mover de forma significativa los estados financieros.</w:t>
      </w:r>
    </w:p>
    <w:p>
      <w:pPr>
        <w:pStyle w:val="Heading1"/>
      </w:pPr>
      <w:r>
        <w:rPr>
          <w:b w:val="0"/>
          <w:i w:val="0"/>
        </w:rPr>
        <w:t>IV. Interpretación de las cifras</w:t>
      </w:r>
    </w:p>
    <w:p>
      <w:r>
        <w:rPr>
          <w:b/>
          <w:i w:val="0"/>
        </w:rPr>
        <w:t xml:space="preserve">La escala no garantiza seguridad. </w:t>
      </w:r>
      <w:r>
        <w:rPr>
          <w:b w:val="0"/>
          <w:i w:val="0"/>
        </w:rPr>
        <w:t>Las bases de activos más grandes suelen conllevar también los mayores pasivos y la mayor exposición a derivados. Dado que la trayectoria de las tasas de interés sigue siendo incierta, el índice de activo neto y la capacidad de flujo de caja merecen tanta atención como la clasificación por tamaño de activos.</w:t>
      </w:r>
    </w:p>
    <w:p>
      <w:r>
        <w:rPr>
          <w:b/>
          <w:i w:val="0"/>
        </w:rPr>
        <w:t xml:space="preserve">El crecimiento del activo neto no equivale a producción de vivienda. </w:t>
      </w:r>
      <w:r>
        <w:rPr>
          <w:b w:val="0"/>
          <w:i w:val="0"/>
        </w:rPr>
        <w:t>Conforme a los principios contables GAAP, el activo neto puede variar por el valor razonable de las inversiones, las provisiones por pérdidas o la amortización de primas de bonos. La producción de vivienda debe validarse con los informes de los programas (unidades financiadas, bonos emitidos).</w:t>
      </w:r>
    </w:p>
    <w:p>
      <w:r>
        <w:rPr>
          <w:b/>
          <w:i w:val="0"/>
        </w:rPr>
        <w:t xml:space="preserve">La calidad de la revelación de información tiene valor de mercado. </w:t>
      </w:r>
      <w:r>
        <w:rPr>
          <w:b w:val="0"/>
          <w:i w:val="0"/>
        </w:rPr>
        <w:t>Las agencias que obtienen el Certificado de Logro de la GFOA (por ejemplo, IHDA de Illinois) tienden a publicar un análisis y comentarios de la gerencia (MD&amp;A) más claro, lo que puede reducir los costos de diligencia debida de los inversionistas y, de forma indirecta, favorecer diferenciales de bonos más ajustados.</w:t>
      </w:r>
    </w:p>
    <w:p>
      <w:pPr>
        <w:pStyle w:val="Heading1"/>
      </w:pPr>
      <w:r>
        <w:rPr>
          <w:b w:val="0"/>
          <w:i w:val="0"/>
        </w:rPr>
        <w:t>V. Recomendaciones para el FY2026 y años posteriores</w:t>
      </w:r>
    </w:p>
    <w:p>
      <w:pPr>
        <w:pStyle w:val="ListNumber"/>
      </w:pPr>
      <w:r>
        <w:rPr>
          <w:b/>
          <w:i w:val="0"/>
        </w:rPr>
        <w:t xml:space="preserve">Adoptar un marco común de salud financiera para las HFA. </w:t>
      </w:r>
      <w:r>
        <w:rPr>
          <w:b w:val="0"/>
          <w:i w:val="0"/>
        </w:rPr>
        <w:t>Estandarizar la revelación del índice de activo neto, la cobertura del servicio de la deuda, las tasas de morosidad, la cartera de proyectos LIHTC y la combinación entre programas unifamiliares y multifamiliares, de modo que los relatos fragmentados puedan sustituirse por indicadores comparables.</w:t>
      </w:r>
    </w:p>
    <w:p>
      <w:pPr>
        <w:pStyle w:val="ListNumber"/>
      </w:pPr>
      <w:r>
        <w:rPr>
          <w:b/>
          <w:i w:val="0"/>
        </w:rPr>
        <w:t xml:space="preserve">Vincular los resultados de asequibilidad con los estados financieros. </w:t>
      </w:r>
      <w:r>
        <w:rPr>
          <w:b w:val="0"/>
          <w:i w:val="0"/>
        </w:rPr>
        <w:t>Añadir al MD&amp;A indicadores de costo por unidad —unidades asequibles por cada millón de dólares de ingresos por bonos, y compradores primerizos atendidos por cada dólar de activo neto— para conectar las finanzas reportadas con los resultados en materia de vivienda.</w:t>
      </w:r>
    </w:p>
    <w:p>
      <w:pPr>
        <w:pStyle w:val="ListNumber"/>
      </w:pPr>
      <w:r>
        <w:rPr>
          <w:b/>
          <w:i w:val="0"/>
        </w:rPr>
        <w:t xml:space="preserve">Ampliar la mancomunación regional de bonos y el reparto de riesgos. </w:t>
      </w:r>
      <w:r>
        <w:rPr>
          <w:b w:val="0"/>
          <w:i w:val="0"/>
        </w:rPr>
        <w:t>Las HFA más pequeñas podrían reducir sus costos de emisión mediante fondos regionales de bonos compartidos. Las HFA más grandes podrían beneficiarse de coberturas más estandarizadas frente a riesgos de desastres y de tasas de interés.</w:t>
      </w:r>
    </w:p>
    <w:p>
      <w:pPr>
        <w:pStyle w:val="ListNumber"/>
      </w:pPr>
      <w:r>
        <w:rPr>
          <w:b/>
          <w:i w:val="0"/>
        </w:rPr>
        <w:t xml:space="preserve">Publicar información en formatos legibles por máquina. </w:t>
      </w:r>
      <w:r>
        <w:rPr>
          <w:b w:val="0"/>
          <w:i w:val="0"/>
        </w:rPr>
        <w:t>Los suplementos en XBRL o CSV estructurado ayudarían a investigadores, agencias calificadoras y socios federales a monitorear a las HFA de manera más oportuna.</w:t>
      </w:r>
    </w:p>
    <w:p>
      <w:pPr>
        <w:pStyle w:val="ListNumber"/>
      </w:pPr>
      <w:r>
        <w:rPr>
          <w:b/>
          <w:i w:val="0"/>
        </w:rPr>
        <w:t xml:space="preserve">Dar seguimiento al segmento de ingresos medios desatendido (80 %–120 % del AMI). </w:t>
      </w:r>
      <w:r>
        <w:rPr>
          <w:b w:val="0"/>
          <w:i w:val="0"/>
        </w:rPr>
        <w:t>Tratar los proyectos de ingresos medios como una categoría de planificación diferenciada, para que los recursos no se concentren únicamente en los niveles más bajos del AMI y en el extremo de precio de mercado, lo cual puede dejar desatendidos a docentes, personal de enfermería y trabajadores similares.</w:t>
      </w:r>
    </w:p>
    <w:p>
      <w:pPr>
        <w:pStyle w:val="Heading1"/>
      </w:pPr>
      <w:r>
        <w:rPr>
          <w:b w:val="0"/>
          <w:i w:val="0"/>
        </w:rPr>
        <w:t>VI. Cobertura de datos e inventario de archivos</w:t>
      </w:r>
    </w:p>
    <w:tbl>
      <w:tblPr>
        <w:tblStyle w:val="TableGrid"/>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r/>
            <w:r>
              <w:rPr>
                <w:b/>
              </w:rPr>
              <w:t>Estado</w:t>
            </w:r>
          </w:p>
        </w:tc>
        <w:tc>
          <w:tcPr>
            <w:tcW w:type="dxa" w:w="1728"/>
          </w:tcPr>
          <w:p>
            <w:r/>
            <w:r>
              <w:rPr>
                <w:b/>
              </w:rPr>
              <w:t>Agencia</w:t>
            </w:r>
          </w:p>
        </w:tc>
        <w:tc>
          <w:tcPr>
            <w:tcW w:type="dxa" w:w="1728"/>
          </w:tcPr>
          <w:p>
            <w:r/>
            <w:r>
              <w:rPr>
                <w:b/>
              </w:rPr>
              <w:t>Situación</w:t>
            </w:r>
          </w:p>
        </w:tc>
        <w:tc>
          <w:tcPr>
            <w:tcW w:type="dxa" w:w="1728"/>
          </w:tcPr>
          <w:p>
            <w:r/>
            <w:r>
              <w:rPr>
                <w:b/>
              </w:rPr>
              <w:t>Nombre del archivo</w:t>
            </w:r>
          </w:p>
        </w:tc>
        <w:tc>
          <w:tcPr>
            <w:tcW w:type="dxa" w:w="1728"/>
          </w:tcPr>
          <w:p>
            <w:r/>
            <w:r>
              <w:rPr>
                <w:b/>
              </w:rPr>
              <w:t>Notas</w:t>
            </w:r>
          </w:p>
        </w:tc>
      </w:tr>
      <w:tr>
        <w:tc>
          <w:tcPr>
            <w:tcW w:type="dxa" w:w="1728"/>
          </w:tcPr>
          <w:p>
            <w:r/>
            <w:r>
              <w:t>AK</w:t>
            </w:r>
          </w:p>
        </w:tc>
        <w:tc>
          <w:tcPr>
            <w:tcW w:type="dxa" w:w="1728"/>
          </w:tcPr>
          <w:p>
            <w:r/>
            <w:r>
              <w:t>AHFC</w:t>
            </w:r>
          </w:p>
        </w:tc>
        <w:tc>
          <w:tcPr>
            <w:tcW w:type="dxa" w:w="1728"/>
          </w:tcPr>
          <w:p>
            <w:r/>
            <w:r>
              <w:t>Descargado</w:t>
            </w:r>
          </w:p>
        </w:tc>
        <w:tc>
          <w:tcPr>
            <w:tcW w:type="dxa" w:w="1728"/>
          </w:tcPr>
          <w:p>
            <w:r/>
            <w:r>
              <w:t>AK_AHFC_FY2025_ACFR.pdf</w:t>
            </w:r>
          </w:p>
        </w:tc>
        <w:tc>
          <w:tcPr>
            <w:tcW w:type="dxa" w:w="1728"/>
          </w:tcPr>
          <w:p>
            <w:r/>
            <w:r>
              <w:t>Indicadores clave verificados manualmente con el MD&amp;A del FY2025 de AHFC (estado condensado de activo neto, 30 de junio de 2025/2024), lo que corrige una cifra de activo neto extraída incorrectamente con anterioridad</w:t>
            </w:r>
          </w:p>
        </w:tc>
      </w:tr>
      <w:tr>
        <w:tc>
          <w:tcPr>
            <w:tcW w:type="dxa" w:w="1728"/>
          </w:tcPr>
          <w:p>
            <w:r/>
            <w:r>
              <w:t>AL</w:t>
            </w:r>
          </w:p>
        </w:tc>
        <w:tc>
          <w:tcPr>
            <w:tcW w:type="dxa" w:w="1728"/>
          </w:tcPr>
          <w:p>
            <w:r/>
            <w:r>
              <w:t>AHFA</w:t>
            </w:r>
          </w:p>
        </w:tc>
        <w:tc>
          <w:tcPr>
            <w:tcW w:type="dxa" w:w="1728"/>
          </w:tcPr>
          <w:p>
            <w:r/>
            <w:r>
              <w:t>Descargado</w:t>
            </w:r>
          </w:p>
        </w:tc>
        <w:tc>
          <w:tcPr>
            <w:tcW w:type="dxa" w:w="1728"/>
          </w:tcPr>
          <w:p>
            <w:r/>
            <w:r>
              <w:t>AL_AHFA_FY2025_ACFR.pdf</w:t>
            </w:r>
          </w:p>
        </w:tc>
        <w:tc>
          <w:tcPr>
            <w:tcW w:type="dxa" w:w="1728"/>
          </w:tcPr>
          <w:p>
            <w:r/>
            <w:r>
              <w:t>-</w:t>
            </w:r>
          </w:p>
        </w:tc>
      </w:tr>
      <w:tr>
        <w:tc>
          <w:tcPr>
            <w:tcW w:type="dxa" w:w="1728"/>
          </w:tcPr>
          <w:p>
            <w:r/>
            <w:r>
              <w:t>AR</w:t>
            </w:r>
          </w:p>
        </w:tc>
        <w:tc>
          <w:tcPr>
            <w:tcW w:type="dxa" w:w="1728"/>
          </w:tcPr>
          <w:p>
            <w:r/>
            <w:r>
              <w:t>ADFA</w:t>
            </w:r>
          </w:p>
        </w:tc>
        <w:tc>
          <w:tcPr>
            <w:tcW w:type="dxa" w:w="1728"/>
          </w:tcPr>
          <w:p>
            <w:r/>
            <w:r>
              <w:t>Descargado</w:t>
            </w:r>
          </w:p>
        </w:tc>
        <w:tc>
          <w:tcPr>
            <w:tcW w:type="dxa" w:w="1728"/>
          </w:tcPr>
          <w:p>
            <w:r/>
            <w:r>
              <w:t>AR_ADFA_FY2025_ACFR.pdf</w:t>
            </w:r>
          </w:p>
        </w:tc>
        <w:tc>
          <w:tcPr>
            <w:tcW w:type="dxa" w:w="1728"/>
          </w:tcPr>
          <w:p>
            <w:r/>
            <w:r>
              <w:t>Tasa de crecimiento verificada manualmente con el ACFR</w:t>
            </w:r>
          </w:p>
        </w:tc>
      </w:tr>
      <w:tr>
        <w:tc>
          <w:tcPr>
            <w:tcW w:type="dxa" w:w="1728"/>
          </w:tcPr>
          <w:p>
            <w:r/>
            <w:r>
              <w:t>AZ</w:t>
            </w:r>
          </w:p>
        </w:tc>
        <w:tc>
          <w:tcPr>
            <w:tcW w:type="dxa" w:w="1728"/>
          </w:tcPr>
          <w:p>
            <w:r/>
            <w:r>
              <w:t>ADOH</w:t>
            </w:r>
          </w:p>
        </w:tc>
        <w:tc>
          <w:tcPr>
            <w:tcW w:type="dxa" w:w="1728"/>
          </w:tcPr>
          <w:p>
            <w:r/>
            <w:r>
              <w:t>No disponible</w:t>
            </w:r>
          </w:p>
        </w:tc>
        <w:tc>
          <w:tcPr>
            <w:tcW w:type="dxa" w:w="1728"/>
          </w:tcPr>
          <w:p>
            <w:r/>
            <w:r>
              <w:t>-</w:t>
            </w:r>
          </w:p>
        </w:tc>
        <w:tc>
          <w:tcPr>
            <w:tcW w:type="dxa" w:w="1728"/>
          </w:tcPr>
          <w:p>
            <w:r/>
            <w:r>
              <w:t>No se encontró el enlace al PDF del FY2025</w:t>
            </w:r>
          </w:p>
        </w:tc>
      </w:tr>
      <w:tr>
        <w:tc>
          <w:tcPr>
            <w:tcW w:type="dxa" w:w="1728"/>
          </w:tcPr>
          <w:p>
            <w:r/>
            <w:r>
              <w:t>CA</w:t>
            </w:r>
          </w:p>
        </w:tc>
        <w:tc>
          <w:tcPr>
            <w:tcW w:type="dxa" w:w="1728"/>
          </w:tcPr>
          <w:p>
            <w:r/>
            <w:r>
              <w:t>CalHFA</w:t>
            </w:r>
          </w:p>
        </w:tc>
        <w:tc>
          <w:tcPr>
            <w:tcW w:type="dxa" w:w="1728"/>
          </w:tcPr>
          <w:p>
            <w:r/>
            <w:r>
              <w:t>Descargado</w:t>
            </w:r>
          </w:p>
        </w:tc>
        <w:tc>
          <w:tcPr>
            <w:tcW w:type="dxa" w:w="1728"/>
          </w:tcPr>
          <w:p>
            <w:r/>
            <w:r>
              <w:t>CA_CalHFA_FY2025_ACFR.pdf</w:t>
            </w:r>
          </w:p>
        </w:tc>
        <w:tc>
          <w:tcPr>
            <w:tcW w:type="dxa" w:w="1728"/>
          </w:tcPr>
          <w:p>
            <w:r/>
            <w:r>
              <w:t>Los indicadores clave no se extrajeron automáticamente; se recomienda revisión manual del PDF</w:t>
            </w:r>
          </w:p>
        </w:tc>
      </w:tr>
      <w:tr>
        <w:tc>
          <w:tcPr>
            <w:tcW w:type="dxa" w:w="1728"/>
          </w:tcPr>
          <w:p>
            <w:r/>
            <w:r>
              <w:t>CO</w:t>
            </w:r>
          </w:p>
        </w:tc>
        <w:tc>
          <w:tcPr>
            <w:tcW w:type="dxa" w:w="1728"/>
          </w:tcPr>
          <w:p>
            <w:r/>
            <w:r>
              <w:t>CHFA</w:t>
            </w:r>
          </w:p>
        </w:tc>
        <w:tc>
          <w:tcPr>
            <w:tcW w:type="dxa" w:w="1728"/>
          </w:tcPr>
          <w:p>
            <w:r/>
            <w:r>
              <w:t>Descargado</w:t>
            </w:r>
          </w:p>
        </w:tc>
        <w:tc>
          <w:tcPr>
            <w:tcW w:type="dxa" w:w="1728"/>
          </w:tcPr>
          <w:p>
            <w:r/>
            <w:r>
              <w:t>CO_CHFA_FY2025_ACFR.pdf</w:t>
            </w:r>
          </w:p>
        </w:tc>
        <w:tc>
          <w:tcPr>
            <w:tcW w:type="dxa" w:w="1728"/>
          </w:tcPr>
          <w:p>
            <w:r/>
            <w:r>
              <w:t>Tasa de crecimiento verificada manualmente con el ACFR</w:t>
            </w:r>
          </w:p>
        </w:tc>
      </w:tr>
      <w:tr>
        <w:tc>
          <w:tcPr>
            <w:tcW w:type="dxa" w:w="1728"/>
          </w:tcPr>
          <w:p>
            <w:r/>
            <w:r>
              <w:t>CT</w:t>
            </w:r>
          </w:p>
        </w:tc>
        <w:tc>
          <w:tcPr>
            <w:tcW w:type="dxa" w:w="1728"/>
          </w:tcPr>
          <w:p>
            <w:r/>
            <w:r>
              <w:t>CHFA</w:t>
            </w:r>
          </w:p>
        </w:tc>
        <w:tc>
          <w:tcPr>
            <w:tcW w:type="dxa" w:w="1728"/>
          </w:tcPr>
          <w:p>
            <w:r/>
            <w:r>
              <w:t>Descargado</w:t>
            </w:r>
          </w:p>
        </w:tc>
        <w:tc>
          <w:tcPr>
            <w:tcW w:type="dxa" w:w="1728"/>
          </w:tcPr>
          <w:p>
            <w:r/>
            <w:r>
              <w:t>CT_CHFA_FY2025_ACFR.pdf</w:t>
            </w:r>
          </w:p>
        </w:tc>
        <w:tc>
          <w:tcPr>
            <w:tcW w:type="dxa" w:w="1728"/>
          </w:tcPr>
          <w:p>
            <w:r/>
            <w:r>
              <w:t>Indicadores completados a partir del ACFR/estados financieros de la agencia</w:t>
            </w:r>
          </w:p>
        </w:tc>
      </w:tr>
      <w:tr>
        <w:tc>
          <w:tcPr>
            <w:tcW w:type="dxa" w:w="1728"/>
          </w:tcPr>
          <w:p>
            <w:r/>
            <w:r>
              <w:t>DC</w:t>
            </w:r>
          </w:p>
        </w:tc>
        <w:tc>
          <w:tcPr>
            <w:tcW w:type="dxa" w:w="1728"/>
          </w:tcPr>
          <w:p>
            <w:r/>
            <w:r>
              <w:t>DCHFA</w:t>
            </w:r>
          </w:p>
        </w:tc>
        <w:tc>
          <w:tcPr>
            <w:tcW w:type="dxa" w:w="1728"/>
          </w:tcPr>
          <w:p>
            <w:r/>
            <w:r>
              <w:t>Descargado</w:t>
            </w:r>
          </w:p>
        </w:tc>
        <w:tc>
          <w:tcPr>
            <w:tcW w:type="dxa" w:w="1728"/>
          </w:tcPr>
          <w:p>
            <w:r/>
            <w:r>
              <w:t>DC_DCHFA_FY2025_ACFR.pdf</w:t>
            </w:r>
          </w:p>
        </w:tc>
        <w:tc>
          <w:tcPr>
            <w:tcW w:type="dxa" w:w="1728"/>
          </w:tcPr>
          <w:p>
            <w:r/>
            <w:r>
              <w:t>Indicadores clave verificados manualmente con el MD&amp;A del FY2025 de DCHFA (análisis de los estados financieros, ejercicio cerrado el 30 de septiembre de 2025/2024), lo que corrige un error previo por el cual el activo neto de 2024 se había duplicado a partir del de 2025</w:t>
            </w:r>
          </w:p>
        </w:tc>
      </w:tr>
      <w:tr>
        <w:tc>
          <w:tcPr>
            <w:tcW w:type="dxa" w:w="1728"/>
          </w:tcPr>
          <w:p>
            <w:r/>
            <w:r>
              <w:t>DE</w:t>
            </w:r>
          </w:p>
        </w:tc>
        <w:tc>
          <w:tcPr>
            <w:tcW w:type="dxa" w:w="1728"/>
          </w:tcPr>
          <w:p>
            <w:r/>
            <w:r>
              <w:t>DSHA</w:t>
            </w:r>
          </w:p>
        </w:tc>
        <w:tc>
          <w:tcPr>
            <w:tcW w:type="dxa" w:w="1728"/>
          </w:tcPr>
          <w:p>
            <w:r/>
            <w:r>
              <w:t>Descargado</w:t>
            </w:r>
          </w:p>
        </w:tc>
        <w:tc>
          <w:tcPr>
            <w:tcW w:type="dxa" w:w="1728"/>
          </w:tcPr>
          <w:p>
            <w:r/>
            <w:r>
              <w:t>DE_DSHA_FY2025_ACFR.pdf</w:t>
            </w:r>
          </w:p>
        </w:tc>
        <w:tc>
          <w:tcPr>
            <w:tcW w:type="dxa" w:w="1728"/>
          </w:tcPr>
          <w:p>
            <w:r/>
            <w:r>
              <w:t>Los indicadores clave no se extrajeron automáticamente; se recomienda revisión manual del PDF</w:t>
            </w:r>
          </w:p>
        </w:tc>
      </w:tr>
      <w:tr>
        <w:tc>
          <w:tcPr>
            <w:tcW w:type="dxa" w:w="1728"/>
          </w:tcPr>
          <w:p>
            <w:r/>
            <w:r>
              <w:t>FL</w:t>
            </w:r>
          </w:p>
        </w:tc>
        <w:tc>
          <w:tcPr>
            <w:tcW w:type="dxa" w:w="1728"/>
          </w:tcPr>
          <w:p>
            <w:r/>
            <w:r>
              <w:t>FloridaHousing</w:t>
            </w:r>
          </w:p>
        </w:tc>
        <w:tc>
          <w:tcPr>
            <w:tcW w:type="dxa" w:w="1728"/>
          </w:tcPr>
          <w:p>
            <w:r/>
            <w:r>
              <w:t>Descargado</w:t>
            </w:r>
          </w:p>
        </w:tc>
        <w:tc>
          <w:tcPr>
            <w:tcW w:type="dxa" w:w="1728"/>
          </w:tcPr>
          <w:p>
            <w:r/>
            <w:r>
              <w:t>FL_FloridaHousing_FY2025_ACFR.pdf</w:t>
            </w:r>
          </w:p>
        </w:tc>
        <w:tc>
          <w:tcPr>
            <w:tcW w:type="dxa" w:w="1728"/>
          </w:tcPr>
          <w:p>
            <w:r/>
            <w:r>
              <w:t>-</w:t>
            </w:r>
          </w:p>
        </w:tc>
      </w:tr>
      <w:tr>
        <w:tc>
          <w:tcPr>
            <w:tcW w:type="dxa" w:w="1728"/>
          </w:tcPr>
          <w:p>
            <w:r/>
            <w:r>
              <w:t>GA</w:t>
            </w:r>
          </w:p>
        </w:tc>
        <w:tc>
          <w:tcPr>
            <w:tcW w:type="dxa" w:w="1728"/>
          </w:tcPr>
          <w:p>
            <w:r/>
            <w:r>
              <w:t>GHFA</w:t>
            </w:r>
          </w:p>
        </w:tc>
        <w:tc>
          <w:tcPr>
            <w:tcW w:type="dxa" w:w="1728"/>
          </w:tcPr>
          <w:p>
            <w:r/>
            <w:r>
              <w:t>Descargado</w:t>
            </w:r>
          </w:p>
        </w:tc>
        <w:tc>
          <w:tcPr>
            <w:tcW w:type="dxa" w:w="1728"/>
          </w:tcPr>
          <w:p>
            <w:r/>
            <w:r>
              <w:t>GA_GHFA_FY2025_ACFR.pdf</w:t>
            </w:r>
          </w:p>
        </w:tc>
        <w:tc>
          <w:tcPr>
            <w:tcW w:type="dxa" w:w="1728"/>
          </w:tcPr>
          <w:p>
            <w:r/>
            <w:r>
              <w:t>Los indicadores clave no se extrajeron automáticamente; se recomienda revisión manual del PDF</w:t>
            </w:r>
          </w:p>
        </w:tc>
      </w:tr>
      <w:tr>
        <w:tc>
          <w:tcPr>
            <w:tcW w:type="dxa" w:w="1728"/>
          </w:tcPr>
          <w:p>
            <w:r/>
            <w:r>
              <w:t>HI</w:t>
            </w:r>
          </w:p>
        </w:tc>
        <w:tc>
          <w:tcPr>
            <w:tcW w:type="dxa" w:w="1728"/>
          </w:tcPr>
          <w:p>
            <w:r/>
            <w:r>
              <w:t>HHFDC</w:t>
            </w:r>
          </w:p>
        </w:tc>
        <w:tc>
          <w:tcPr>
            <w:tcW w:type="dxa" w:w="1728"/>
          </w:tcPr>
          <w:p>
            <w:r/>
            <w:r>
              <w:t>Descargado</w:t>
            </w:r>
          </w:p>
        </w:tc>
        <w:tc>
          <w:tcPr>
            <w:tcW w:type="dxa" w:w="1728"/>
          </w:tcPr>
          <w:p>
            <w:r/>
            <w:r>
              <w:t>HI_HHFDC_FY2025_ACFR.pdf</w:t>
            </w:r>
          </w:p>
        </w:tc>
        <w:tc>
          <w:tcPr>
            <w:tcW w:type="dxa" w:w="1728"/>
          </w:tcPr>
          <w:p>
            <w:r/>
            <w:r>
              <w:t>-</w:t>
            </w:r>
          </w:p>
        </w:tc>
      </w:tr>
      <w:tr>
        <w:tc>
          <w:tcPr>
            <w:tcW w:type="dxa" w:w="1728"/>
          </w:tcPr>
          <w:p>
            <w:r/>
            <w:r>
              <w:t>IA</w:t>
            </w:r>
          </w:p>
        </w:tc>
        <w:tc>
          <w:tcPr>
            <w:tcW w:type="dxa" w:w="1728"/>
          </w:tcPr>
          <w:p>
            <w:r/>
            <w:r>
              <w:t>IFA</w:t>
            </w:r>
          </w:p>
        </w:tc>
        <w:tc>
          <w:tcPr>
            <w:tcW w:type="dxa" w:w="1728"/>
          </w:tcPr>
          <w:p>
            <w:r/>
            <w:r>
              <w:t>Descargado</w:t>
            </w:r>
          </w:p>
        </w:tc>
        <w:tc>
          <w:tcPr>
            <w:tcW w:type="dxa" w:w="1728"/>
          </w:tcPr>
          <w:p>
            <w:r/>
            <w:r>
              <w:t>IA_IFA_FY2025_ACFR.pdf</w:t>
            </w:r>
          </w:p>
        </w:tc>
        <w:tc>
          <w:tcPr>
            <w:tcW w:type="dxa" w:w="1728"/>
          </w:tcPr>
          <w:p>
            <w:r/>
            <w:r>
              <w:t>Importes reportados en miles; cifras ajustadas en consecuencia</w:t>
            </w:r>
          </w:p>
        </w:tc>
      </w:tr>
      <w:tr>
        <w:tc>
          <w:tcPr>
            <w:tcW w:type="dxa" w:w="1728"/>
          </w:tcPr>
          <w:p>
            <w:r/>
            <w:r>
              <w:t>ID</w:t>
            </w:r>
          </w:p>
        </w:tc>
        <w:tc>
          <w:tcPr>
            <w:tcW w:type="dxa" w:w="1728"/>
          </w:tcPr>
          <w:p>
            <w:r/>
            <w:r>
              <w:t>IHFA</w:t>
            </w:r>
          </w:p>
        </w:tc>
        <w:tc>
          <w:tcPr>
            <w:tcW w:type="dxa" w:w="1728"/>
          </w:tcPr>
          <w:p>
            <w:r/>
            <w:r>
              <w:t>Descargado</w:t>
            </w:r>
          </w:p>
        </w:tc>
        <w:tc>
          <w:tcPr>
            <w:tcW w:type="dxa" w:w="1728"/>
          </w:tcPr>
          <w:p>
            <w:r/>
            <w:r>
              <w:t>ID_IHFA_FY2025_ACFR.pdf</w:t>
            </w:r>
          </w:p>
        </w:tc>
        <w:tc>
          <w:tcPr>
            <w:tcW w:type="dxa" w:w="1728"/>
          </w:tcPr>
          <w:p>
            <w:r/>
            <w:r>
              <w:t>-</w:t>
            </w:r>
          </w:p>
        </w:tc>
      </w:tr>
      <w:tr>
        <w:tc>
          <w:tcPr>
            <w:tcW w:type="dxa" w:w="1728"/>
          </w:tcPr>
          <w:p>
            <w:r/>
            <w:r>
              <w:t>IL</w:t>
            </w:r>
          </w:p>
        </w:tc>
        <w:tc>
          <w:tcPr>
            <w:tcW w:type="dxa" w:w="1728"/>
          </w:tcPr>
          <w:p>
            <w:r/>
            <w:r>
              <w:t>IHDA</w:t>
            </w:r>
          </w:p>
        </w:tc>
        <w:tc>
          <w:tcPr>
            <w:tcW w:type="dxa" w:w="1728"/>
          </w:tcPr>
          <w:p>
            <w:r/>
            <w:r>
              <w:t>Descargado</w:t>
            </w:r>
          </w:p>
        </w:tc>
        <w:tc>
          <w:tcPr>
            <w:tcW w:type="dxa" w:w="1728"/>
          </w:tcPr>
          <w:p>
            <w:r/>
            <w:r>
              <w:t>IL_IHDA_FY2025_ACFR.pdf</w:t>
            </w:r>
          </w:p>
        </w:tc>
        <w:tc>
          <w:tcPr>
            <w:tcW w:type="dxa" w:w="1728"/>
          </w:tcPr>
          <w:p>
            <w:r/>
            <w:r>
              <w:t>-</w:t>
            </w:r>
          </w:p>
        </w:tc>
      </w:tr>
      <w:tr>
        <w:tc>
          <w:tcPr>
            <w:tcW w:type="dxa" w:w="1728"/>
          </w:tcPr>
          <w:p>
            <w:r/>
            <w:r>
              <w:t>IN</w:t>
            </w:r>
          </w:p>
        </w:tc>
        <w:tc>
          <w:tcPr>
            <w:tcW w:type="dxa" w:w="1728"/>
          </w:tcPr>
          <w:p>
            <w:r/>
            <w:r>
              <w:t>IHCDA</w:t>
            </w:r>
          </w:p>
        </w:tc>
        <w:tc>
          <w:tcPr>
            <w:tcW w:type="dxa" w:w="1728"/>
          </w:tcPr>
          <w:p>
            <w:r/>
            <w:r>
              <w:t>Descargado</w:t>
            </w:r>
          </w:p>
        </w:tc>
        <w:tc>
          <w:tcPr>
            <w:tcW w:type="dxa" w:w="1728"/>
          </w:tcPr>
          <w:p>
            <w:r/>
            <w:r>
              <w:t>IN_IHCDA_FY2025_ACFR.pdf</w:t>
            </w:r>
          </w:p>
        </w:tc>
        <w:tc>
          <w:tcPr>
            <w:tcW w:type="dxa" w:w="1728"/>
          </w:tcPr>
          <w:p>
            <w:r/>
            <w:r>
              <w:t>Los indicadores clave no se extrajeron automáticamente; se recomienda revisión manual del PDF</w:t>
            </w:r>
          </w:p>
        </w:tc>
      </w:tr>
      <w:tr>
        <w:tc>
          <w:tcPr>
            <w:tcW w:type="dxa" w:w="1728"/>
          </w:tcPr>
          <w:p>
            <w:r/>
            <w:r>
              <w:t>KS</w:t>
            </w:r>
          </w:p>
        </w:tc>
        <w:tc>
          <w:tcPr>
            <w:tcW w:type="dxa" w:w="1728"/>
          </w:tcPr>
          <w:p>
            <w:r/>
            <w:r>
              <w:t>KHRC</w:t>
            </w:r>
          </w:p>
        </w:tc>
        <w:tc>
          <w:tcPr>
            <w:tcW w:type="dxa" w:w="1728"/>
          </w:tcPr>
          <w:p>
            <w:r/>
            <w:r>
              <w:t>Descargado</w:t>
            </w:r>
          </w:p>
        </w:tc>
        <w:tc>
          <w:tcPr>
            <w:tcW w:type="dxa" w:w="1728"/>
          </w:tcPr>
          <w:p>
            <w:r/>
            <w:r>
              <w:t>KS_KHRC_FY2025_ACFR.pdf</w:t>
            </w:r>
          </w:p>
        </w:tc>
        <w:tc>
          <w:tcPr>
            <w:tcW w:type="dxa" w:w="1728"/>
          </w:tcPr>
          <w:p>
            <w:r/>
            <w:r>
              <w:t>Indicadores completados a partir del ACFR/estados financieros de la agencia</w:t>
            </w:r>
          </w:p>
        </w:tc>
      </w:tr>
      <w:tr>
        <w:tc>
          <w:tcPr>
            <w:tcW w:type="dxa" w:w="1728"/>
          </w:tcPr>
          <w:p>
            <w:r/>
            <w:r>
              <w:t>KY</w:t>
            </w:r>
          </w:p>
        </w:tc>
        <w:tc>
          <w:tcPr>
            <w:tcW w:type="dxa" w:w="1728"/>
          </w:tcPr>
          <w:p>
            <w:r/>
            <w:r>
              <w:t>KHC</w:t>
            </w:r>
          </w:p>
        </w:tc>
        <w:tc>
          <w:tcPr>
            <w:tcW w:type="dxa" w:w="1728"/>
          </w:tcPr>
          <w:p>
            <w:r/>
            <w:r>
              <w:t>Descargado</w:t>
            </w:r>
          </w:p>
        </w:tc>
        <w:tc>
          <w:tcPr>
            <w:tcW w:type="dxa" w:w="1728"/>
          </w:tcPr>
          <w:p>
            <w:r/>
            <w:r>
              <w:t>KY_KHC_FY2025_ACFR.pdf</w:t>
            </w:r>
          </w:p>
        </w:tc>
        <w:tc>
          <w:tcPr>
            <w:tcW w:type="dxa" w:w="1728"/>
          </w:tcPr>
          <w:p>
            <w:r/>
            <w:r>
              <w:t>Indicadores completados a partir del ACFR/estados financieros de la agencia</w:t>
            </w:r>
          </w:p>
        </w:tc>
      </w:tr>
      <w:tr>
        <w:tc>
          <w:tcPr>
            <w:tcW w:type="dxa" w:w="1728"/>
          </w:tcPr>
          <w:p>
            <w:r/>
            <w:r>
              <w:t>LA</w:t>
            </w:r>
          </w:p>
        </w:tc>
        <w:tc>
          <w:tcPr>
            <w:tcW w:type="dxa" w:w="1728"/>
          </w:tcPr>
          <w:p>
            <w:r/>
            <w:r>
              <w:t>LHC</w:t>
            </w:r>
          </w:p>
        </w:tc>
        <w:tc>
          <w:tcPr>
            <w:tcW w:type="dxa" w:w="1728"/>
          </w:tcPr>
          <w:p>
            <w:r/>
            <w:r>
              <w:t>Descargado</w:t>
            </w:r>
          </w:p>
        </w:tc>
        <w:tc>
          <w:tcPr>
            <w:tcW w:type="dxa" w:w="1728"/>
          </w:tcPr>
          <w:p>
            <w:r/>
            <w:r>
              <w:t>LA_LHC_FY2025_ACFR.pdf</w:t>
            </w:r>
          </w:p>
        </w:tc>
        <w:tc>
          <w:tcPr>
            <w:tcW w:type="dxa" w:w="1728"/>
          </w:tcPr>
          <w:p>
            <w:r/>
            <w:r>
              <w:t>-</w:t>
            </w:r>
          </w:p>
        </w:tc>
      </w:tr>
      <w:tr>
        <w:tc>
          <w:tcPr>
            <w:tcW w:type="dxa" w:w="1728"/>
          </w:tcPr>
          <w:p>
            <w:r/>
            <w:r>
              <w:t>MA</w:t>
            </w:r>
          </w:p>
        </w:tc>
        <w:tc>
          <w:tcPr>
            <w:tcW w:type="dxa" w:w="1728"/>
          </w:tcPr>
          <w:p>
            <w:r/>
            <w:r>
              <w:t>MassHousing</w:t>
            </w:r>
          </w:p>
        </w:tc>
        <w:tc>
          <w:tcPr>
            <w:tcW w:type="dxa" w:w="1728"/>
          </w:tcPr>
          <w:p>
            <w:r/>
            <w:r>
              <w:t>Descargado</w:t>
            </w:r>
          </w:p>
        </w:tc>
        <w:tc>
          <w:tcPr>
            <w:tcW w:type="dxa" w:w="1728"/>
          </w:tcPr>
          <w:p>
            <w:r/>
            <w:r>
              <w:t>MA_MassHousing_FY2025_ACFR.pdf</w:t>
            </w:r>
          </w:p>
        </w:tc>
        <w:tc>
          <w:tcPr>
            <w:tcW w:type="dxa" w:w="1728"/>
          </w:tcPr>
          <w:p>
            <w:r/>
            <w:r>
              <w:t>-</w:t>
            </w:r>
          </w:p>
        </w:tc>
      </w:tr>
      <w:tr>
        <w:tc>
          <w:tcPr>
            <w:tcW w:type="dxa" w:w="1728"/>
          </w:tcPr>
          <w:p>
            <w:r/>
            <w:r>
              <w:t>MD</w:t>
            </w:r>
          </w:p>
        </w:tc>
        <w:tc>
          <w:tcPr>
            <w:tcW w:type="dxa" w:w="1728"/>
          </w:tcPr>
          <w:p>
            <w:r/>
            <w:r>
              <w:t>CDA</w:t>
            </w:r>
          </w:p>
        </w:tc>
        <w:tc>
          <w:tcPr>
            <w:tcW w:type="dxa" w:w="1728"/>
          </w:tcPr>
          <w:p>
            <w:r/>
            <w:r>
              <w:t>Descargado</w:t>
            </w:r>
          </w:p>
        </w:tc>
        <w:tc>
          <w:tcPr>
            <w:tcW w:type="dxa" w:w="1728"/>
          </w:tcPr>
          <w:p>
            <w:r/>
            <w:r>
              <w:t>MD_CDA_FY2025_ACFR.pdf</w:t>
            </w:r>
          </w:p>
        </w:tc>
        <w:tc>
          <w:tcPr>
            <w:tcW w:type="dxa" w:w="1728"/>
          </w:tcPr>
          <w:p>
            <w:r/>
            <w:r>
              <w:t>Alcance completo de la CDA: suma sin duplicidades de los 4 estados de fondos de bonos publicados en dhcd.maryland.gov que no se superponen entre sí (Revenue Obligation Funds —que ya combina Housing Revenue Bonds + Residential Revenue Bonds + General Bond Reserve Fund— más Multi-Family Mortgage Revenue Bonds, Single Family Housing Revenue Bonds y Local Government Infrastructure Bonds)</w:t>
            </w:r>
          </w:p>
        </w:tc>
      </w:tr>
      <w:tr>
        <w:tc>
          <w:tcPr>
            <w:tcW w:type="dxa" w:w="1728"/>
          </w:tcPr>
          <w:p>
            <w:r/>
            <w:r>
              <w:t>ME</w:t>
            </w:r>
          </w:p>
        </w:tc>
        <w:tc>
          <w:tcPr>
            <w:tcW w:type="dxa" w:w="1728"/>
          </w:tcPr>
          <w:p>
            <w:r/>
            <w:r>
              <w:t>MaineHousing</w:t>
            </w:r>
          </w:p>
        </w:tc>
        <w:tc>
          <w:tcPr>
            <w:tcW w:type="dxa" w:w="1728"/>
          </w:tcPr>
          <w:p>
            <w:r/>
            <w:r>
              <w:t>Descargado</w:t>
            </w:r>
          </w:p>
        </w:tc>
        <w:tc>
          <w:tcPr>
            <w:tcW w:type="dxa" w:w="1728"/>
          </w:tcPr>
          <w:p>
            <w:r/>
            <w:r>
              <w:t>ME_MaineHousing_FY2025_ACFR.pdf</w:t>
            </w:r>
          </w:p>
        </w:tc>
        <w:tc>
          <w:tcPr>
            <w:tcW w:type="dxa" w:w="1728"/>
          </w:tcPr>
          <w:p>
            <w:r/>
            <w:r>
              <w:t>Tasa de crecimiento verificada manualmente con el ACFR; activo total y pasivo total incorporados a partir del MD&amp;A del FY2025 de MaineHousing (estado de activo neto, en millones, ejercicio cerrado el 31 de diciembre de 2025/2024), en sustitución de una estimación previa inexacta</w:t>
            </w:r>
          </w:p>
        </w:tc>
      </w:tr>
      <w:tr>
        <w:tc>
          <w:tcPr>
            <w:tcW w:type="dxa" w:w="1728"/>
          </w:tcPr>
          <w:p>
            <w:r/>
            <w:r>
              <w:t>MI</w:t>
            </w:r>
          </w:p>
        </w:tc>
        <w:tc>
          <w:tcPr>
            <w:tcW w:type="dxa" w:w="1728"/>
          </w:tcPr>
          <w:p>
            <w:r/>
            <w:r>
              <w:t>MSHDA</w:t>
            </w:r>
          </w:p>
        </w:tc>
        <w:tc>
          <w:tcPr>
            <w:tcW w:type="dxa" w:w="1728"/>
          </w:tcPr>
          <w:p>
            <w:r/>
            <w:r>
              <w:t>Descargado</w:t>
            </w:r>
          </w:p>
        </w:tc>
        <w:tc>
          <w:tcPr>
            <w:tcW w:type="dxa" w:w="1728"/>
          </w:tcPr>
          <w:p>
            <w:r/>
            <w:r>
              <w:t>MI_MSHDA_FY2025_ACFR.pdf</w:t>
            </w:r>
          </w:p>
        </w:tc>
        <w:tc>
          <w:tcPr>
            <w:tcW w:type="dxa" w:w="1728"/>
          </w:tcPr>
          <w:p>
            <w:r/>
            <w:r>
              <w:t>-</w:t>
            </w:r>
          </w:p>
        </w:tc>
      </w:tr>
      <w:tr>
        <w:tc>
          <w:tcPr>
            <w:tcW w:type="dxa" w:w="1728"/>
          </w:tcPr>
          <w:p>
            <w:r/>
            <w:r>
              <w:t>MN</w:t>
            </w:r>
          </w:p>
        </w:tc>
        <w:tc>
          <w:tcPr>
            <w:tcW w:type="dxa" w:w="1728"/>
          </w:tcPr>
          <w:p>
            <w:r/>
            <w:r>
              <w:t>MNHousing</w:t>
            </w:r>
          </w:p>
        </w:tc>
        <w:tc>
          <w:tcPr>
            <w:tcW w:type="dxa" w:w="1728"/>
          </w:tcPr>
          <w:p>
            <w:r/>
            <w:r>
              <w:t>Descargado</w:t>
            </w:r>
          </w:p>
        </w:tc>
        <w:tc>
          <w:tcPr>
            <w:tcW w:type="dxa" w:w="1728"/>
          </w:tcPr>
          <w:p>
            <w:r/>
            <w:r>
              <w:t>MN_MNHousing_FY2025_ACFR.pdf</w:t>
            </w:r>
          </w:p>
        </w:tc>
        <w:tc>
          <w:tcPr>
            <w:tcW w:type="dxa" w:w="1728"/>
          </w:tcPr>
          <w:p>
            <w:r/>
            <w:r>
              <w:t>-</w:t>
            </w:r>
          </w:p>
        </w:tc>
      </w:tr>
      <w:tr>
        <w:tc>
          <w:tcPr>
            <w:tcW w:type="dxa" w:w="1728"/>
          </w:tcPr>
          <w:p>
            <w:r/>
            <w:r>
              <w:t>MO</w:t>
            </w:r>
          </w:p>
        </w:tc>
        <w:tc>
          <w:tcPr>
            <w:tcW w:type="dxa" w:w="1728"/>
          </w:tcPr>
          <w:p>
            <w:r/>
            <w:r>
              <w:t>MHDC</w:t>
            </w:r>
          </w:p>
        </w:tc>
        <w:tc>
          <w:tcPr>
            <w:tcW w:type="dxa" w:w="1728"/>
          </w:tcPr>
          <w:p>
            <w:r/>
            <w:r>
              <w:t>Descargado</w:t>
            </w:r>
          </w:p>
        </w:tc>
        <w:tc>
          <w:tcPr>
            <w:tcW w:type="dxa" w:w="1728"/>
          </w:tcPr>
          <w:p>
            <w:r/>
            <w:r>
              <w:t>MO_MHDC_FY2025_ACFR.pdf</w:t>
            </w:r>
          </w:p>
        </w:tc>
        <w:tc>
          <w:tcPr>
            <w:tcW w:type="dxa" w:w="1728"/>
          </w:tcPr>
          <w:p>
            <w:r/>
            <w:r>
              <w:t>Tasa de crecimiento verificada manualmente con el ACFR</w:t>
            </w:r>
          </w:p>
        </w:tc>
      </w:tr>
      <w:tr>
        <w:tc>
          <w:tcPr>
            <w:tcW w:type="dxa" w:w="1728"/>
          </w:tcPr>
          <w:p>
            <w:r/>
            <w:r>
              <w:t>MS</w:t>
            </w:r>
          </w:p>
        </w:tc>
        <w:tc>
          <w:tcPr>
            <w:tcW w:type="dxa" w:w="1728"/>
          </w:tcPr>
          <w:p>
            <w:r/>
            <w:r>
              <w:t>MHC</w:t>
            </w:r>
          </w:p>
        </w:tc>
        <w:tc>
          <w:tcPr>
            <w:tcW w:type="dxa" w:w="1728"/>
          </w:tcPr>
          <w:p>
            <w:r/>
            <w:r>
              <w:t>Descargado</w:t>
            </w:r>
          </w:p>
        </w:tc>
        <w:tc>
          <w:tcPr>
            <w:tcW w:type="dxa" w:w="1728"/>
          </w:tcPr>
          <w:p>
            <w:r/>
            <w:r>
              <w:t>MS_MHC_FY2025_ACFR.pdf</w:t>
            </w:r>
          </w:p>
        </w:tc>
        <w:tc>
          <w:tcPr>
            <w:tcW w:type="dxa" w:w="1728"/>
          </w:tcPr>
          <w:p>
            <w:r/>
            <w:r>
              <w:t>Tomado del estado combinado de activo neto del informe anual del FY2025 (auditado)</w:t>
            </w:r>
          </w:p>
        </w:tc>
      </w:tr>
      <w:tr>
        <w:tc>
          <w:tcPr>
            <w:tcW w:type="dxa" w:w="1728"/>
          </w:tcPr>
          <w:p>
            <w:r/>
            <w:r>
              <w:t>MT</w:t>
            </w:r>
          </w:p>
        </w:tc>
        <w:tc>
          <w:tcPr>
            <w:tcW w:type="dxa" w:w="1728"/>
          </w:tcPr>
          <w:p>
            <w:r/>
            <w:r>
              <w:t>MTHousing</w:t>
            </w:r>
          </w:p>
        </w:tc>
        <w:tc>
          <w:tcPr>
            <w:tcW w:type="dxa" w:w="1728"/>
          </w:tcPr>
          <w:p>
            <w:r/>
            <w:r>
              <w:t>Descargado</w:t>
            </w:r>
          </w:p>
        </w:tc>
        <w:tc>
          <w:tcPr>
            <w:tcW w:type="dxa" w:w="1728"/>
          </w:tcPr>
          <w:p>
            <w:r/>
            <w:r>
              <w:t>MT_MTHousing_FY2025_ACFR.pdf</w:t>
            </w:r>
          </w:p>
        </w:tc>
        <w:tc>
          <w:tcPr>
            <w:tcW w:type="dxa" w:w="1728"/>
          </w:tcPr>
          <w:p>
            <w:r/>
            <w:r>
              <w:t>Los indicadores clave no se extrajeron automáticamente; se recomienda revisión manual del PDF</w:t>
            </w:r>
          </w:p>
        </w:tc>
      </w:tr>
      <w:tr>
        <w:tc>
          <w:tcPr>
            <w:tcW w:type="dxa" w:w="1728"/>
          </w:tcPr>
          <w:p>
            <w:r/>
            <w:r>
              <w:t>NC</w:t>
            </w:r>
          </w:p>
        </w:tc>
        <w:tc>
          <w:tcPr>
            <w:tcW w:type="dxa" w:w="1728"/>
          </w:tcPr>
          <w:p>
            <w:r/>
            <w:r>
              <w:t>NCHFA</w:t>
            </w:r>
          </w:p>
        </w:tc>
        <w:tc>
          <w:tcPr>
            <w:tcW w:type="dxa" w:w="1728"/>
          </w:tcPr>
          <w:p>
            <w:r/>
            <w:r>
              <w:t>Descargado</w:t>
            </w:r>
          </w:p>
        </w:tc>
        <w:tc>
          <w:tcPr>
            <w:tcW w:type="dxa" w:w="1728"/>
          </w:tcPr>
          <w:p>
            <w:r/>
            <w:r>
              <w:t>NC_NCHFA_FY2025_ACFR.pdf</w:t>
            </w:r>
          </w:p>
        </w:tc>
        <w:tc>
          <w:tcPr>
            <w:tcW w:type="dxa" w:w="1728"/>
          </w:tcPr>
          <w:p>
            <w:r/>
            <w:r>
              <w:t>-</w:t>
            </w:r>
          </w:p>
        </w:tc>
      </w:tr>
      <w:tr>
        <w:tc>
          <w:tcPr>
            <w:tcW w:type="dxa" w:w="1728"/>
          </w:tcPr>
          <w:p>
            <w:r/>
            <w:r>
              <w:t>ND</w:t>
            </w:r>
          </w:p>
        </w:tc>
        <w:tc>
          <w:tcPr>
            <w:tcW w:type="dxa" w:w="1728"/>
          </w:tcPr>
          <w:p>
            <w:r/>
            <w:r>
              <w:t>NDHFA</w:t>
            </w:r>
          </w:p>
        </w:tc>
        <w:tc>
          <w:tcPr>
            <w:tcW w:type="dxa" w:w="1728"/>
          </w:tcPr>
          <w:p>
            <w:r/>
            <w:r>
              <w:t>Descargado</w:t>
            </w:r>
          </w:p>
        </w:tc>
        <w:tc>
          <w:tcPr>
            <w:tcW w:type="dxa" w:w="1728"/>
          </w:tcPr>
          <w:p>
            <w:r/>
            <w:r>
              <w:t>ND_NDHFA_FY2025_ACFR.pdf</w:t>
            </w:r>
          </w:p>
        </w:tc>
        <w:tc>
          <w:tcPr>
            <w:tcW w:type="dxa" w:w="1728"/>
          </w:tcPr>
          <w:p>
            <w:r/>
            <w:r>
              <w:t>Tasa de crecimiento verificada manualmente con el ACFR</w:t>
            </w:r>
          </w:p>
        </w:tc>
      </w:tr>
      <w:tr>
        <w:tc>
          <w:tcPr>
            <w:tcW w:type="dxa" w:w="1728"/>
          </w:tcPr>
          <w:p>
            <w:r/>
            <w:r>
              <w:t>NE</w:t>
            </w:r>
          </w:p>
        </w:tc>
        <w:tc>
          <w:tcPr>
            <w:tcW w:type="dxa" w:w="1728"/>
          </w:tcPr>
          <w:p>
            <w:r/>
            <w:r>
              <w:t>NIFA</w:t>
            </w:r>
          </w:p>
        </w:tc>
        <w:tc>
          <w:tcPr>
            <w:tcW w:type="dxa" w:w="1728"/>
          </w:tcPr>
          <w:p>
            <w:r/>
            <w:r>
              <w:t>Descargado</w:t>
            </w:r>
          </w:p>
        </w:tc>
        <w:tc>
          <w:tcPr>
            <w:tcW w:type="dxa" w:w="1728"/>
          </w:tcPr>
          <w:p>
            <w:r/>
            <w:r>
              <w:t>NE_NIFA_FY2025_ACFR.pdf</w:t>
            </w:r>
          </w:p>
        </w:tc>
        <w:tc>
          <w:tcPr>
            <w:tcW w:type="dxa" w:w="1728"/>
          </w:tcPr>
          <w:p>
            <w:r/>
            <w:r>
              <w:t>Tasa de crecimiento verificada manualmente con el ACFR</w:t>
            </w:r>
          </w:p>
        </w:tc>
      </w:tr>
      <w:tr>
        <w:tc>
          <w:tcPr>
            <w:tcW w:type="dxa" w:w="1728"/>
          </w:tcPr>
          <w:p>
            <w:r/>
            <w:r>
              <w:t>NH</w:t>
            </w:r>
          </w:p>
        </w:tc>
        <w:tc>
          <w:tcPr>
            <w:tcW w:type="dxa" w:w="1728"/>
          </w:tcPr>
          <w:p>
            <w:r/>
            <w:r>
              <w:t>NHHousing</w:t>
            </w:r>
          </w:p>
        </w:tc>
        <w:tc>
          <w:tcPr>
            <w:tcW w:type="dxa" w:w="1728"/>
          </w:tcPr>
          <w:p>
            <w:r/>
            <w:r>
              <w:t>No disponible</w:t>
            </w:r>
          </w:p>
        </w:tc>
        <w:tc>
          <w:tcPr>
            <w:tcW w:type="dxa" w:w="1728"/>
          </w:tcPr>
          <w:p>
            <w:r/>
            <w:r>
              <w:t>-</w:t>
            </w:r>
          </w:p>
        </w:tc>
        <w:tc>
          <w:tcPr>
            <w:tcW w:type="dxa" w:w="1728"/>
          </w:tcPr>
          <w:p>
            <w:r/>
            <w:r>
              <w:t>No se encontró el enlace al PDF del FY2025</w:t>
            </w:r>
          </w:p>
        </w:tc>
      </w:tr>
      <w:tr>
        <w:tc>
          <w:tcPr>
            <w:tcW w:type="dxa" w:w="1728"/>
          </w:tcPr>
          <w:p>
            <w:r/>
            <w:r>
              <w:t>NJ</w:t>
            </w:r>
          </w:p>
        </w:tc>
        <w:tc>
          <w:tcPr>
            <w:tcW w:type="dxa" w:w="1728"/>
          </w:tcPr>
          <w:p>
            <w:r/>
            <w:r>
              <w:t>NJHMFA</w:t>
            </w:r>
          </w:p>
        </w:tc>
        <w:tc>
          <w:tcPr>
            <w:tcW w:type="dxa" w:w="1728"/>
          </w:tcPr>
          <w:p>
            <w:r/>
            <w:r>
              <w:t>No disponible</w:t>
            </w:r>
          </w:p>
        </w:tc>
        <w:tc>
          <w:tcPr>
            <w:tcW w:type="dxa" w:w="1728"/>
          </w:tcPr>
          <w:p>
            <w:r/>
            <w:r>
              <w:t>-</w:t>
            </w:r>
          </w:p>
        </w:tc>
        <w:tc>
          <w:tcPr>
            <w:tcW w:type="dxa" w:w="1728"/>
          </w:tcPr>
          <w:p>
            <w:r/>
            <w:r>
              <w:t>No se encontró el enlace al PDF del FY2025</w:t>
            </w:r>
          </w:p>
        </w:tc>
      </w:tr>
      <w:tr>
        <w:tc>
          <w:tcPr>
            <w:tcW w:type="dxa" w:w="1728"/>
          </w:tcPr>
          <w:p>
            <w:r/>
            <w:r>
              <w:t>NM</w:t>
            </w:r>
          </w:p>
        </w:tc>
        <w:tc>
          <w:tcPr>
            <w:tcW w:type="dxa" w:w="1728"/>
          </w:tcPr>
          <w:p>
            <w:r/>
            <w:r>
              <w:t>MFA</w:t>
            </w:r>
          </w:p>
        </w:tc>
        <w:tc>
          <w:tcPr>
            <w:tcW w:type="dxa" w:w="1728"/>
          </w:tcPr>
          <w:p>
            <w:r/>
            <w:r>
              <w:t>Descargado</w:t>
            </w:r>
          </w:p>
        </w:tc>
        <w:tc>
          <w:tcPr>
            <w:tcW w:type="dxa" w:w="1728"/>
          </w:tcPr>
          <w:p>
            <w:r/>
            <w:r>
              <w:t>NM_MFA_FY2025_ACFR.pdf</w:t>
            </w:r>
          </w:p>
        </w:tc>
        <w:tc>
          <w:tcPr>
            <w:tcW w:type="dxa" w:w="1728"/>
          </w:tcPr>
          <w:p>
            <w:r/>
            <w:r>
              <w:t>Indicadores completados a partir de los estados financieros auditados (PDF escaneado), sección MD&amp;A</w:t>
            </w:r>
          </w:p>
        </w:tc>
      </w:tr>
      <w:tr>
        <w:tc>
          <w:tcPr>
            <w:tcW w:type="dxa" w:w="1728"/>
          </w:tcPr>
          <w:p>
            <w:r/>
            <w:r>
              <w:t>NV</w:t>
            </w:r>
          </w:p>
        </w:tc>
        <w:tc>
          <w:tcPr>
            <w:tcW w:type="dxa" w:w="1728"/>
          </w:tcPr>
          <w:p>
            <w:r/>
            <w:r>
              <w:t>NHD</w:t>
            </w:r>
          </w:p>
        </w:tc>
        <w:tc>
          <w:tcPr>
            <w:tcW w:type="dxa" w:w="1728"/>
          </w:tcPr>
          <w:p>
            <w:r/>
            <w:r>
              <w:t>No disponible</w:t>
            </w:r>
          </w:p>
        </w:tc>
        <w:tc>
          <w:tcPr>
            <w:tcW w:type="dxa" w:w="1728"/>
          </w:tcPr>
          <w:p>
            <w:r/>
            <w:r>
              <w:t>-</w:t>
            </w:r>
          </w:p>
        </w:tc>
        <w:tc>
          <w:tcPr>
            <w:tcW w:type="dxa" w:w="1728"/>
          </w:tcPr>
          <w:p>
            <w:r/>
            <w:r>
              <w:t>No se encontró el enlace al PDF del FY2025</w:t>
            </w:r>
          </w:p>
        </w:tc>
      </w:tr>
      <w:tr>
        <w:tc>
          <w:tcPr>
            <w:tcW w:type="dxa" w:w="1728"/>
          </w:tcPr>
          <w:p>
            <w:r/>
            <w:r>
              <w:t>NY</w:t>
            </w:r>
          </w:p>
        </w:tc>
        <w:tc>
          <w:tcPr>
            <w:tcW w:type="dxa" w:w="1728"/>
          </w:tcPr>
          <w:p>
            <w:r/>
            <w:r>
              <w:t>HCR</w:t>
            </w:r>
          </w:p>
        </w:tc>
        <w:tc>
          <w:tcPr>
            <w:tcW w:type="dxa" w:w="1728"/>
          </w:tcPr>
          <w:p>
            <w:r/>
            <w:r>
              <w:t>No disponible</w:t>
            </w:r>
          </w:p>
        </w:tc>
        <w:tc>
          <w:tcPr>
            <w:tcW w:type="dxa" w:w="1728"/>
          </w:tcPr>
          <w:p>
            <w:r/>
            <w:r>
              <w:t>-</w:t>
            </w:r>
          </w:p>
        </w:tc>
        <w:tc>
          <w:tcPr>
            <w:tcW w:type="dxa" w:w="1728"/>
          </w:tcPr>
          <w:p>
            <w:r/>
            <w:r>
              <w:t>No se encontró el enlace al PDF del FY2025</w:t>
            </w:r>
          </w:p>
        </w:tc>
      </w:tr>
      <w:tr>
        <w:tc>
          <w:tcPr>
            <w:tcW w:type="dxa" w:w="1728"/>
          </w:tcPr>
          <w:p>
            <w:r/>
            <w:r>
              <w:t>OH</w:t>
            </w:r>
          </w:p>
        </w:tc>
        <w:tc>
          <w:tcPr>
            <w:tcW w:type="dxa" w:w="1728"/>
          </w:tcPr>
          <w:p>
            <w:r/>
            <w:r>
              <w:t>OHFA</w:t>
            </w:r>
          </w:p>
        </w:tc>
        <w:tc>
          <w:tcPr>
            <w:tcW w:type="dxa" w:w="1728"/>
          </w:tcPr>
          <w:p>
            <w:r/>
            <w:r>
              <w:t>Descargado</w:t>
            </w:r>
          </w:p>
        </w:tc>
        <w:tc>
          <w:tcPr>
            <w:tcW w:type="dxa" w:w="1728"/>
          </w:tcPr>
          <w:p>
            <w:r/>
            <w:r>
              <w:t>OH_OHFA_FY2025_ACFR.pdf</w:t>
            </w:r>
          </w:p>
        </w:tc>
        <w:tc>
          <w:tcPr>
            <w:tcW w:type="dxa" w:w="1728"/>
          </w:tcPr>
          <w:p>
            <w:r/>
            <w:r>
              <w:t>-</w:t>
            </w:r>
          </w:p>
        </w:tc>
      </w:tr>
      <w:tr>
        <w:tc>
          <w:tcPr>
            <w:tcW w:type="dxa" w:w="1728"/>
          </w:tcPr>
          <w:p>
            <w:r/>
            <w:r>
              <w:t>OK</w:t>
            </w:r>
          </w:p>
        </w:tc>
        <w:tc>
          <w:tcPr>
            <w:tcW w:type="dxa" w:w="1728"/>
          </w:tcPr>
          <w:p>
            <w:r/>
            <w:r>
              <w:t>OHFA_OK</w:t>
            </w:r>
          </w:p>
        </w:tc>
        <w:tc>
          <w:tcPr>
            <w:tcW w:type="dxa" w:w="1728"/>
          </w:tcPr>
          <w:p>
            <w:r/>
            <w:r>
              <w:t>Descargado</w:t>
            </w:r>
          </w:p>
        </w:tc>
        <w:tc>
          <w:tcPr>
            <w:tcW w:type="dxa" w:w="1728"/>
          </w:tcPr>
          <w:p>
            <w:r/>
            <w:r>
              <w:t>OK_OHFA_OK_FY2025_ACFR.pdf</w:t>
            </w:r>
          </w:p>
        </w:tc>
        <w:tc>
          <w:tcPr>
            <w:tcW w:type="dxa" w:w="1728"/>
          </w:tcPr>
          <w:p>
            <w:r/>
            <w:r>
              <w:t>Indicadores completados a partir del ACFR/estados financieros de la agencia</w:t>
            </w:r>
          </w:p>
        </w:tc>
      </w:tr>
      <w:tr>
        <w:tc>
          <w:tcPr>
            <w:tcW w:type="dxa" w:w="1728"/>
          </w:tcPr>
          <w:p>
            <w:r/>
            <w:r>
              <w:t>OR</w:t>
            </w:r>
          </w:p>
        </w:tc>
        <w:tc>
          <w:tcPr>
            <w:tcW w:type="dxa" w:w="1728"/>
          </w:tcPr>
          <w:p>
            <w:r/>
            <w:r>
              <w:t>OHCS</w:t>
            </w:r>
          </w:p>
        </w:tc>
        <w:tc>
          <w:tcPr>
            <w:tcW w:type="dxa" w:w="1728"/>
          </w:tcPr>
          <w:p>
            <w:r/>
            <w:r>
              <w:t>No disponible</w:t>
            </w:r>
          </w:p>
        </w:tc>
        <w:tc>
          <w:tcPr>
            <w:tcW w:type="dxa" w:w="1728"/>
          </w:tcPr>
          <w:p>
            <w:r/>
            <w:r>
              <w:t>-</w:t>
            </w:r>
          </w:p>
        </w:tc>
        <w:tc>
          <w:tcPr>
            <w:tcW w:type="dxa" w:w="1728"/>
          </w:tcPr>
          <w:p>
            <w:r/>
            <w:r>
              <w:t>No se encontró el enlace al PDF del FY2025</w:t>
            </w:r>
          </w:p>
        </w:tc>
      </w:tr>
      <w:tr>
        <w:tc>
          <w:tcPr>
            <w:tcW w:type="dxa" w:w="1728"/>
          </w:tcPr>
          <w:p>
            <w:r/>
            <w:r>
              <w:t>PA</w:t>
            </w:r>
          </w:p>
        </w:tc>
        <w:tc>
          <w:tcPr>
            <w:tcW w:type="dxa" w:w="1728"/>
          </w:tcPr>
          <w:p>
            <w:r/>
            <w:r>
              <w:t>PHFA</w:t>
            </w:r>
          </w:p>
        </w:tc>
        <w:tc>
          <w:tcPr>
            <w:tcW w:type="dxa" w:w="1728"/>
          </w:tcPr>
          <w:p>
            <w:r/>
            <w:r>
              <w:t>Descargado</w:t>
            </w:r>
          </w:p>
        </w:tc>
        <w:tc>
          <w:tcPr>
            <w:tcW w:type="dxa" w:w="1728"/>
          </w:tcPr>
          <w:p>
            <w:r/>
            <w:r>
              <w:t>PA_PHFA_FY2025_ACFR.pdf</w:t>
            </w:r>
          </w:p>
        </w:tc>
        <w:tc>
          <w:tcPr>
            <w:tcW w:type="dxa" w:w="1728"/>
          </w:tcPr>
          <w:p>
            <w:r/>
            <w:r>
              <w:t>Indicadores clave verificados manualmente con el MD&amp;A del FY2025 de PHFA (balance general resumido, 30 de junio de 2025/2024); las cifras corresponden a las partidas de «Activo total»/«Pasivo total», sin incluir salidas/entradas diferidas de recursos</w:t>
            </w:r>
          </w:p>
        </w:tc>
      </w:tr>
      <w:tr>
        <w:tc>
          <w:tcPr>
            <w:tcW w:type="dxa" w:w="1728"/>
          </w:tcPr>
          <w:p>
            <w:r/>
            <w:r>
              <w:t>RI</w:t>
            </w:r>
          </w:p>
        </w:tc>
        <w:tc>
          <w:tcPr>
            <w:tcW w:type="dxa" w:w="1728"/>
          </w:tcPr>
          <w:p>
            <w:r/>
            <w:r>
              <w:t>RIHousing</w:t>
            </w:r>
          </w:p>
        </w:tc>
        <w:tc>
          <w:tcPr>
            <w:tcW w:type="dxa" w:w="1728"/>
          </w:tcPr>
          <w:p>
            <w:r/>
            <w:r>
              <w:t>No disponible</w:t>
            </w:r>
          </w:p>
        </w:tc>
        <w:tc>
          <w:tcPr>
            <w:tcW w:type="dxa" w:w="1728"/>
          </w:tcPr>
          <w:p>
            <w:r/>
            <w:r>
              <w:t>-</w:t>
            </w:r>
          </w:p>
        </w:tc>
        <w:tc>
          <w:tcPr>
            <w:tcW w:type="dxa" w:w="1728"/>
          </w:tcPr>
          <w:p>
            <w:r/>
            <w:r>
              <w:t>No se encontró el enlace al PDF del FY2025</w:t>
            </w:r>
          </w:p>
        </w:tc>
      </w:tr>
      <w:tr>
        <w:tc>
          <w:tcPr>
            <w:tcW w:type="dxa" w:w="1728"/>
          </w:tcPr>
          <w:p>
            <w:r/>
            <w:r>
              <w:t>SC</w:t>
            </w:r>
          </w:p>
        </w:tc>
        <w:tc>
          <w:tcPr>
            <w:tcW w:type="dxa" w:w="1728"/>
          </w:tcPr>
          <w:p>
            <w:r/>
            <w:r>
              <w:t>SCHFDA</w:t>
            </w:r>
          </w:p>
        </w:tc>
        <w:tc>
          <w:tcPr>
            <w:tcW w:type="dxa" w:w="1728"/>
          </w:tcPr>
          <w:p>
            <w:r/>
            <w:r>
              <w:t>Descargado</w:t>
            </w:r>
          </w:p>
        </w:tc>
        <w:tc>
          <w:tcPr>
            <w:tcW w:type="dxa" w:w="1728"/>
          </w:tcPr>
          <w:p>
            <w:r/>
            <w:r>
              <w:t>SC_SCHFDA_FY2025_ACFR.pdf</w:t>
            </w:r>
          </w:p>
        </w:tc>
        <w:tc>
          <w:tcPr>
            <w:tcW w:type="dxa" w:w="1728"/>
          </w:tcPr>
          <w:p>
            <w:r/>
            <w:r>
              <w:t>Indicadores completados a partir del ACFR/estados financieros de la agencia</w:t>
            </w:r>
          </w:p>
        </w:tc>
      </w:tr>
      <w:tr>
        <w:tc>
          <w:tcPr>
            <w:tcW w:type="dxa" w:w="1728"/>
          </w:tcPr>
          <w:p>
            <w:r/>
            <w:r>
              <w:t>SD</w:t>
            </w:r>
          </w:p>
        </w:tc>
        <w:tc>
          <w:tcPr>
            <w:tcW w:type="dxa" w:w="1728"/>
          </w:tcPr>
          <w:p>
            <w:r/>
            <w:r>
              <w:t>SDHDA</w:t>
            </w:r>
          </w:p>
        </w:tc>
        <w:tc>
          <w:tcPr>
            <w:tcW w:type="dxa" w:w="1728"/>
          </w:tcPr>
          <w:p>
            <w:r/>
            <w:r>
              <w:t>Descargado</w:t>
            </w:r>
          </w:p>
        </w:tc>
        <w:tc>
          <w:tcPr>
            <w:tcW w:type="dxa" w:w="1728"/>
          </w:tcPr>
          <w:p>
            <w:r/>
            <w:r>
              <w:t>SD_SDHDA_FY2025_ACFR.pdf</w:t>
            </w:r>
          </w:p>
        </w:tc>
        <w:tc>
          <w:tcPr>
            <w:tcW w:type="dxa" w:w="1728"/>
          </w:tcPr>
          <w:p>
            <w:r/>
            <w:r>
              <w:t>Activo total y pasivo total incorporados a partir del MD&amp;A del FY2025 de SDHDA (variación de activo/pasivo/activo neto, en millones, ejercicio cerrado el 30 de junio de 2025/2024)</w:t>
            </w:r>
          </w:p>
        </w:tc>
      </w:tr>
      <w:tr>
        <w:tc>
          <w:tcPr>
            <w:tcW w:type="dxa" w:w="1728"/>
          </w:tcPr>
          <w:p>
            <w:r/>
            <w:r>
              <w:t>TN</w:t>
            </w:r>
          </w:p>
        </w:tc>
        <w:tc>
          <w:tcPr>
            <w:tcW w:type="dxa" w:w="1728"/>
          </w:tcPr>
          <w:p>
            <w:r/>
            <w:r>
              <w:t>THDA</w:t>
            </w:r>
          </w:p>
        </w:tc>
        <w:tc>
          <w:tcPr>
            <w:tcW w:type="dxa" w:w="1728"/>
          </w:tcPr>
          <w:p>
            <w:r/>
            <w:r>
              <w:t>Descargado</w:t>
            </w:r>
          </w:p>
        </w:tc>
        <w:tc>
          <w:tcPr>
            <w:tcW w:type="dxa" w:w="1728"/>
          </w:tcPr>
          <w:p>
            <w:r/>
            <w:r>
              <w:t>TN_THDA_FY2025_ACFR.pdf</w:t>
            </w:r>
          </w:p>
        </w:tc>
        <w:tc>
          <w:tcPr>
            <w:tcW w:type="dxa" w:w="1728"/>
          </w:tcPr>
          <w:p>
            <w:r/>
            <w:r>
              <w:t>El activo neto del FY2024 refleja la cifra comparativa reexpresada del informe del FY2025</w:t>
            </w:r>
          </w:p>
        </w:tc>
      </w:tr>
      <w:tr>
        <w:tc>
          <w:tcPr>
            <w:tcW w:type="dxa" w:w="1728"/>
          </w:tcPr>
          <w:p>
            <w:r/>
            <w:r>
              <w:t>TX</w:t>
            </w:r>
          </w:p>
        </w:tc>
        <w:tc>
          <w:tcPr>
            <w:tcW w:type="dxa" w:w="1728"/>
          </w:tcPr>
          <w:p>
            <w:r/>
            <w:r>
              <w:t>TDHCA</w:t>
            </w:r>
          </w:p>
        </w:tc>
        <w:tc>
          <w:tcPr>
            <w:tcW w:type="dxa" w:w="1728"/>
          </w:tcPr>
          <w:p>
            <w:r/>
            <w:r>
              <w:t>Descargado</w:t>
            </w:r>
          </w:p>
        </w:tc>
        <w:tc>
          <w:tcPr>
            <w:tcW w:type="dxa" w:w="1728"/>
          </w:tcPr>
          <w:p>
            <w:r/>
            <w:r>
              <w:t>TX_TDHCA_FY2025_ACFR.pdf</w:t>
            </w:r>
          </w:p>
        </w:tc>
        <w:tc>
          <w:tcPr>
            <w:tcW w:type="dxa" w:w="1728"/>
          </w:tcPr>
          <w:p>
            <w:r/>
            <w:r>
              <w:t>Los indicadores clave no se extrajeron automáticamente; se recomienda revisión manual del PDF</w:t>
            </w:r>
          </w:p>
        </w:tc>
      </w:tr>
      <w:tr>
        <w:tc>
          <w:tcPr>
            <w:tcW w:type="dxa" w:w="1728"/>
          </w:tcPr>
          <w:p>
            <w:r/>
            <w:r>
              <w:t>UT</w:t>
            </w:r>
          </w:p>
        </w:tc>
        <w:tc>
          <w:tcPr>
            <w:tcW w:type="dxa" w:w="1728"/>
          </w:tcPr>
          <w:p>
            <w:r/>
            <w:r>
              <w:t>UtahHousing</w:t>
            </w:r>
          </w:p>
        </w:tc>
        <w:tc>
          <w:tcPr>
            <w:tcW w:type="dxa" w:w="1728"/>
          </w:tcPr>
          <w:p>
            <w:r/>
            <w:r>
              <w:t>Descargado</w:t>
            </w:r>
          </w:p>
        </w:tc>
        <w:tc>
          <w:tcPr>
            <w:tcW w:type="dxa" w:w="1728"/>
          </w:tcPr>
          <w:p>
            <w:r/>
            <w:r>
              <w:t>UT_UtahHousing_FY2025_ACFR.pdf</w:t>
            </w:r>
          </w:p>
        </w:tc>
        <w:tc>
          <w:tcPr>
            <w:tcW w:type="dxa" w:w="1728"/>
          </w:tcPr>
          <w:p>
            <w:r/>
            <w:r>
              <w:t>Tasa de crecimiento verificada manualmente con el ACFR</w:t>
            </w:r>
          </w:p>
        </w:tc>
      </w:tr>
      <w:tr>
        <w:tc>
          <w:tcPr>
            <w:tcW w:type="dxa" w:w="1728"/>
          </w:tcPr>
          <w:p>
            <w:r/>
            <w:r>
              <w:t>VA</w:t>
            </w:r>
          </w:p>
        </w:tc>
        <w:tc>
          <w:tcPr>
            <w:tcW w:type="dxa" w:w="1728"/>
          </w:tcPr>
          <w:p>
            <w:r/>
            <w:r>
              <w:t>VirginiaHousing</w:t>
            </w:r>
          </w:p>
        </w:tc>
        <w:tc>
          <w:tcPr>
            <w:tcW w:type="dxa" w:w="1728"/>
          </w:tcPr>
          <w:p>
            <w:r/>
            <w:r>
              <w:t>Descargado</w:t>
            </w:r>
          </w:p>
        </w:tc>
        <w:tc>
          <w:tcPr>
            <w:tcW w:type="dxa" w:w="1728"/>
          </w:tcPr>
          <w:p>
            <w:r/>
            <w:r>
              <w:t>VA_VirginiaHousing_FY2025_ACFR.pdf</w:t>
            </w:r>
          </w:p>
        </w:tc>
        <w:tc>
          <w:tcPr>
            <w:tcW w:type="dxa" w:w="1728"/>
          </w:tcPr>
          <w:p>
            <w:r/>
            <w:r>
              <w:t>Los indicadores clave no se extrajeron automáticamente; se recomienda revisión manual del PDF</w:t>
            </w:r>
          </w:p>
        </w:tc>
      </w:tr>
      <w:tr>
        <w:tc>
          <w:tcPr>
            <w:tcW w:type="dxa" w:w="1728"/>
          </w:tcPr>
          <w:p>
            <w:r/>
            <w:r>
              <w:t>VT</w:t>
            </w:r>
          </w:p>
        </w:tc>
        <w:tc>
          <w:tcPr>
            <w:tcW w:type="dxa" w:w="1728"/>
          </w:tcPr>
          <w:p>
            <w:r/>
            <w:r>
              <w:t>VHFA</w:t>
            </w:r>
          </w:p>
        </w:tc>
        <w:tc>
          <w:tcPr>
            <w:tcW w:type="dxa" w:w="1728"/>
          </w:tcPr>
          <w:p>
            <w:r/>
            <w:r>
              <w:t>Descargado</w:t>
            </w:r>
          </w:p>
        </w:tc>
        <w:tc>
          <w:tcPr>
            <w:tcW w:type="dxa" w:w="1728"/>
          </w:tcPr>
          <w:p>
            <w:r/>
            <w:r>
              <w:t>VT_VHFA_FY2025_ACFR.pdf</w:t>
            </w:r>
          </w:p>
        </w:tc>
        <w:tc>
          <w:tcPr>
            <w:tcW w:type="dxa" w:w="1728"/>
          </w:tcPr>
          <w:p>
            <w:r/>
            <w:r>
              <w:t>Indicadores completados a partir del ACFR/estados financieros de la agencia</w:t>
            </w:r>
          </w:p>
        </w:tc>
      </w:tr>
      <w:tr>
        <w:tc>
          <w:tcPr>
            <w:tcW w:type="dxa" w:w="1728"/>
          </w:tcPr>
          <w:p>
            <w:r/>
            <w:r>
              <w:t>WA</w:t>
            </w:r>
          </w:p>
        </w:tc>
        <w:tc>
          <w:tcPr>
            <w:tcW w:type="dxa" w:w="1728"/>
          </w:tcPr>
          <w:p>
            <w:r/>
            <w:r>
              <w:t>WSHFC</w:t>
            </w:r>
          </w:p>
        </w:tc>
        <w:tc>
          <w:tcPr>
            <w:tcW w:type="dxa" w:w="1728"/>
          </w:tcPr>
          <w:p>
            <w:r/>
            <w:r>
              <w:t>Descargado</w:t>
            </w:r>
          </w:p>
        </w:tc>
        <w:tc>
          <w:tcPr>
            <w:tcW w:type="dxa" w:w="1728"/>
          </w:tcPr>
          <w:p>
            <w:r/>
            <w:r>
              <w:t>WA_WSHFC_FY2025_ACFR.pdf</w:t>
            </w:r>
          </w:p>
        </w:tc>
        <w:tc>
          <w:tcPr>
            <w:tcW w:type="dxa" w:w="1728"/>
          </w:tcPr>
          <w:p>
            <w:r/>
            <w:r>
              <w:t>-</w:t>
            </w:r>
          </w:p>
        </w:tc>
      </w:tr>
      <w:tr>
        <w:tc>
          <w:tcPr>
            <w:tcW w:type="dxa" w:w="1728"/>
          </w:tcPr>
          <w:p>
            <w:r/>
            <w:r>
              <w:t>WI</w:t>
            </w:r>
          </w:p>
        </w:tc>
        <w:tc>
          <w:tcPr>
            <w:tcW w:type="dxa" w:w="1728"/>
          </w:tcPr>
          <w:p>
            <w:r/>
            <w:r>
              <w:t>WHEDA</w:t>
            </w:r>
          </w:p>
        </w:tc>
        <w:tc>
          <w:tcPr>
            <w:tcW w:type="dxa" w:w="1728"/>
          </w:tcPr>
          <w:p>
            <w:r/>
            <w:r>
              <w:t>Descargado</w:t>
            </w:r>
          </w:p>
        </w:tc>
        <w:tc>
          <w:tcPr>
            <w:tcW w:type="dxa" w:w="1728"/>
          </w:tcPr>
          <w:p>
            <w:r/>
            <w:r>
              <w:t>WI_WHEDA_FY2025_ACFR.pdf</w:t>
            </w:r>
          </w:p>
        </w:tc>
        <w:tc>
          <w:tcPr>
            <w:tcW w:type="dxa" w:w="1728"/>
          </w:tcPr>
          <w:p>
            <w:r/>
            <w:r>
              <w:t>Los indicadores clave no se extrajeron automáticamente; se recomienda revisión manual del PDF</w:t>
            </w:r>
          </w:p>
        </w:tc>
      </w:tr>
      <w:tr>
        <w:tc>
          <w:tcPr>
            <w:tcW w:type="dxa" w:w="1728"/>
          </w:tcPr>
          <w:p>
            <w:r/>
            <w:r>
              <w:t>WV</w:t>
            </w:r>
          </w:p>
        </w:tc>
        <w:tc>
          <w:tcPr>
            <w:tcW w:type="dxa" w:w="1728"/>
          </w:tcPr>
          <w:p>
            <w:r/>
            <w:r>
              <w:t>WVHDF</w:t>
            </w:r>
          </w:p>
        </w:tc>
        <w:tc>
          <w:tcPr>
            <w:tcW w:type="dxa" w:w="1728"/>
          </w:tcPr>
          <w:p>
            <w:r/>
            <w:r>
              <w:t>Descargado</w:t>
            </w:r>
          </w:p>
        </w:tc>
        <w:tc>
          <w:tcPr>
            <w:tcW w:type="dxa" w:w="1728"/>
          </w:tcPr>
          <w:p>
            <w:r/>
            <w:r>
              <w:t>WV_WVHDF_FY2025_ACFR.pdf</w:t>
            </w:r>
          </w:p>
        </w:tc>
        <w:tc>
          <w:tcPr>
            <w:tcW w:type="dxa" w:w="1728"/>
          </w:tcPr>
          <w:p>
            <w:r/>
            <w:r>
              <w:t>-</w:t>
            </w:r>
          </w:p>
        </w:tc>
      </w:tr>
      <w:tr>
        <w:tc>
          <w:tcPr>
            <w:tcW w:type="dxa" w:w="1728"/>
          </w:tcPr>
          <w:p>
            <w:r/>
            <w:r>
              <w:t>WY</w:t>
            </w:r>
          </w:p>
        </w:tc>
        <w:tc>
          <w:tcPr>
            <w:tcW w:type="dxa" w:w="1728"/>
          </w:tcPr>
          <w:p>
            <w:r/>
            <w:r>
              <w:t>WCDA</w:t>
            </w:r>
          </w:p>
        </w:tc>
        <w:tc>
          <w:tcPr>
            <w:tcW w:type="dxa" w:w="1728"/>
          </w:tcPr>
          <w:p>
            <w:r/>
            <w:r>
              <w:t>Descargado</w:t>
            </w:r>
          </w:p>
        </w:tc>
        <w:tc>
          <w:tcPr>
            <w:tcW w:type="dxa" w:w="1728"/>
          </w:tcPr>
          <w:p>
            <w:r/>
            <w:r>
              <w:t>WY_WCDA_FY2025_ACFR.pdf</w:t>
            </w:r>
          </w:p>
        </w:tc>
        <w:tc>
          <w:tcPr>
            <w:tcW w:type="dxa" w:w="1728"/>
          </w:tcPr>
          <w:p>
            <w:r/>
            <w:r>
              <w:t>Los indicadores clave no se extrajeron automáticamente; se recomienda revisión manual del PDF</w:t>
            </w:r>
          </w:p>
        </w:tc>
      </w:tr>
    </w:tbl>
    <w:p/>
    <w:p>
      <w:pPr>
        <w:pStyle w:val="Heading1"/>
      </w:pPr>
      <w:r>
        <w:rPr>
          <w:b w:val="0"/>
          <w:i w:val="0"/>
        </w:rPr>
        <w:t>VII. Estados sin informes del FY2025</w:t>
      </w:r>
    </w:p>
    <w:p>
      <w:r>
        <w:rPr>
          <w:b w:val="0"/>
          <w:i w:val="0"/>
        </w:rPr>
        <w:t>A la fecha de este informe, los siguientes 7 estados o territorios no contaban con un ACFR o estado financiero auditado del FY2025 localizable públicamente. Las causas más comunes incluyen auditorías incompletas, publicaciones limitadas al FY2024, o presentaciones alojadas en sitios no estándar.</w:t>
      </w:r>
    </w:p>
    <w:p>
      <w:pPr>
        <w:pStyle w:val="ListBullet"/>
      </w:pPr>
      <w:r>
        <w:rPr>
          <w:b w:val="0"/>
          <w:i w:val="0"/>
        </w:rPr>
        <w:t>AZ - Arizona Department of Housing (ADOH)</w:t>
      </w:r>
    </w:p>
    <w:p>
      <w:pPr>
        <w:pStyle w:val="ListBullet"/>
      </w:pPr>
      <w:r>
        <w:rPr>
          <w:b w:val="0"/>
          <w:i w:val="0"/>
        </w:rPr>
        <w:t>NV - Nevada Housing Division (NHD)</w:t>
      </w:r>
    </w:p>
    <w:p>
      <w:pPr>
        <w:pStyle w:val="ListBullet"/>
      </w:pPr>
      <w:r>
        <w:rPr>
          <w:b w:val="0"/>
          <w:i w:val="0"/>
        </w:rPr>
        <w:t>NH - New Hampshire Housing Finance Authority (NHHousing)</w:t>
      </w:r>
    </w:p>
    <w:p>
      <w:pPr>
        <w:pStyle w:val="ListBullet"/>
      </w:pPr>
      <w:r>
        <w:rPr>
          <w:b w:val="0"/>
          <w:i w:val="0"/>
        </w:rPr>
        <w:t>NJ - New Jersey Housing and Mortgage Finance Agency (NJHMFA)</w:t>
      </w:r>
    </w:p>
    <w:p>
      <w:pPr>
        <w:pStyle w:val="ListBullet"/>
      </w:pPr>
      <w:r>
        <w:rPr>
          <w:b w:val="0"/>
          <w:i w:val="0"/>
        </w:rPr>
        <w:t>NY - New York State Homes and Community Renewal (HCR)</w:t>
      </w:r>
    </w:p>
    <w:p>
      <w:pPr>
        <w:pStyle w:val="ListBullet"/>
      </w:pPr>
      <w:r>
        <w:rPr>
          <w:b w:val="0"/>
          <w:i w:val="0"/>
        </w:rPr>
        <w:t>OR - Oregon Housing and Community Services (OHCS)</w:t>
      </w:r>
    </w:p>
    <w:p>
      <w:pPr>
        <w:pStyle w:val="ListBullet"/>
      </w:pPr>
      <w:r>
        <w:rPr>
          <w:b w:val="0"/>
          <w:i w:val="0"/>
        </w:rPr>
        <w:t>RI - Rhode Island Housing (RIHousing)</w:t>
      </w:r>
    </w:p>
    <w:p>
      <w:pPr>
        <w:pStyle w:val="Heading1"/>
      </w:pPr>
      <w:r>
        <w:rPr>
          <w:b w:val="0"/>
          <w:i w:val="0"/>
        </w:rPr>
        <w:t>Apéndice: Metodología</w:t>
      </w:r>
    </w:p>
    <w:p>
      <w:r>
        <w:rPr>
          <w:b w:val="0"/>
          <w:i w:val="0"/>
        </w:rPr>
        <w:t>Las fuentes son los ACFR del FY2025 o los PDF de los estados financieros auditados publicados por las HFA estatales o por los auditores estatales. La extracción prioriza los datos financieros destacados del MD&amp;A y las partidas del Estado de Activo Neto correspondientes al activo total, el pasivo total y el activo neto total (con frecuencia reportados en miles de dólares). Las bases de revelación difieren entre actividades gubernamentales, actividades de tipo empresarial y presentaciones combinadas; las comparaciones entre estados deben interpretarse junto con las notas correspondientes.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lang w:val="es-ES" w:eastAsia="es-ES" w:bidi="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Agencias Estatales de Financiamiento de Vivienda de EE. UU. — FY2025 Análisis del ACFR y de los Estados Financieros</dc:title>
  <dc:subject/>
  <dc:creator>MD-ai-fin</dc:creator>
  <cp:keywords/>
  <dc:description>generated by python-docx</dc:description>
  <cp:lastModifiedBy/>
  <cp:revision>1</cp:revision>
  <dcterms:created xsi:type="dcterms:W3CDTF">2013-12-23T23:15:00Z</dcterms:created>
  <dcterms:modified xsi:type="dcterms:W3CDTF">2013-12-23T23:15:00Z</dcterms:modified>
  <cp:category/>
  <dc:language>es-ES</dc:language>
</cp:coreProperties>
</file>