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FY2025 U.S. State Housing Finance Agencies</w:t>
        <w:br/>
        <w:t>ACFR and Financial Statement Analysis</w:t>
      </w:r>
    </w:p>
    <w:p>
      <w:pPr>
        <w:jc w:val="center"/>
      </w:pPr>
      <w:r>
        <w:rPr>
          <w:i/>
        </w:rPr>
        <w:t>Prepared: August 09, 2026  |  Coverage: 51 states/territories  |  Reports obtained: 44 FY2025 filings</w:t>
      </w:r>
    </w:p>
    <w:p>
      <w:pPr>
        <w:pStyle w:val="Heading1"/>
      </w:pPr>
      <w:r>
        <w:t>I. Executive Summary</w:t>
      </w:r>
    </w:p>
    <w:p>
      <w:r>
        <w:t>Fiscal year 2025 (year ended June 30, 2025 for most agencies; a few report on a calendar year) was a consequential period for State Housing Finance Agencies (HFAs). Interest rates eased, competition for Low-Income Housing Tax Credits (LIHTC) intensified, and first-time homebuyer programs continued to expand. This report compiles and compares publicly available ACFRs and audited financial statements for HFAs across all 51 states and the District of Columbia. As of the preparation date, 44 FY2025 reports were obtained (86% coverage).</w:t>
      </w:r>
    </w:p>
    <w:p>
      <w:r>
        <w:t>Among 44 agencies with extracted net position figures, aggregate net position is approximately $42.98B; among 40 agencies with extracted total assets figures, aggregate total assets is approximately $163.14B. These aggregates are indicative of sector scale only and are not comparable to consolidated financial statements given differing reporting bases. State HFAs function largely as bond-financed intermediaries: mortgage and development loans on the asset side, and housing bonds on the liability side. The net position ratio (net position divided by total assets) is a useful indicator of financial cushion and resilience.</w:t>
      </w:r>
    </w:p>
    <w:p>
      <w:r>
        <w:t>The strongest year-over-year increase in net position was recorded by MS (MHC), at +121.2% (from a small $17.5M base, reflecting Mississippi's first FY2025 filing captured in this report); among agencies with an established prior-year base, LA (LHC) led at +31.9%, bringing net position to $821.7M. Such gains often coincide with higher bond issuance, portfolio growth, or fair-value recovery, and should be interpreted alongside housing production measures (for example, units financed).</w:t>
      </w:r>
    </w:p>
    <w:p>
      <w:pPr>
        <w:pStyle w:val="Heading1"/>
      </w:pPr>
      <w:r>
        <w:t>II. Rankings</w:t>
      </w:r>
    </w:p>
    <w:p>
      <w:pPr>
        <w:pStyle w:val="Heading2"/>
      </w:pPr>
      <w:r>
        <w:t>2.1 Top 10 by Net Position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FY2025 Net Position</w:t>
            </w:r>
          </w:p>
        </w:tc>
        <w:tc>
          <w:tcPr>
            <w:tcW w:type="dxa" w:w="1440"/>
          </w:tcPr>
          <w:p>
            <w:r>
              <w:t>FY2025 Total Assets</w:t>
            </w:r>
          </w:p>
        </w:tc>
        <w:tc>
          <w:tcPr>
            <w:tcW w:type="dxa" w:w="1440"/>
          </w:tcPr>
          <w:p>
            <w:r>
              <w:t>Net Position Ratio</w:t>
            </w:r>
          </w:p>
        </w:tc>
      </w:tr>
      <w:tr>
        <w:tc>
          <w:tcPr>
            <w:tcW w:type="dxa" w:w="1440"/>
          </w:tcPr>
          <w:p>
            <w:r>
              <w:t>1</w:t>
            </w:r>
          </w:p>
        </w:tc>
        <w:tc>
          <w:tcPr>
            <w:tcW w:type="dxa" w:w="1440"/>
          </w:tcPr>
          <w:p>
            <w:r>
              <w:t>FL</w:t>
            </w:r>
          </w:p>
        </w:tc>
        <w:tc>
          <w:tcPr>
            <w:tcW w:type="dxa" w:w="1440"/>
          </w:tcPr>
          <w:p>
            <w:r>
              <w:t>FloridaHousing</w:t>
            </w:r>
          </w:p>
        </w:tc>
        <w:tc>
          <w:tcPr>
            <w:tcW w:type="dxa" w:w="1440"/>
          </w:tcPr>
          <w:p>
            <w:r>
              <w:t>$4,771.1M</w:t>
            </w:r>
          </w:p>
        </w:tc>
        <w:tc>
          <w:tcPr>
            <w:tcW w:type="dxa" w:w="1440"/>
          </w:tcPr>
          <w:p>
            <w:r>
              <w:t>$7,722.4M</w:t>
            </w:r>
          </w:p>
        </w:tc>
        <w:tc>
          <w:tcPr>
            <w:tcW w:type="dxa" w:w="1440"/>
          </w:tcPr>
          <w:p>
            <w:r>
              <w:t>+61.8%</w:t>
            </w:r>
          </w:p>
        </w:tc>
      </w:tr>
      <w:tr>
        <w:tc>
          <w:tcPr>
            <w:tcW w:type="dxa" w:w="1440"/>
          </w:tcPr>
          <w:p>
            <w:r>
              <w:t>2</w:t>
            </w:r>
          </w:p>
        </w:tc>
        <w:tc>
          <w:tcPr>
            <w:tcW w:type="dxa" w:w="1440"/>
          </w:tcPr>
          <w:p>
            <w:r>
              <w:t>VA</w:t>
            </w:r>
          </w:p>
        </w:tc>
        <w:tc>
          <w:tcPr>
            <w:tcW w:type="dxa" w:w="1440"/>
          </w:tcPr>
          <w:p>
            <w:r>
              <w:t>VirginiaHousing</w:t>
            </w:r>
          </w:p>
        </w:tc>
        <w:tc>
          <w:tcPr>
            <w:tcW w:type="dxa" w:w="1440"/>
          </w:tcPr>
          <w:p>
            <w:r>
              <w:t>$3,963.1M</w:t>
            </w:r>
          </w:p>
        </w:tc>
        <w:tc>
          <w:tcPr>
            <w:tcW w:type="dxa" w:w="1440"/>
          </w:tcPr>
          <w:p>
            <w:r>
              <w:t>$12,350.1M</w:t>
            </w:r>
          </w:p>
        </w:tc>
        <w:tc>
          <w:tcPr>
            <w:tcW w:type="dxa" w:w="1440"/>
          </w:tcPr>
          <w:p>
            <w:r>
              <w:t>+32.1%</w:t>
            </w:r>
          </w:p>
        </w:tc>
      </w:tr>
      <w:tr>
        <w:tc>
          <w:tcPr>
            <w:tcW w:type="dxa" w:w="1440"/>
          </w:tcPr>
          <w:p>
            <w:r>
              <w:t>3</w:t>
            </w:r>
          </w:p>
        </w:tc>
        <w:tc>
          <w:tcPr>
            <w:tcW w:type="dxa" w:w="1440"/>
          </w:tcPr>
          <w:p>
            <w:r>
              <w:t>CA</w:t>
            </w:r>
          </w:p>
        </w:tc>
        <w:tc>
          <w:tcPr>
            <w:tcW w:type="dxa" w:w="1440"/>
          </w:tcPr>
          <w:p>
            <w:r>
              <w:t>CalHFA</w:t>
            </w:r>
          </w:p>
        </w:tc>
        <w:tc>
          <w:tcPr>
            <w:tcW w:type="dxa" w:w="1440"/>
          </w:tcPr>
          <w:p>
            <w:r>
              <w:t>$3,442.9M</w:t>
            </w:r>
          </w:p>
        </w:tc>
        <w:tc>
          <w:tcPr>
            <w:tcW w:type="dxa" w:w="1440"/>
          </w:tcPr>
          <w:p>
            <w:r>
              <w:t>$4,980.0M</w:t>
            </w:r>
          </w:p>
        </w:tc>
        <w:tc>
          <w:tcPr>
            <w:tcW w:type="dxa" w:w="1440"/>
          </w:tcPr>
          <w:p>
            <w:r>
              <w:t>+69.1%</w:t>
            </w:r>
          </w:p>
        </w:tc>
      </w:tr>
      <w:tr>
        <w:tc>
          <w:tcPr>
            <w:tcW w:type="dxa" w:w="1440"/>
          </w:tcPr>
          <w:p>
            <w:r>
              <w:t>4</w:t>
            </w:r>
          </w:p>
        </w:tc>
        <w:tc>
          <w:tcPr>
            <w:tcW w:type="dxa" w:w="1440"/>
          </w:tcPr>
          <w:p>
            <w:r>
              <w:t>HI</w:t>
            </w:r>
          </w:p>
        </w:tc>
        <w:tc>
          <w:tcPr>
            <w:tcW w:type="dxa" w:w="1440"/>
          </w:tcPr>
          <w:p>
            <w:r>
              <w:t>HHFDC</w:t>
            </w:r>
          </w:p>
        </w:tc>
        <w:tc>
          <w:tcPr>
            <w:tcW w:type="dxa" w:w="1440"/>
          </w:tcPr>
          <w:p>
            <w:r>
              <w:t>$2,653.2M</w:t>
            </w:r>
          </w:p>
        </w:tc>
        <w:tc>
          <w:tcPr>
            <w:tcW w:type="dxa" w:w="1440"/>
          </w:tcPr>
          <w:p>
            <w:r>
              <w:t>$2,708.7M</w:t>
            </w:r>
          </w:p>
        </w:tc>
        <w:tc>
          <w:tcPr>
            <w:tcW w:type="dxa" w:w="1440"/>
          </w:tcPr>
          <w:p>
            <w:r>
              <w:t>+98.0%</w:t>
            </w:r>
          </w:p>
        </w:tc>
      </w:tr>
      <w:tr>
        <w:tc>
          <w:tcPr>
            <w:tcW w:type="dxa" w:w="1440"/>
          </w:tcPr>
          <w:p>
            <w:r>
              <w:t>5</w:t>
            </w:r>
          </w:p>
        </w:tc>
        <w:tc>
          <w:tcPr>
            <w:tcW w:type="dxa" w:w="1440"/>
          </w:tcPr>
          <w:p>
            <w:r>
              <w:t>MA</w:t>
            </w:r>
          </w:p>
        </w:tc>
        <w:tc>
          <w:tcPr>
            <w:tcW w:type="dxa" w:w="1440"/>
          </w:tcPr>
          <w:p>
            <w:r>
              <w:t>MassHousing</w:t>
            </w:r>
          </w:p>
        </w:tc>
        <w:tc>
          <w:tcPr>
            <w:tcW w:type="dxa" w:w="1440"/>
          </w:tcPr>
          <w:p>
            <w:r>
              <w:t>$2,083.9M</w:t>
            </w:r>
          </w:p>
        </w:tc>
        <w:tc>
          <w:tcPr>
            <w:tcW w:type="dxa" w:w="1440"/>
          </w:tcPr>
          <w:p>
            <w:r>
              <w:t>$8,079.7M</w:t>
            </w:r>
          </w:p>
        </w:tc>
        <w:tc>
          <w:tcPr>
            <w:tcW w:type="dxa" w:w="1440"/>
          </w:tcPr>
          <w:p>
            <w:r>
              <w:t>+25.8%</w:t>
            </w:r>
          </w:p>
        </w:tc>
      </w:tr>
      <w:tr>
        <w:tc>
          <w:tcPr>
            <w:tcW w:type="dxa" w:w="1440"/>
          </w:tcPr>
          <w:p>
            <w:r>
              <w:t>6</w:t>
            </w:r>
          </w:p>
        </w:tc>
        <w:tc>
          <w:tcPr>
            <w:tcW w:type="dxa" w:w="1440"/>
          </w:tcPr>
          <w:p>
            <w:r>
              <w:t>IA</w:t>
            </w:r>
          </w:p>
        </w:tc>
        <w:tc>
          <w:tcPr>
            <w:tcW w:type="dxa" w:w="1440"/>
          </w:tcPr>
          <w:p>
            <w:r>
              <w:t>IFA</w:t>
            </w:r>
          </w:p>
        </w:tc>
        <w:tc>
          <w:tcPr>
            <w:tcW w:type="dxa" w:w="1440"/>
          </w:tcPr>
          <w:p>
            <w:r>
              <w:t>$1,664.6M</w:t>
            </w:r>
          </w:p>
        </w:tc>
        <w:tc>
          <w:tcPr>
            <w:tcW w:type="dxa" w:w="1440"/>
          </w:tcPr>
          <w:p>
            <w:r>
              <w:t>$6,173.2M</w:t>
            </w:r>
          </w:p>
        </w:tc>
        <w:tc>
          <w:tcPr>
            <w:tcW w:type="dxa" w:w="1440"/>
          </w:tcPr>
          <w:p>
            <w:r>
              <w:t>+27.0%</w:t>
            </w:r>
          </w:p>
        </w:tc>
      </w:tr>
      <w:tr>
        <w:tc>
          <w:tcPr>
            <w:tcW w:type="dxa" w:w="1440"/>
          </w:tcPr>
          <w:p>
            <w:r>
              <w:t>7</w:t>
            </w:r>
          </w:p>
        </w:tc>
        <w:tc>
          <w:tcPr>
            <w:tcW w:type="dxa" w:w="1440"/>
          </w:tcPr>
          <w:p>
            <w:r>
              <w:t>MN</w:t>
            </w:r>
          </w:p>
        </w:tc>
        <w:tc>
          <w:tcPr>
            <w:tcW w:type="dxa" w:w="1440"/>
          </w:tcPr>
          <w:p>
            <w:r>
              <w:t>MNHousing</w:t>
            </w:r>
          </w:p>
        </w:tc>
        <w:tc>
          <w:tcPr>
            <w:tcW w:type="dxa" w:w="1440"/>
          </w:tcPr>
          <w:p>
            <w:r>
              <w:t>$1,649.4M</w:t>
            </w:r>
          </w:p>
        </w:tc>
        <w:tc>
          <w:tcPr>
            <w:tcW w:type="dxa" w:w="1440"/>
          </w:tcPr>
          <w:p>
            <w:r>
              <w:t>$8,543.3M</w:t>
            </w:r>
          </w:p>
        </w:tc>
        <w:tc>
          <w:tcPr>
            <w:tcW w:type="dxa" w:w="1440"/>
          </w:tcPr>
          <w:p>
            <w:r>
              <w:t>+19.3%</w:t>
            </w:r>
          </w:p>
        </w:tc>
      </w:tr>
      <w:tr>
        <w:tc>
          <w:tcPr>
            <w:tcW w:type="dxa" w:w="1440"/>
          </w:tcPr>
          <w:p>
            <w:r>
              <w:t>8</w:t>
            </w:r>
          </w:p>
        </w:tc>
        <w:tc>
          <w:tcPr>
            <w:tcW w:type="dxa" w:w="1440"/>
          </w:tcPr>
          <w:p>
            <w:r>
              <w:t>IL</w:t>
            </w:r>
          </w:p>
        </w:tc>
        <w:tc>
          <w:tcPr>
            <w:tcW w:type="dxa" w:w="1440"/>
          </w:tcPr>
          <w:p>
            <w:r>
              <w:t>IHDA</w:t>
            </w:r>
          </w:p>
        </w:tc>
        <w:tc>
          <w:tcPr>
            <w:tcW w:type="dxa" w:w="1440"/>
          </w:tcPr>
          <w:p>
            <w:r>
              <w:t>$1,533.7M</w:t>
            </w:r>
          </w:p>
        </w:tc>
        <w:tc>
          <w:tcPr>
            <w:tcW w:type="dxa" w:w="1440"/>
          </w:tcPr>
          <w:p>
            <w:r>
              <w:t>$7,846.5M</w:t>
            </w:r>
          </w:p>
        </w:tc>
        <w:tc>
          <w:tcPr>
            <w:tcW w:type="dxa" w:w="1440"/>
          </w:tcPr>
          <w:p>
            <w:r>
              <w:t>+19.5%</w:t>
            </w:r>
          </w:p>
        </w:tc>
      </w:tr>
      <w:tr>
        <w:tc>
          <w:tcPr>
            <w:tcW w:type="dxa" w:w="1440"/>
          </w:tcPr>
          <w:p>
            <w:r>
              <w:t>9</w:t>
            </w:r>
          </w:p>
        </w:tc>
        <w:tc>
          <w:tcPr>
            <w:tcW w:type="dxa" w:w="1440"/>
          </w:tcPr>
          <w:p>
            <w:r>
              <w:t>MI</w:t>
            </w:r>
          </w:p>
        </w:tc>
        <w:tc>
          <w:tcPr>
            <w:tcW w:type="dxa" w:w="1440"/>
          </w:tcPr>
          <w:p>
            <w:r>
              <w:t>MSHDA</w:t>
            </w:r>
          </w:p>
        </w:tc>
        <w:tc>
          <w:tcPr>
            <w:tcW w:type="dxa" w:w="1440"/>
          </w:tcPr>
          <w:p>
            <w:r>
              <w:t>$1,292.0M</w:t>
            </w:r>
          </w:p>
        </w:tc>
        <w:tc>
          <w:tcPr>
            <w:tcW w:type="dxa" w:w="1440"/>
          </w:tcPr>
          <w:p>
            <w:r>
              <w:t>$8,027.8M</w:t>
            </w:r>
          </w:p>
        </w:tc>
        <w:tc>
          <w:tcPr>
            <w:tcW w:type="dxa" w:w="1440"/>
          </w:tcPr>
          <w:p>
            <w:r>
              <w:t>+16.1%</w:t>
            </w:r>
          </w:p>
        </w:tc>
      </w:tr>
      <w:tr>
        <w:tc>
          <w:tcPr>
            <w:tcW w:type="dxa" w:w="1440"/>
          </w:tcPr>
          <w:p>
            <w:r>
              <w:t>10</w:t>
            </w:r>
          </w:p>
        </w:tc>
        <w:tc>
          <w:tcPr>
            <w:tcW w:type="dxa" w:w="1440"/>
          </w:tcPr>
          <w:p>
            <w:r>
              <w:t>WI</w:t>
            </w:r>
          </w:p>
        </w:tc>
        <w:tc>
          <w:tcPr>
            <w:tcW w:type="dxa" w:w="1440"/>
          </w:tcPr>
          <w:p>
            <w:r>
              <w:t>WHEDA</w:t>
            </w:r>
          </w:p>
        </w:tc>
        <w:tc>
          <w:tcPr>
            <w:tcW w:type="dxa" w:w="1440"/>
          </w:tcPr>
          <w:p>
            <w:r>
              <w:t>$1,134.1M</w:t>
            </w:r>
          </w:p>
        </w:tc>
        <w:tc>
          <w:tcPr>
            <w:tcW w:type="dxa" w:w="1440"/>
          </w:tcPr>
          <w:p>
            <w:r>
              <w:t>$4,467.4M</w:t>
            </w:r>
          </w:p>
        </w:tc>
        <w:tc>
          <w:tcPr>
            <w:tcW w:type="dxa" w:w="1440"/>
          </w:tcPr>
          <w:p>
            <w:r>
              <w:t>+25.4%</w:t>
            </w:r>
          </w:p>
        </w:tc>
      </w:tr>
    </w:tbl>
    <w:p>
      <w:r>
        <w:t>Florida, Virginia, and California lead by net position, followed by Hawaii and Massachusetts. Larger agencies typically operate both multifamily housing revenue bond and single-family mortgage programs. Size is not a performance scorecard, but it often correlates with stronger market access, lower marginal funding costs, and greater capacity to finance large affordable housing transactions when federal policy shifts.</w:t>
      </w:r>
    </w:p>
    <w:p>
      <w:pPr>
        <w:pStyle w:val="Heading2"/>
      </w:pPr>
      <w:r>
        <w:t>2.2 Top 10 by Net Position Growth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Net Position Change</w:t>
            </w:r>
          </w:p>
        </w:tc>
        <w:tc>
          <w:tcPr>
            <w:tcW w:type="dxa" w:w="1440"/>
          </w:tcPr>
          <w:p>
            <w:r>
              <w:t>Growth Rate</w:t>
            </w:r>
          </w:p>
        </w:tc>
        <w:tc>
          <w:tcPr>
            <w:tcW w:type="dxa" w:w="1440"/>
          </w:tcPr>
          <w:p>
            <w:r>
              <w:t>FY2025 Net Position</w:t>
            </w:r>
          </w:p>
        </w:tc>
      </w:tr>
      <w:tr>
        <w:tc>
          <w:tcPr>
            <w:tcW w:type="dxa" w:w="1440"/>
          </w:tcPr>
          <w:p>
            <w:r>
              <w:t>1</w:t>
            </w:r>
          </w:p>
        </w:tc>
        <w:tc>
          <w:tcPr>
            <w:tcW w:type="dxa" w:w="1440"/>
          </w:tcPr>
          <w:p>
            <w:r>
              <w:t>MS</w:t>
            </w:r>
          </w:p>
        </w:tc>
        <w:tc>
          <w:tcPr>
            <w:tcW w:type="dxa" w:w="1440"/>
          </w:tcPr>
          <w:p>
            <w:r>
              <w:t>MHC</w:t>
            </w:r>
          </w:p>
        </w:tc>
        <w:tc>
          <w:tcPr>
            <w:tcW w:type="dxa" w:w="1440"/>
          </w:tcPr>
          <w:p>
            <w:r>
              <w:t>$21.3M</w:t>
            </w:r>
          </w:p>
        </w:tc>
        <w:tc>
          <w:tcPr>
            <w:tcW w:type="dxa" w:w="1440"/>
          </w:tcPr>
          <w:p>
            <w:r>
              <w:t>+121.2%</w:t>
            </w:r>
          </w:p>
        </w:tc>
        <w:tc>
          <w:tcPr>
            <w:tcW w:type="dxa" w:w="1440"/>
          </w:tcPr>
          <w:p>
            <w:r>
              <w:t>$38.8M</w:t>
            </w:r>
          </w:p>
        </w:tc>
      </w:tr>
      <w:tr>
        <w:tc>
          <w:tcPr>
            <w:tcW w:type="dxa" w:w="1440"/>
          </w:tcPr>
          <w:p>
            <w:r>
              <w:t>2</w:t>
            </w:r>
          </w:p>
        </w:tc>
        <w:tc>
          <w:tcPr>
            <w:tcW w:type="dxa" w:w="1440"/>
          </w:tcPr>
          <w:p>
            <w:r>
              <w:t>LA</w:t>
            </w:r>
          </w:p>
        </w:tc>
        <w:tc>
          <w:tcPr>
            <w:tcW w:type="dxa" w:w="1440"/>
          </w:tcPr>
          <w:p>
            <w:r>
              <w:t>LHC</w:t>
            </w:r>
          </w:p>
        </w:tc>
        <w:tc>
          <w:tcPr>
            <w:tcW w:type="dxa" w:w="1440"/>
          </w:tcPr>
          <w:p>
            <w:r>
              <w:t>$198.7M</w:t>
            </w:r>
          </w:p>
        </w:tc>
        <w:tc>
          <w:tcPr>
            <w:tcW w:type="dxa" w:w="1440"/>
          </w:tcPr>
          <w:p>
            <w:r>
              <w:t>+31.9%</w:t>
            </w:r>
          </w:p>
        </w:tc>
        <w:tc>
          <w:tcPr>
            <w:tcW w:type="dxa" w:w="1440"/>
          </w:tcPr>
          <w:p>
            <w:r>
              <w:t>$821.7M</w:t>
            </w:r>
          </w:p>
        </w:tc>
      </w:tr>
      <w:tr>
        <w:tc>
          <w:tcPr>
            <w:tcW w:type="dxa" w:w="1440"/>
          </w:tcPr>
          <w:p>
            <w:r>
              <w:t>3</w:t>
            </w:r>
          </w:p>
        </w:tc>
        <w:tc>
          <w:tcPr>
            <w:tcW w:type="dxa" w:w="1440"/>
          </w:tcPr>
          <w:p>
            <w:r>
              <w:t>CT</w:t>
            </w:r>
          </w:p>
        </w:tc>
        <w:tc>
          <w:tcPr>
            <w:tcW w:type="dxa" w:w="1440"/>
          </w:tcPr>
          <w:p>
            <w:r>
              <w:t>CHFA</w:t>
            </w:r>
          </w:p>
        </w:tc>
        <w:tc>
          <w:tcPr>
            <w:tcW w:type="dxa" w:w="1440"/>
          </w:tcPr>
          <w:p>
            <w:r>
              <w:t>$192.6M</w:t>
            </w:r>
          </w:p>
        </w:tc>
        <w:tc>
          <w:tcPr>
            <w:tcW w:type="dxa" w:w="1440"/>
          </w:tcPr>
          <w:p>
            <w:r>
              <w:t>+25.2%</w:t>
            </w:r>
          </w:p>
        </w:tc>
        <w:tc>
          <w:tcPr>
            <w:tcW w:type="dxa" w:w="1440"/>
          </w:tcPr>
          <w:p>
            <w:r>
              <w:t>$957.0M</w:t>
            </w:r>
          </w:p>
        </w:tc>
      </w:tr>
      <w:tr>
        <w:tc>
          <w:tcPr>
            <w:tcW w:type="dxa" w:w="1440"/>
          </w:tcPr>
          <w:p>
            <w:r>
              <w:t>4</w:t>
            </w:r>
          </w:p>
        </w:tc>
        <w:tc>
          <w:tcPr>
            <w:tcW w:type="dxa" w:w="1440"/>
          </w:tcPr>
          <w:p>
            <w:r>
              <w:t>IN</w:t>
            </w:r>
          </w:p>
        </w:tc>
        <w:tc>
          <w:tcPr>
            <w:tcW w:type="dxa" w:w="1440"/>
          </w:tcPr>
          <w:p>
            <w:r>
              <w:t>IHCDA</w:t>
            </w:r>
          </w:p>
        </w:tc>
        <w:tc>
          <w:tcPr>
            <w:tcW w:type="dxa" w:w="1440"/>
          </w:tcPr>
          <w:p>
            <w:r>
              <w:t>$101.6M</w:t>
            </w:r>
          </w:p>
        </w:tc>
        <w:tc>
          <w:tcPr>
            <w:tcW w:type="dxa" w:w="1440"/>
          </w:tcPr>
          <w:p>
            <w:r>
              <w:t>+20.4%</w:t>
            </w:r>
          </w:p>
        </w:tc>
        <w:tc>
          <w:tcPr>
            <w:tcW w:type="dxa" w:w="1440"/>
          </w:tcPr>
          <w:p>
            <w:r>
              <w:t>$599.5M</w:t>
            </w:r>
          </w:p>
        </w:tc>
      </w:tr>
      <w:tr>
        <w:tc>
          <w:tcPr>
            <w:tcW w:type="dxa" w:w="1440"/>
          </w:tcPr>
          <w:p>
            <w:r>
              <w:t>5</w:t>
            </w:r>
          </w:p>
        </w:tc>
        <w:tc>
          <w:tcPr>
            <w:tcW w:type="dxa" w:w="1440"/>
          </w:tcPr>
          <w:p>
            <w:r>
              <w:t>OH</w:t>
            </w:r>
          </w:p>
        </w:tc>
        <w:tc>
          <w:tcPr>
            <w:tcW w:type="dxa" w:w="1440"/>
          </w:tcPr>
          <w:p>
            <w:r>
              <w:t>OHFA</w:t>
            </w:r>
          </w:p>
        </w:tc>
        <w:tc>
          <w:tcPr>
            <w:tcW w:type="dxa" w:w="1440"/>
          </w:tcPr>
          <w:p>
            <w:r>
              <w:t>$86.9M</w:t>
            </w:r>
          </w:p>
        </w:tc>
        <w:tc>
          <w:tcPr>
            <w:tcW w:type="dxa" w:w="1440"/>
          </w:tcPr>
          <w:p>
            <w:r>
              <w:t>+19.8%</w:t>
            </w:r>
          </w:p>
        </w:tc>
        <w:tc>
          <w:tcPr>
            <w:tcW w:type="dxa" w:w="1440"/>
          </w:tcPr>
          <w:p>
            <w:r>
              <w:t>$526.1M</w:t>
            </w:r>
          </w:p>
        </w:tc>
      </w:tr>
      <w:tr>
        <w:tc>
          <w:tcPr>
            <w:tcW w:type="dxa" w:w="1440"/>
          </w:tcPr>
          <w:p>
            <w:r>
              <w:t>6</w:t>
            </w:r>
          </w:p>
        </w:tc>
        <w:tc>
          <w:tcPr>
            <w:tcW w:type="dxa" w:w="1440"/>
          </w:tcPr>
          <w:p>
            <w:r>
              <w:t>MN</w:t>
            </w:r>
          </w:p>
        </w:tc>
        <w:tc>
          <w:tcPr>
            <w:tcW w:type="dxa" w:w="1440"/>
          </w:tcPr>
          <w:p>
            <w:r>
              <w:t>MNHousing</w:t>
            </w:r>
          </w:p>
        </w:tc>
        <w:tc>
          <w:tcPr>
            <w:tcW w:type="dxa" w:w="1440"/>
          </w:tcPr>
          <w:p>
            <w:r>
              <w:t>$259.9M</w:t>
            </w:r>
          </w:p>
        </w:tc>
        <w:tc>
          <w:tcPr>
            <w:tcW w:type="dxa" w:w="1440"/>
          </w:tcPr>
          <w:p>
            <w:r>
              <w:t>+18.7%</w:t>
            </w:r>
          </w:p>
        </w:tc>
        <w:tc>
          <w:tcPr>
            <w:tcW w:type="dxa" w:w="1440"/>
          </w:tcPr>
          <w:p>
            <w:r>
              <w:t>$1,649.4M</w:t>
            </w:r>
          </w:p>
        </w:tc>
      </w:tr>
      <w:tr>
        <w:tc>
          <w:tcPr>
            <w:tcW w:type="dxa" w:w="1440"/>
          </w:tcPr>
          <w:p>
            <w:r>
              <w:t>7</w:t>
            </w:r>
          </w:p>
        </w:tc>
        <w:tc>
          <w:tcPr>
            <w:tcW w:type="dxa" w:w="1440"/>
          </w:tcPr>
          <w:p>
            <w:r>
              <w:t>UT</w:t>
            </w:r>
          </w:p>
        </w:tc>
        <w:tc>
          <w:tcPr>
            <w:tcW w:type="dxa" w:w="1440"/>
          </w:tcPr>
          <w:p>
            <w:r>
              <w:t>UtahHousing</w:t>
            </w:r>
          </w:p>
        </w:tc>
        <w:tc>
          <w:tcPr>
            <w:tcW w:type="dxa" w:w="1440"/>
          </w:tcPr>
          <w:p>
            <w:r>
              <w:t>$96.2M</w:t>
            </w:r>
          </w:p>
        </w:tc>
        <w:tc>
          <w:tcPr>
            <w:tcW w:type="dxa" w:w="1440"/>
          </w:tcPr>
          <w:p>
            <w:r>
              <w:t>+18.7%</w:t>
            </w:r>
          </w:p>
        </w:tc>
        <w:tc>
          <w:tcPr>
            <w:tcW w:type="dxa" w:w="1440"/>
          </w:tcPr>
          <w:p>
            <w:r>
              <w:t>$610.6M</w:t>
            </w:r>
          </w:p>
        </w:tc>
      </w:tr>
      <w:tr>
        <w:tc>
          <w:tcPr>
            <w:tcW w:type="dxa" w:w="1440"/>
          </w:tcPr>
          <w:p>
            <w:r>
              <w:t>8</w:t>
            </w:r>
          </w:p>
        </w:tc>
        <w:tc>
          <w:tcPr>
            <w:tcW w:type="dxa" w:w="1440"/>
          </w:tcPr>
          <w:p>
            <w:r>
              <w:t>WI</w:t>
            </w:r>
          </w:p>
        </w:tc>
        <w:tc>
          <w:tcPr>
            <w:tcW w:type="dxa" w:w="1440"/>
          </w:tcPr>
          <w:p>
            <w:r>
              <w:t>WHEDA</w:t>
            </w:r>
          </w:p>
        </w:tc>
        <w:tc>
          <w:tcPr>
            <w:tcW w:type="dxa" w:w="1440"/>
          </w:tcPr>
          <w:p>
            <w:r>
              <w:t>$169.7M</w:t>
            </w:r>
          </w:p>
        </w:tc>
        <w:tc>
          <w:tcPr>
            <w:tcW w:type="dxa" w:w="1440"/>
          </w:tcPr>
          <w:p>
            <w:r>
              <w:t>+17.6%</w:t>
            </w:r>
          </w:p>
        </w:tc>
        <w:tc>
          <w:tcPr>
            <w:tcW w:type="dxa" w:w="1440"/>
          </w:tcPr>
          <w:p>
            <w:r>
              <w:t>$1,134.1M</w:t>
            </w:r>
          </w:p>
        </w:tc>
      </w:tr>
      <w:tr>
        <w:tc>
          <w:tcPr>
            <w:tcW w:type="dxa" w:w="1440"/>
          </w:tcPr>
          <w:p>
            <w:r>
              <w:t>9</w:t>
            </w:r>
          </w:p>
        </w:tc>
        <w:tc>
          <w:tcPr>
            <w:tcW w:type="dxa" w:w="1440"/>
          </w:tcPr>
          <w:p>
            <w:r>
              <w:t>CO</w:t>
            </w:r>
          </w:p>
        </w:tc>
        <w:tc>
          <w:tcPr>
            <w:tcW w:type="dxa" w:w="1440"/>
          </w:tcPr>
          <w:p>
            <w:r>
              <w:t>CHFA</w:t>
            </w:r>
          </w:p>
        </w:tc>
        <w:tc>
          <w:tcPr>
            <w:tcW w:type="dxa" w:w="1440"/>
          </w:tcPr>
          <w:p>
            <w:r>
              <w:t>$143.3M</w:t>
            </w:r>
          </w:p>
        </w:tc>
        <w:tc>
          <w:tcPr>
            <w:tcW w:type="dxa" w:w="1440"/>
          </w:tcPr>
          <w:p>
            <w:r>
              <w:t>+17.3%</w:t>
            </w:r>
          </w:p>
        </w:tc>
        <w:tc>
          <w:tcPr>
            <w:tcW w:type="dxa" w:w="1440"/>
          </w:tcPr>
          <w:p>
            <w:r>
              <w:t>$971.7M</w:t>
            </w:r>
          </w:p>
        </w:tc>
      </w:tr>
      <w:tr>
        <w:tc>
          <w:tcPr>
            <w:tcW w:type="dxa" w:w="1440"/>
          </w:tcPr>
          <w:p>
            <w:r>
              <w:t>10</w:t>
            </w:r>
          </w:p>
        </w:tc>
        <w:tc>
          <w:tcPr>
            <w:tcW w:type="dxa" w:w="1440"/>
          </w:tcPr>
          <w:p>
            <w:r>
              <w:t>MA</w:t>
            </w:r>
          </w:p>
        </w:tc>
        <w:tc>
          <w:tcPr>
            <w:tcW w:type="dxa" w:w="1440"/>
          </w:tcPr>
          <w:p>
            <w:r>
              <w:t>MassHousing</w:t>
            </w:r>
          </w:p>
        </w:tc>
        <w:tc>
          <w:tcPr>
            <w:tcW w:type="dxa" w:w="1440"/>
          </w:tcPr>
          <w:p>
            <w:r>
              <w:t>$260.7M</w:t>
            </w:r>
          </w:p>
        </w:tc>
        <w:tc>
          <w:tcPr>
            <w:tcW w:type="dxa" w:w="1440"/>
          </w:tcPr>
          <w:p>
            <w:r>
              <w:t>+14.3%</w:t>
            </w:r>
          </w:p>
        </w:tc>
        <w:tc>
          <w:tcPr>
            <w:tcW w:type="dxa" w:w="1440"/>
          </w:tcPr>
          <w:p>
            <w:r>
              <w:t>$2,083.9M</w:t>
            </w:r>
          </w:p>
        </w:tc>
      </w:tr>
    </w:tbl>
    <w:p>
      <w:r>
        <w:t>Mississippi posted the largest year-over-year net position increase in percentage terms (+121.2%), though from a small base as a newly obtained FY2025 filing. Among agencies with an established prior-year base, Louisiana recorded the highest growth, with Connecticut, Indiana, Ohio, Minnesota, and Utah also posting gains in the mid-teens to mid-20s. Rapid growth commonly reflects a rebound in bond issuance, releases of loan-loss reserves or fair-value gains, or stronger fee and spread income from state homebuyer programs. Gains driven mainly by fair-value changes rather than operating results may prove less durable.</w:t>
      </w:r>
    </w:p>
    <w:p>
      <w:pPr>
        <w:pStyle w:val="Heading2"/>
      </w:pPr>
      <w:r>
        <w:t>2.3 Top 10 by Total Assets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State</w:t>
            </w:r>
          </w:p>
        </w:tc>
        <w:tc>
          <w:tcPr>
            <w:tcW w:type="dxa" w:w="1728"/>
          </w:tcPr>
          <w:p>
            <w:r>
              <w:t>Agency</w:t>
            </w:r>
          </w:p>
        </w:tc>
        <w:tc>
          <w:tcPr>
            <w:tcW w:type="dxa" w:w="1728"/>
          </w:tcPr>
          <w:p>
            <w:r>
              <w:t>FY2025 Total Assets</w:t>
            </w:r>
          </w:p>
        </w:tc>
        <w:tc>
          <w:tcPr>
            <w:tcW w:type="dxa" w:w="1728"/>
          </w:tcPr>
          <w:p>
            <w:r>
              <w:t>FY2025 Net Position</w:t>
            </w:r>
          </w:p>
        </w:tc>
      </w:tr>
      <w:tr>
        <w:tc>
          <w:tcPr>
            <w:tcW w:type="dxa" w:w="1728"/>
          </w:tcPr>
          <w:p>
            <w:r>
              <w:t>1</w:t>
            </w:r>
          </w:p>
        </w:tc>
        <w:tc>
          <w:tcPr>
            <w:tcW w:type="dxa" w:w="1728"/>
          </w:tcPr>
          <w:p>
            <w:r>
              <w:t>VA</w:t>
            </w:r>
          </w:p>
        </w:tc>
        <w:tc>
          <w:tcPr>
            <w:tcW w:type="dxa" w:w="1728"/>
          </w:tcPr>
          <w:p>
            <w:r>
              <w:t>VirginiaHousing</w:t>
            </w:r>
          </w:p>
        </w:tc>
        <w:tc>
          <w:tcPr>
            <w:tcW w:type="dxa" w:w="1728"/>
          </w:tcPr>
          <w:p>
            <w:r>
              <w:t>$12,350.1M</w:t>
            </w:r>
          </w:p>
        </w:tc>
        <w:tc>
          <w:tcPr>
            <w:tcW w:type="dxa" w:w="1728"/>
          </w:tcPr>
          <w:p>
            <w:r>
              <w:t>$3,963.1M</w:t>
            </w:r>
          </w:p>
        </w:tc>
      </w:tr>
      <w:tr>
        <w:tc>
          <w:tcPr>
            <w:tcW w:type="dxa" w:w="1728"/>
          </w:tcPr>
          <w:p>
            <w:r>
              <w:t>2</w:t>
            </w:r>
          </w:p>
        </w:tc>
        <w:tc>
          <w:tcPr>
            <w:tcW w:type="dxa" w:w="1728"/>
          </w:tcPr>
          <w:p>
            <w:r>
              <w:t>MN</w:t>
            </w:r>
          </w:p>
        </w:tc>
        <w:tc>
          <w:tcPr>
            <w:tcW w:type="dxa" w:w="1728"/>
          </w:tcPr>
          <w:p>
            <w:r>
              <w:t>MNHousing</w:t>
            </w:r>
          </w:p>
        </w:tc>
        <w:tc>
          <w:tcPr>
            <w:tcW w:type="dxa" w:w="1728"/>
          </w:tcPr>
          <w:p>
            <w:r>
              <w:t>$8,543.3M</w:t>
            </w:r>
          </w:p>
        </w:tc>
        <w:tc>
          <w:tcPr>
            <w:tcW w:type="dxa" w:w="1728"/>
          </w:tcPr>
          <w:p>
            <w:r>
              <w:t>$1,649.4M</w:t>
            </w:r>
          </w:p>
        </w:tc>
      </w:tr>
      <w:tr>
        <w:tc>
          <w:tcPr>
            <w:tcW w:type="dxa" w:w="1728"/>
          </w:tcPr>
          <w:p>
            <w:r>
              <w:t>3</w:t>
            </w:r>
          </w:p>
        </w:tc>
        <w:tc>
          <w:tcPr>
            <w:tcW w:type="dxa" w:w="1728"/>
          </w:tcPr>
          <w:p>
            <w:r>
              <w:t>CO</w:t>
            </w:r>
          </w:p>
        </w:tc>
        <w:tc>
          <w:tcPr>
            <w:tcW w:type="dxa" w:w="1728"/>
          </w:tcPr>
          <w:p>
            <w:r>
              <w:t>CHFA</w:t>
            </w:r>
          </w:p>
        </w:tc>
        <w:tc>
          <w:tcPr>
            <w:tcW w:type="dxa" w:w="1728"/>
          </w:tcPr>
          <w:p>
            <w:r>
              <w:t>$8,385.3M</w:t>
            </w:r>
          </w:p>
        </w:tc>
        <w:tc>
          <w:tcPr>
            <w:tcW w:type="dxa" w:w="1728"/>
          </w:tcPr>
          <w:p>
            <w:r>
              <w:t>$971.7M</w:t>
            </w:r>
          </w:p>
        </w:tc>
      </w:tr>
      <w:tr>
        <w:tc>
          <w:tcPr>
            <w:tcW w:type="dxa" w:w="1728"/>
          </w:tcPr>
          <w:p>
            <w:r>
              <w:t>4</w:t>
            </w:r>
          </w:p>
        </w:tc>
        <w:tc>
          <w:tcPr>
            <w:tcW w:type="dxa" w:w="1728"/>
          </w:tcPr>
          <w:p>
            <w:r>
              <w:t>PA</w:t>
            </w:r>
          </w:p>
        </w:tc>
        <w:tc>
          <w:tcPr>
            <w:tcW w:type="dxa" w:w="1728"/>
          </w:tcPr>
          <w:p>
            <w:r>
              <w:t>PHFA</w:t>
            </w:r>
          </w:p>
        </w:tc>
        <w:tc>
          <w:tcPr>
            <w:tcW w:type="dxa" w:w="1728"/>
          </w:tcPr>
          <w:p>
            <w:r>
              <w:t>$8,211.3M</w:t>
            </w:r>
          </w:p>
        </w:tc>
        <w:tc>
          <w:tcPr>
            <w:tcW w:type="dxa" w:w="1728"/>
          </w:tcPr>
          <w:p>
            <w:r>
              <w:t>$890.3M</w:t>
            </w:r>
          </w:p>
        </w:tc>
      </w:tr>
      <w:tr>
        <w:tc>
          <w:tcPr>
            <w:tcW w:type="dxa" w:w="1728"/>
          </w:tcPr>
          <w:p>
            <w:r>
              <w:t>5</w:t>
            </w:r>
          </w:p>
        </w:tc>
        <w:tc>
          <w:tcPr>
            <w:tcW w:type="dxa" w:w="1728"/>
          </w:tcPr>
          <w:p>
            <w:r>
              <w:t>CT</w:t>
            </w:r>
          </w:p>
        </w:tc>
        <w:tc>
          <w:tcPr>
            <w:tcW w:type="dxa" w:w="1728"/>
          </w:tcPr>
          <w:p>
            <w:r>
              <w:t>CHFA</w:t>
            </w:r>
          </w:p>
        </w:tc>
        <w:tc>
          <w:tcPr>
            <w:tcW w:type="dxa" w:w="1728"/>
          </w:tcPr>
          <w:p>
            <w:r>
              <w:t>$8,122.4M</w:t>
            </w:r>
          </w:p>
        </w:tc>
        <w:tc>
          <w:tcPr>
            <w:tcW w:type="dxa" w:w="1728"/>
          </w:tcPr>
          <w:p>
            <w:r>
              <w:t>$957.0M</w:t>
            </w:r>
          </w:p>
        </w:tc>
      </w:tr>
      <w:tr>
        <w:tc>
          <w:tcPr>
            <w:tcW w:type="dxa" w:w="1728"/>
          </w:tcPr>
          <w:p>
            <w:r>
              <w:t>6</w:t>
            </w:r>
          </w:p>
        </w:tc>
        <w:tc>
          <w:tcPr>
            <w:tcW w:type="dxa" w:w="1728"/>
          </w:tcPr>
          <w:p>
            <w:r>
              <w:t>MA</w:t>
            </w:r>
          </w:p>
        </w:tc>
        <w:tc>
          <w:tcPr>
            <w:tcW w:type="dxa" w:w="1728"/>
          </w:tcPr>
          <w:p>
            <w:r>
              <w:t>MassHousing</w:t>
            </w:r>
          </w:p>
        </w:tc>
        <w:tc>
          <w:tcPr>
            <w:tcW w:type="dxa" w:w="1728"/>
          </w:tcPr>
          <w:p>
            <w:r>
              <w:t>$8,079.7M</w:t>
            </w:r>
          </w:p>
        </w:tc>
        <w:tc>
          <w:tcPr>
            <w:tcW w:type="dxa" w:w="1728"/>
          </w:tcPr>
          <w:p>
            <w:r>
              <w:t>$2,083.9M</w:t>
            </w:r>
          </w:p>
        </w:tc>
      </w:tr>
      <w:tr>
        <w:tc>
          <w:tcPr>
            <w:tcW w:type="dxa" w:w="1728"/>
          </w:tcPr>
          <w:p>
            <w:r>
              <w:t>7</w:t>
            </w:r>
          </w:p>
        </w:tc>
        <w:tc>
          <w:tcPr>
            <w:tcW w:type="dxa" w:w="1728"/>
          </w:tcPr>
          <w:p>
            <w:r>
              <w:t>MI</w:t>
            </w:r>
          </w:p>
        </w:tc>
        <w:tc>
          <w:tcPr>
            <w:tcW w:type="dxa" w:w="1728"/>
          </w:tcPr>
          <w:p>
            <w:r>
              <w:t>MSHDA</w:t>
            </w:r>
          </w:p>
        </w:tc>
        <w:tc>
          <w:tcPr>
            <w:tcW w:type="dxa" w:w="1728"/>
          </w:tcPr>
          <w:p>
            <w:r>
              <w:t>$8,027.8M</w:t>
            </w:r>
          </w:p>
        </w:tc>
        <w:tc>
          <w:tcPr>
            <w:tcW w:type="dxa" w:w="1728"/>
          </w:tcPr>
          <w:p>
            <w:r>
              <w:t>$1,292.0M</w:t>
            </w:r>
          </w:p>
        </w:tc>
      </w:tr>
      <w:tr>
        <w:tc>
          <w:tcPr>
            <w:tcW w:type="dxa" w:w="1728"/>
          </w:tcPr>
          <w:p>
            <w:r>
              <w:t>8</w:t>
            </w:r>
          </w:p>
        </w:tc>
        <w:tc>
          <w:tcPr>
            <w:tcW w:type="dxa" w:w="1728"/>
          </w:tcPr>
          <w:p>
            <w:r>
              <w:t>IL</w:t>
            </w:r>
          </w:p>
        </w:tc>
        <w:tc>
          <w:tcPr>
            <w:tcW w:type="dxa" w:w="1728"/>
          </w:tcPr>
          <w:p>
            <w:r>
              <w:t>IHDA</w:t>
            </w:r>
          </w:p>
        </w:tc>
        <w:tc>
          <w:tcPr>
            <w:tcW w:type="dxa" w:w="1728"/>
          </w:tcPr>
          <w:p>
            <w:r>
              <w:t>$7,846.5M</w:t>
            </w:r>
          </w:p>
        </w:tc>
        <w:tc>
          <w:tcPr>
            <w:tcW w:type="dxa" w:w="1728"/>
          </w:tcPr>
          <w:p>
            <w:r>
              <w:t>$1,533.7M</w:t>
            </w:r>
          </w:p>
        </w:tc>
      </w:tr>
      <w:tr>
        <w:tc>
          <w:tcPr>
            <w:tcW w:type="dxa" w:w="1728"/>
          </w:tcPr>
          <w:p>
            <w:r>
              <w:t>9</w:t>
            </w:r>
          </w:p>
        </w:tc>
        <w:tc>
          <w:tcPr>
            <w:tcW w:type="dxa" w:w="1728"/>
          </w:tcPr>
          <w:p>
            <w:r>
              <w:t>FL</w:t>
            </w:r>
          </w:p>
        </w:tc>
        <w:tc>
          <w:tcPr>
            <w:tcW w:type="dxa" w:w="1728"/>
          </w:tcPr>
          <w:p>
            <w:r>
              <w:t>FloridaHousing</w:t>
            </w:r>
          </w:p>
        </w:tc>
        <w:tc>
          <w:tcPr>
            <w:tcW w:type="dxa" w:w="1728"/>
          </w:tcPr>
          <w:p>
            <w:r>
              <w:t>$7,722.4M</w:t>
            </w:r>
          </w:p>
        </w:tc>
        <w:tc>
          <w:tcPr>
            <w:tcW w:type="dxa" w:w="1728"/>
          </w:tcPr>
          <w:p>
            <w:r>
              <w:t>$4,771.1M</w:t>
            </w:r>
          </w:p>
        </w:tc>
      </w:tr>
      <w:tr>
        <w:tc>
          <w:tcPr>
            <w:tcW w:type="dxa" w:w="1728"/>
          </w:tcPr>
          <w:p>
            <w:r>
              <w:t>10</w:t>
            </w:r>
          </w:p>
        </w:tc>
        <w:tc>
          <w:tcPr>
            <w:tcW w:type="dxa" w:w="1728"/>
          </w:tcPr>
          <w:p>
            <w:r>
              <w:t>IA</w:t>
            </w:r>
          </w:p>
        </w:tc>
        <w:tc>
          <w:tcPr>
            <w:tcW w:type="dxa" w:w="1728"/>
          </w:tcPr>
          <w:p>
            <w:r>
              <w:t>IFA</w:t>
            </w:r>
          </w:p>
        </w:tc>
        <w:tc>
          <w:tcPr>
            <w:tcW w:type="dxa" w:w="1728"/>
          </w:tcPr>
          <w:p>
            <w:r>
              <w:t>$6,173.2M</w:t>
            </w:r>
          </w:p>
        </w:tc>
        <w:tc>
          <w:tcPr>
            <w:tcW w:type="dxa" w:w="1728"/>
          </w:tcPr>
          <w:p>
            <w:r>
              <w:t>$1,664.6M</w:t>
            </w:r>
          </w:p>
        </w:tc>
      </w:tr>
    </w:tbl>
    <w:p>
      <w:pPr>
        <w:pStyle w:val="Heading2"/>
      </w:pPr>
      <w:r>
        <w:t>2.4 Top 10 by Net Position Ratio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State</w:t>
            </w:r>
          </w:p>
        </w:tc>
        <w:tc>
          <w:tcPr>
            <w:tcW w:type="dxa" w:w="1440"/>
          </w:tcPr>
          <w:p>
            <w:r>
              <w:t>Agency</w:t>
            </w:r>
          </w:p>
        </w:tc>
        <w:tc>
          <w:tcPr>
            <w:tcW w:type="dxa" w:w="1440"/>
          </w:tcPr>
          <w:p>
            <w:r>
              <w:t>Net Position Ratio</w:t>
            </w:r>
          </w:p>
        </w:tc>
        <w:tc>
          <w:tcPr>
            <w:tcW w:type="dxa" w:w="1440"/>
          </w:tcPr>
          <w:p>
            <w:r>
              <w:t>FY2025 Net Position</w:t>
            </w:r>
          </w:p>
        </w:tc>
        <w:tc>
          <w:tcPr>
            <w:tcW w:type="dxa" w:w="1440"/>
          </w:tcPr>
          <w:p>
            <w:r>
              <w:t>FY2025 Total Assets</w:t>
            </w:r>
          </w:p>
        </w:tc>
      </w:tr>
      <w:tr>
        <w:tc>
          <w:tcPr>
            <w:tcW w:type="dxa" w:w="1440"/>
          </w:tcPr>
          <w:p>
            <w:r>
              <w:t>1</w:t>
            </w:r>
          </w:p>
        </w:tc>
        <w:tc>
          <w:tcPr>
            <w:tcW w:type="dxa" w:w="1440"/>
          </w:tcPr>
          <w:p>
            <w:r>
              <w:t>HI</w:t>
            </w:r>
          </w:p>
        </w:tc>
        <w:tc>
          <w:tcPr>
            <w:tcW w:type="dxa" w:w="1440"/>
          </w:tcPr>
          <w:p>
            <w:r>
              <w:t>HHFDC</w:t>
            </w:r>
          </w:p>
        </w:tc>
        <w:tc>
          <w:tcPr>
            <w:tcW w:type="dxa" w:w="1440"/>
          </w:tcPr>
          <w:p>
            <w:r>
              <w:t>+98.0%</w:t>
            </w:r>
          </w:p>
        </w:tc>
        <w:tc>
          <w:tcPr>
            <w:tcW w:type="dxa" w:w="1440"/>
          </w:tcPr>
          <w:p>
            <w:r>
              <w:t>$2,653.2M</w:t>
            </w:r>
          </w:p>
        </w:tc>
        <w:tc>
          <w:tcPr>
            <w:tcW w:type="dxa" w:w="1440"/>
          </w:tcPr>
          <w:p>
            <w:r>
              <w:t>$2,708.7M</w:t>
            </w:r>
          </w:p>
        </w:tc>
      </w:tr>
      <w:tr>
        <w:tc>
          <w:tcPr>
            <w:tcW w:type="dxa" w:w="1440"/>
          </w:tcPr>
          <w:p>
            <w:r>
              <w:t>2</w:t>
            </w:r>
          </w:p>
        </w:tc>
        <w:tc>
          <w:tcPr>
            <w:tcW w:type="dxa" w:w="1440"/>
          </w:tcPr>
          <w:p>
            <w:r>
              <w:t>KS</w:t>
            </w:r>
          </w:p>
        </w:tc>
        <w:tc>
          <w:tcPr>
            <w:tcW w:type="dxa" w:w="1440"/>
          </w:tcPr>
          <w:p>
            <w:r>
              <w:t>KHRC</w:t>
            </w:r>
          </w:p>
        </w:tc>
        <w:tc>
          <w:tcPr>
            <w:tcW w:type="dxa" w:w="1440"/>
          </w:tcPr>
          <w:p>
            <w:r>
              <w:t>+81.2%</w:t>
            </w:r>
          </w:p>
        </w:tc>
        <w:tc>
          <w:tcPr>
            <w:tcW w:type="dxa" w:w="1440"/>
          </w:tcPr>
          <w:p>
            <w:r>
              <w:t>$78.7M</w:t>
            </w:r>
          </w:p>
        </w:tc>
        <w:tc>
          <w:tcPr>
            <w:tcW w:type="dxa" w:w="1440"/>
          </w:tcPr>
          <w:p>
            <w:r>
              <w:t>$96.9M</w:t>
            </w:r>
          </w:p>
        </w:tc>
      </w:tr>
      <w:tr>
        <w:tc>
          <w:tcPr>
            <w:tcW w:type="dxa" w:w="1440"/>
          </w:tcPr>
          <w:p>
            <w:r>
              <w:t>3</w:t>
            </w:r>
          </w:p>
        </w:tc>
        <w:tc>
          <w:tcPr>
            <w:tcW w:type="dxa" w:w="1440"/>
          </w:tcPr>
          <w:p>
            <w:r>
              <w:t>CA</w:t>
            </w:r>
          </w:p>
        </w:tc>
        <w:tc>
          <w:tcPr>
            <w:tcW w:type="dxa" w:w="1440"/>
          </w:tcPr>
          <w:p>
            <w:r>
              <w:t>CalHFA</w:t>
            </w:r>
          </w:p>
        </w:tc>
        <w:tc>
          <w:tcPr>
            <w:tcW w:type="dxa" w:w="1440"/>
          </w:tcPr>
          <w:p>
            <w:r>
              <w:t>+69.1%</w:t>
            </w:r>
          </w:p>
        </w:tc>
        <w:tc>
          <w:tcPr>
            <w:tcW w:type="dxa" w:w="1440"/>
          </w:tcPr>
          <w:p>
            <w:r>
              <w:t>$3,442.9M</w:t>
            </w:r>
          </w:p>
        </w:tc>
        <w:tc>
          <w:tcPr>
            <w:tcW w:type="dxa" w:w="1440"/>
          </w:tcPr>
          <w:p>
            <w:r>
              <w:t>$4,980.0M</w:t>
            </w:r>
          </w:p>
        </w:tc>
      </w:tr>
      <w:tr>
        <w:tc>
          <w:tcPr>
            <w:tcW w:type="dxa" w:w="1440"/>
          </w:tcPr>
          <w:p>
            <w:r>
              <w:t>4</w:t>
            </w:r>
          </w:p>
        </w:tc>
        <w:tc>
          <w:tcPr>
            <w:tcW w:type="dxa" w:w="1440"/>
          </w:tcPr>
          <w:p>
            <w:r>
              <w:t>FL</w:t>
            </w:r>
          </w:p>
        </w:tc>
        <w:tc>
          <w:tcPr>
            <w:tcW w:type="dxa" w:w="1440"/>
          </w:tcPr>
          <w:p>
            <w:r>
              <w:t>FloridaHousing</w:t>
            </w:r>
          </w:p>
        </w:tc>
        <w:tc>
          <w:tcPr>
            <w:tcW w:type="dxa" w:w="1440"/>
          </w:tcPr>
          <w:p>
            <w:r>
              <w:t>+61.8%</w:t>
            </w:r>
          </w:p>
        </w:tc>
        <w:tc>
          <w:tcPr>
            <w:tcW w:type="dxa" w:w="1440"/>
          </w:tcPr>
          <w:p>
            <w:r>
              <w:t>$4,771.1M</w:t>
            </w:r>
          </w:p>
        </w:tc>
        <w:tc>
          <w:tcPr>
            <w:tcW w:type="dxa" w:w="1440"/>
          </w:tcPr>
          <w:p>
            <w:r>
              <w:t>$7,722.4M</w:t>
            </w:r>
          </w:p>
        </w:tc>
      </w:tr>
      <w:tr>
        <w:tc>
          <w:tcPr>
            <w:tcW w:type="dxa" w:w="1440"/>
          </w:tcPr>
          <w:p>
            <w:r>
              <w:t>5</w:t>
            </w:r>
          </w:p>
        </w:tc>
        <w:tc>
          <w:tcPr>
            <w:tcW w:type="dxa" w:w="1440"/>
          </w:tcPr>
          <w:p>
            <w:r>
              <w:t>LA</w:t>
            </w:r>
          </w:p>
        </w:tc>
        <w:tc>
          <w:tcPr>
            <w:tcW w:type="dxa" w:w="1440"/>
          </w:tcPr>
          <w:p>
            <w:r>
              <w:t>LHC</w:t>
            </w:r>
          </w:p>
        </w:tc>
        <w:tc>
          <w:tcPr>
            <w:tcW w:type="dxa" w:w="1440"/>
          </w:tcPr>
          <w:p>
            <w:r>
              <w:t>+53.2%</w:t>
            </w:r>
          </w:p>
        </w:tc>
        <w:tc>
          <w:tcPr>
            <w:tcW w:type="dxa" w:w="1440"/>
          </w:tcPr>
          <w:p>
            <w:r>
              <w:t>$821.7M</w:t>
            </w:r>
          </w:p>
        </w:tc>
        <w:tc>
          <w:tcPr>
            <w:tcW w:type="dxa" w:w="1440"/>
          </w:tcPr>
          <w:p>
            <w:r>
              <w:t>$1,545.0M</w:t>
            </w:r>
          </w:p>
        </w:tc>
      </w:tr>
      <w:tr>
        <w:tc>
          <w:tcPr>
            <w:tcW w:type="dxa" w:w="1440"/>
          </w:tcPr>
          <w:p>
            <w:r>
              <w:t>6</w:t>
            </w:r>
          </w:p>
        </w:tc>
        <w:tc>
          <w:tcPr>
            <w:tcW w:type="dxa" w:w="1440"/>
          </w:tcPr>
          <w:p>
            <w:r>
              <w:t>DE</w:t>
            </w:r>
          </w:p>
        </w:tc>
        <w:tc>
          <w:tcPr>
            <w:tcW w:type="dxa" w:w="1440"/>
          </w:tcPr>
          <w:p>
            <w:r>
              <w:t>DSHA</w:t>
            </w:r>
          </w:p>
        </w:tc>
        <w:tc>
          <w:tcPr>
            <w:tcW w:type="dxa" w:w="1440"/>
          </w:tcPr>
          <w:p>
            <w:r>
              <w:t>+46.8%</w:t>
            </w:r>
          </w:p>
        </w:tc>
        <w:tc>
          <w:tcPr>
            <w:tcW w:type="dxa" w:w="1440"/>
          </w:tcPr>
          <w:p>
            <w:r>
              <w:t>$732.5M</w:t>
            </w:r>
          </w:p>
        </w:tc>
        <w:tc>
          <w:tcPr>
            <w:tcW w:type="dxa" w:w="1440"/>
          </w:tcPr>
          <w:p>
            <w:r>
              <w:t>$1,564.9M</w:t>
            </w:r>
          </w:p>
        </w:tc>
      </w:tr>
      <w:tr>
        <w:tc>
          <w:tcPr>
            <w:tcW w:type="dxa" w:w="1440"/>
          </w:tcPr>
          <w:p>
            <w:r>
              <w:t>7</w:t>
            </w:r>
          </w:p>
        </w:tc>
        <w:tc>
          <w:tcPr>
            <w:tcW w:type="dxa" w:w="1440"/>
          </w:tcPr>
          <w:p>
            <w:r>
              <w:t>AR</w:t>
            </w:r>
          </w:p>
        </w:tc>
        <w:tc>
          <w:tcPr>
            <w:tcW w:type="dxa" w:w="1440"/>
          </w:tcPr>
          <w:p>
            <w:r>
              <w:t>ADFA</w:t>
            </w:r>
          </w:p>
        </w:tc>
        <w:tc>
          <w:tcPr>
            <w:tcW w:type="dxa" w:w="1440"/>
          </w:tcPr>
          <w:p>
            <w:r>
              <w:t>+46.5%</w:t>
            </w:r>
          </w:p>
        </w:tc>
        <w:tc>
          <w:tcPr>
            <w:tcW w:type="dxa" w:w="1440"/>
          </w:tcPr>
          <w:p>
            <w:r>
              <w:t>$530.8M</w:t>
            </w:r>
          </w:p>
        </w:tc>
        <w:tc>
          <w:tcPr>
            <w:tcW w:type="dxa" w:w="1440"/>
          </w:tcPr>
          <w:p>
            <w:r>
              <w:t>$1,142.2M</w:t>
            </w:r>
          </w:p>
        </w:tc>
      </w:tr>
      <w:tr>
        <w:tc>
          <w:tcPr>
            <w:tcW w:type="dxa" w:w="1440"/>
          </w:tcPr>
          <w:p>
            <w:r>
              <w:t>8</w:t>
            </w:r>
          </w:p>
        </w:tc>
        <w:tc>
          <w:tcPr>
            <w:tcW w:type="dxa" w:w="1440"/>
          </w:tcPr>
          <w:p>
            <w:r>
              <w:t>WA</w:t>
            </w:r>
          </w:p>
        </w:tc>
        <w:tc>
          <w:tcPr>
            <w:tcW w:type="dxa" w:w="1440"/>
          </w:tcPr>
          <w:p>
            <w:r>
              <w:t>WSHFC</w:t>
            </w:r>
          </w:p>
        </w:tc>
        <w:tc>
          <w:tcPr>
            <w:tcW w:type="dxa" w:w="1440"/>
          </w:tcPr>
          <w:p>
            <w:r>
              <w:t>+42.1%</w:t>
            </w:r>
          </w:p>
        </w:tc>
        <w:tc>
          <w:tcPr>
            <w:tcW w:type="dxa" w:w="1440"/>
          </w:tcPr>
          <w:p>
            <w:r>
              <w:t>$1,064.1M</w:t>
            </w:r>
          </w:p>
        </w:tc>
        <w:tc>
          <w:tcPr>
            <w:tcW w:type="dxa" w:w="1440"/>
          </w:tcPr>
          <w:p>
            <w:r>
              <w:t>$2,525.7M</w:t>
            </w:r>
          </w:p>
        </w:tc>
      </w:tr>
      <w:tr>
        <w:tc>
          <w:tcPr>
            <w:tcW w:type="dxa" w:w="1440"/>
          </w:tcPr>
          <w:p>
            <w:r>
              <w:t>9</w:t>
            </w:r>
          </w:p>
        </w:tc>
        <w:tc>
          <w:tcPr>
            <w:tcW w:type="dxa" w:w="1440"/>
          </w:tcPr>
          <w:p>
            <w:r>
              <w:t>WV</w:t>
            </w:r>
          </w:p>
        </w:tc>
        <w:tc>
          <w:tcPr>
            <w:tcW w:type="dxa" w:w="1440"/>
          </w:tcPr>
          <w:p>
            <w:r>
              <w:t>WVHDF</w:t>
            </w:r>
          </w:p>
        </w:tc>
        <w:tc>
          <w:tcPr>
            <w:tcW w:type="dxa" w:w="1440"/>
          </w:tcPr>
          <w:p>
            <w:r>
              <w:t>+39.8%</w:t>
            </w:r>
          </w:p>
        </w:tc>
        <w:tc>
          <w:tcPr>
            <w:tcW w:type="dxa" w:w="1440"/>
          </w:tcPr>
          <w:p>
            <w:r>
              <w:t>$640.0M</w:t>
            </w:r>
          </w:p>
        </w:tc>
        <w:tc>
          <w:tcPr>
            <w:tcW w:type="dxa" w:w="1440"/>
          </w:tcPr>
          <w:p>
            <w:r>
              <w:t>$1,607.0M</w:t>
            </w:r>
          </w:p>
        </w:tc>
      </w:tr>
      <w:tr>
        <w:tc>
          <w:tcPr>
            <w:tcW w:type="dxa" w:w="1440"/>
          </w:tcPr>
          <w:p>
            <w:r>
              <w:t>10</w:t>
            </w:r>
          </w:p>
        </w:tc>
        <w:tc>
          <w:tcPr>
            <w:tcW w:type="dxa" w:w="1440"/>
          </w:tcPr>
          <w:p>
            <w:r>
              <w:t>AL</w:t>
            </w:r>
          </w:p>
        </w:tc>
        <w:tc>
          <w:tcPr>
            <w:tcW w:type="dxa" w:w="1440"/>
          </w:tcPr>
          <w:p>
            <w:r>
              <w:t>AHFA</w:t>
            </w:r>
          </w:p>
        </w:tc>
        <w:tc>
          <w:tcPr>
            <w:tcW w:type="dxa" w:w="1440"/>
          </w:tcPr>
          <w:p>
            <w:r>
              <w:t>+37.8%</w:t>
            </w:r>
          </w:p>
        </w:tc>
        <w:tc>
          <w:tcPr>
            <w:tcW w:type="dxa" w:w="1440"/>
          </w:tcPr>
          <w:p>
            <w:r>
              <w:t>$516.0M</w:t>
            </w:r>
          </w:p>
        </w:tc>
        <w:tc>
          <w:tcPr>
            <w:tcW w:type="dxa" w:w="1440"/>
          </w:tcPr>
          <w:p>
            <w:r>
              <w:t>$1,364.9M</w:t>
            </w:r>
          </w:p>
        </w:tc>
      </w:tr>
    </w:tbl>
    <w:p>
      <w:r>
        <w:t>Among larger agencies, Hawaii and California show the highest net position ratios; Florida and Louisiana also sit well above typical peer levels. Smaller HFAs can post elevated ratios because of simpler balance sheets, so size and ratio should be read together. A thicker cushion generally provides more flexibility under asset impairments, interest-rate stress, or narrower refinancing windows.</w:t>
      </w:r>
    </w:p>
    <w:p>
      <w:pPr>
        <w:pStyle w:val="Heading1"/>
      </w:pPr>
      <w:r>
        <w:t>III. Operating Models: Five Archetypes</w:t>
      </w:r>
    </w:p>
    <w:p>
      <w:r>
        <w:t>FY2025 disclosures suggest five broad operating models useful for cross-state comparison:</w:t>
      </w:r>
    </w:p>
    <w:p>
      <w:pPr>
        <w:pStyle w:val="ListBullet"/>
      </w:pPr>
      <w:r>
        <w:rPr>
          <w:b/>
        </w:rPr>
        <w:t xml:space="preserve">Bond-financed large agencies: </w:t>
      </w:r>
      <w:r>
        <w:t>Examples include Virginia, Minnesota, Colorado, Connecticut, Michigan, and Illinois: large asset bases with liabilities expanding in parallel, and heavy reliance on multifamily and single-family bond programs and GSE channels.</w:t>
      </w:r>
    </w:p>
    <w:p>
      <w:pPr>
        <w:pStyle w:val="ListBullet"/>
      </w:pPr>
      <w:r>
        <w:rPr>
          <w:b/>
        </w:rPr>
        <w:t xml:space="preserve">High-growth mid-to-large agencies: </w:t>
      </w:r>
      <w:r>
        <w:t>Examples include Louisiana, Connecticut, Indiana, Ohio, and Utah: double-digit net position growth on mid-to-large balance sheets, illustrating how issuance cycles and program mix can strengthen equity.</w:t>
      </w:r>
    </w:p>
    <w:p>
      <w:pPr>
        <w:pStyle w:val="ListBullet"/>
      </w:pPr>
      <w:r>
        <w:rPr>
          <w:b/>
        </w:rPr>
        <w:t xml:space="preserve">Integrated state-department models: </w:t>
      </w:r>
      <w:r>
        <w:t>Texas TDHCA is representative: governmental and business-type funds operate in parallel, so the disclosure basis and consolidation scope require careful reading.</w:t>
      </w:r>
    </w:p>
    <w:p>
      <w:pPr>
        <w:pStyle w:val="ListBullet"/>
      </w:pPr>
      <w:r>
        <w:rPr>
          <w:b/>
        </w:rPr>
        <w:t xml:space="preserve">High-cost coastal markets: </w:t>
      </w:r>
      <w:r>
        <w:t>California and Washington are illustrative (New York entity-level filings remain limited). Results track home prices, construction costs, and project pipelines closely. In FY2025, CalHFA reported net position of about $3.44 billion and total assets near $5.0 billion, remaining among the largest state housing finance agencies.</w:t>
      </w:r>
    </w:p>
    <w:p>
      <w:pPr>
        <w:pStyle w:val="ListBullet"/>
      </w:pPr>
      <w:r>
        <w:rPr>
          <w:b/>
        </w:rPr>
        <w:t xml:space="preserve">Resource and low-density states: </w:t>
      </w:r>
      <w:r>
        <w:t>Wyoming, North Dakota, South Dakota, and New Mexico often show more volatile issuance cycles; individual projects can move the financial statements materially.</w:t>
      </w:r>
    </w:p>
    <w:p>
      <w:pPr>
        <w:pStyle w:val="Heading1"/>
      </w:pPr>
      <w:r>
        <w:t>IV. Interpreting the Numbers</w:t>
      </w:r>
    </w:p>
    <w:p>
      <w:r>
        <w:rPr>
          <w:b/>
        </w:rPr>
        <w:t xml:space="preserve">Scale does not guarantee safety. </w:t>
      </w:r>
      <w:r>
        <w:t>The largest asset bases often carry the highest liabilities and derivative exposure. While interest-rate paths remain uncertain, net position ratio and cash-flow capacity deserve as much attention as asset rankings.</w:t>
      </w:r>
    </w:p>
    <w:p>
      <w:r>
        <w:rPr>
          <w:b/>
        </w:rPr>
        <w:t xml:space="preserve">Net position growth is not housing production. </w:t>
      </w:r>
      <w:r>
        <w:t>Under GAAP, net position can change with investment fair value, loss provisions, or bond premium amortization. Housing output should be validated against program reports (units financed, bonds issued).</w:t>
      </w:r>
    </w:p>
    <w:p>
      <w:r>
        <w:rPr>
          <w:b/>
        </w:rPr>
        <w:t xml:space="preserve">Disclosure quality has market value. </w:t>
      </w:r>
      <w:r>
        <w:t>Agencies that earn the GFOA Certificate of Achievement (for example, Illinois IHDA) tend to publish clearer MD&amp;A, which can reduce investor due-diligence costs and, indirectly, support tighter bond spreads.</w:t>
      </w:r>
    </w:p>
    <w:p>
      <w:pPr>
        <w:pStyle w:val="Heading1"/>
      </w:pPr>
      <w:r>
        <w:t>V. Recommendations for FY2026 and Beyond</w:t>
      </w:r>
    </w:p>
    <w:p>
      <w:pPr>
        <w:pStyle w:val="ListNumber"/>
      </w:pPr>
      <w:r>
        <w:rPr>
          <w:b/>
        </w:rPr>
        <w:t xml:space="preserve">Adopt a common HFA financial health framework. </w:t>
      </w:r>
      <w:r>
        <w:t>Standardize disclosure of net position ratio, debt service coverage, delinquency rates, LIHTC pipeline, and the single-family versus multifamily mix so that fragmented narratives can be replaced with comparable metrics.</w:t>
      </w:r>
    </w:p>
    <w:p>
      <w:pPr>
        <w:pStyle w:val="ListNumber"/>
      </w:pPr>
      <w:r>
        <w:rPr>
          <w:b/>
        </w:rPr>
        <w:t xml:space="preserve">Connect affordability outcomes to the financial statements. </w:t>
      </w:r>
      <w:r>
        <w:t>Add MD&amp;A unit-cost metrics—affordable units per $1 million of bond proceeds, and first-time buyers supported per dollar of net position—to link reported finances to housing results.</w:t>
      </w:r>
    </w:p>
    <w:p>
      <w:pPr>
        <w:pStyle w:val="ListNumber"/>
      </w:pPr>
      <w:r>
        <w:rPr>
          <w:b/>
        </w:rPr>
        <w:t xml:space="preserve">Expand regional bond pooling and risk sharing. </w:t>
      </w:r>
      <w:r>
        <w:t>Smaller HFAs may lower issuance costs through regional bond pools. Larger HFAs may benefit from more standardized hedging for disaster and interest-rate risk.</w:t>
      </w:r>
    </w:p>
    <w:p>
      <w:pPr>
        <w:pStyle w:val="ListNumber"/>
      </w:pPr>
      <w:r>
        <w:rPr>
          <w:b/>
        </w:rPr>
        <w:t xml:space="preserve">Publish machine-readable disclosures. </w:t>
      </w:r>
      <w:r>
        <w:t>XBRL or structured CSV supplements would help researchers, rating agencies, and federal partners monitor HFAs on a more timely basis.</w:t>
      </w:r>
    </w:p>
    <w:p>
      <w:pPr>
        <w:pStyle w:val="ListNumber"/>
      </w:pPr>
      <w:r>
        <w:rPr>
          <w:b/>
        </w:rPr>
        <w:t xml:space="preserve">Track the missing-middle segment (80%–120% AMI). </w:t>
      </w:r>
      <w:r>
        <w:t>Treat middle-income projects as a distinct planning category so resources are not concentrated only at the lowest AMI tiers and the market-rate end of the spectrum, which can leave teachers, nurses, and similar workers underserved.</w:t>
      </w:r>
    </w:p>
    <w:p>
      <w:pPr>
        <w:pStyle w:val="Heading1"/>
      </w:pPr>
      <w:r>
        <w:t>VI. Data Coverage and File Inventory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Agency</w:t>
            </w:r>
          </w:p>
        </w:tc>
        <w:tc>
          <w:tcPr>
            <w:tcW w:type="dxa" w:w="1728"/>
          </w:tcPr>
          <w:p>
            <w:r>
              <w:t>Status</w:t>
            </w:r>
          </w:p>
        </w:tc>
        <w:tc>
          <w:tcPr>
            <w:tcW w:type="dxa" w:w="1728"/>
          </w:tcPr>
          <w:p>
            <w:r>
              <w:t>File Name</w:t>
            </w:r>
          </w:p>
        </w:tc>
        <w:tc>
          <w:tcPr>
            <w:tcW w:type="dxa" w:w="1728"/>
          </w:tcPr>
          <w:p>
            <w:r>
              <w:t>Notes</w:t>
            </w:r>
          </w:p>
        </w:tc>
      </w:tr>
      <w:tr>
        <w:tc>
          <w:tcPr>
            <w:tcW w:type="dxa" w:w="1728"/>
          </w:tcPr>
          <w:p>
            <w:r>
              <w:t>AK</w:t>
            </w:r>
          </w:p>
        </w:tc>
        <w:tc>
          <w:tcPr>
            <w:tcW w:type="dxa" w:w="1728"/>
          </w:tcPr>
          <w:p>
            <w:r>
              <w:t>AHFC</w:t>
            </w:r>
          </w:p>
        </w:tc>
        <w:tc>
          <w:tcPr>
            <w:tcW w:type="dxa" w:w="1728"/>
          </w:tcPr>
          <w:p>
            <w:r>
              <w:t>Downloaded</w:t>
            </w:r>
          </w:p>
        </w:tc>
        <w:tc>
          <w:tcPr>
            <w:tcW w:type="dxa" w:w="1728"/>
          </w:tcPr>
          <w:p>
            <w:r>
              <w:t>AK_AHFC_FY2025_ACFR.pdf</w:t>
            </w:r>
          </w:p>
        </w:tc>
        <w:tc>
          <w:tcPr>
            <w:tcW w:type="dxa" w:w="1728"/>
          </w:tcPr>
          <w:p>
            <w:r>
              <w:t>-</w:t>
            </w:r>
          </w:p>
        </w:tc>
      </w:tr>
      <w:tr>
        <w:tc>
          <w:tcPr>
            <w:tcW w:type="dxa" w:w="1728"/>
          </w:tcPr>
          <w:p>
            <w:r>
              <w:t>AL</w:t>
            </w:r>
          </w:p>
        </w:tc>
        <w:tc>
          <w:tcPr>
            <w:tcW w:type="dxa" w:w="1728"/>
          </w:tcPr>
          <w:p>
            <w:r>
              <w:t>AHFA</w:t>
            </w:r>
          </w:p>
        </w:tc>
        <w:tc>
          <w:tcPr>
            <w:tcW w:type="dxa" w:w="1728"/>
          </w:tcPr>
          <w:p>
            <w:r>
              <w:t>Downloaded</w:t>
            </w:r>
          </w:p>
        </w:tc>
        <w:tc>
          <w:tcPr>
            <w:tcW w:type="dxa" w:w="1728"/>
          </w:tcPr>
          <w:p>
            <w:r>
              <w:t>AL_AHFA_FY2025_ACFR.pdf</w:t>
            </w:r>
          </w:p>
        </w:tc>
        <w:tc>
          <w:tcPr>
            <w:tcW w:type="dxa" w:w="1728"/>
          </w:tcPr>
          <w:p>
            <w:r>
              <w:t>-</w:t>
            </w:r>
          </w:p>
        </w:tc>
      </w:tr>
      <w:tr>
        <w:tc>
          <w:tcPr>
            <w:tcW w:type="dxa" w:w="1728"/>
          </w:tcPr>
          <w:p>
            <w:r>
              <w:t>AR</w:t>
            </w:r>
          </w:p>
        </w:tc>
        <w:tc>
          <w:tcPr>
            <w:tcW w:type="dxa" w:w="1728"/>
          </w:tcPr>
          <w:p>
            <w:r>
              <w:t>ADFA</w:t>
            </w:r>
          </w:p>
        </w:tc>
        <w:tc>
          <w:tcPr>
            <w:tcW w:type="dxa" w:w="1728"/>
          </w:tcPr>
          <w:p>
            <w:r>
              <w:t>Downloaded</w:t>
            </w:r>
          </w:p>
        </w:tc>
        <w:tc>
          <w:tcPr>
            <w:tcW w:type="dxa" w:w="1728"/>
          </w:tcPr>
          <w:p>
            <w:r>
              <w:t>AR_ADFA_FY2025_ACFR.pdf</w:t>
            </w:r>
          </w:p>
        </w:tc>
        <w:tc>
          <w:tcPr>
            <w:tcW w:type="dxa" w:w="1728"/>
          </w:tcPr>
          <w:p>
            <w:r>
              <w:t>Growth rate verified manually against the ACFR</w:t>
            </w:r>
          </w:p>
        </w:tc>
      </w:tr>
      <w:tr>
        <w:tc>
          <w:tcPr>
            <w:tcW w:type="dxa" w:w="1728"/>
          </w:tcPr>
          <w:p>
            <w:r>
              <w:t>AZ</w:t>
            </w:r>
          </w:p>
        </w:tc>
        <w:tc>
          <w:tcPr>
            <w:tcW w:type="dxa" w:w="1728"/>
          </w:tcPr>
          <w:p>
            <w:r>
              <w:t>ADOH</w:t>
            </w:r>
          </w:p>
        </w:tc>
        <w:tc>
          <w:tcPr>
            <w:tcW w:type="dxa" w:w="1728"/>
          </w:tcPr>
          <w:p>
            <w:r>
              <w:t>Not available</w:t>
            </w:r>
          </w:p>
        </w:tc>
        <w:tc>
          <w:tcPr>
            <w:tcW w:type="dxa" w:w="1728"/>
          </w:tcPr>
          <w:p>
            <w:r>
              <w:t>-</w:t>
            </w:r>
          </w:p>
        </w:tc>
        <w:tc>
          <w:tcPr>
            <w:tcW w:type="dxa" w:w="1728"/>
          </w:tcPr>
          <w:p>
            <w:r>
              <w:t>FY2025 PDF link not found</w:t>
            </w:r>
          </w:p>
        </w:tc>
      </w:tr>
      <w:tr>
        <w:tc>
          <w:tcPr>
            <w:tcW w:type="dxa" w:w="1728"/>
          </w:tcPr>
          <w:p>
            <w:r>
              <w:t>CA</w:t>
            </w:r>
          </w:p>
        </w:tc>
        <w:tc>
          <w:tcPr>
            <w:tcW w:type="dxa" w:w="1728"/>
          </w:tcPr>
          <w:p>
            <w:r>
              <w:t>CalHFA</w:t>
            </w:r>
          </w:p>
        </w:tc>
        <w:tc>
          <w:tcPr>
            <w:tcW w:type="dxa" w:w="1728"/>
          </w:tcPr>
          <w:p>
            <w:r>
              <w:t>Downloaded</w:t>
            </w:r>
          </w:p>
        </w:tc>
        <w:tc>
          <w:tcPr>
            <w:tcW w:type="dxa" w:w="1728"/>
          </w:tcPr>
          <w:p>
            <w:r>
              <w:t>CA_CalHFA_FY2025_ACFR.pdf</w:t>
            </w:r>
          </w:p>
        </w:tc>
        <w:tc>
          <w:tcPr>
            <w:tcW w:type="dxa" w:w="1728"/>
          </w:tcPr>
          <w:p>
            <w:r>
              <w:t>Core metrics not auto-extracted; manual PDF review recommended</w:t>
            </w:r>
          </w:p>
        </w:tc>
      </w:tr>
      <w:tr>
        <w:tc>
          <w:tcPr>
            <w:tcW w:type="dxa" w:w="1728"/>
          </w:tcPr>
          <w:p>
            <w:r>
              <w:t>CO</w:t>
            </w:r>
          </w:p>
        </w:tc>
        <w:tc>
          <w:tcPr>
            <w:tcW w:type="dxa" w:w="1728"/>
          </w:tcPr>
          <w:p>
            <w:r>
              <w:t>CHFA</w:t>
            </w:r>
          </w:p>
        </w:tc>
        <w:tc>
          <w:tcPr>
            <w:tcW w:type="dxa" w:w="1728"/>
          </w:tcPr>
          <w:p>
            <w:r>
              <w:t>Downloaded</w:t>
            </w:r>
          </w:p>
        </w:tc>
        <w:tc>
          <w:tcPr>
            <w:tcW w:type="dxa" w:w="1728"/>
          </w:tcPr>
          <w:p>
            <w:r>
              <w:t>CO_CHFA_FY2025_ACFR.pdf</w:t>
            </w:r>
          </w:p>
        </w:tc>
        <w:tc>
          <w:tcPr>
            <w:tcW w:type="dxa" w:w="1728"/>
          </w:tcPr>
          <w:p>
            <w:r>
              <w:t>Growth rate verified manually against the ACFR</w:t>
            </w:r>
          </w:p>
        </w:tc>
      </w:tr>
      <w:tr>
        <w:tc>
          <w:tcPr>
            <w:tcW w:type="dxa" w:w="1728"/>
          </w:tcPr>
          <w:p>
            <w:r>
              <w:t>CT</w:t>
            </w:r>
          </w:p>
        </w:tc>
        <w:tc>
          <w:tcPr>
            <w:tcW w:type="dxa" w:w="1728"/>
          </w:tcPr>
          <w:p>
            <w:r>
              <w:t>CHFA</w:t>
            </w:r>
          </w:p>
        </w:tc>
        <w:tc>
          <w:tcPr>
            <w:tcW w:type="dxa" w:w="1728"/>
          </w:tcPr>
          <w:p>
            <w:r>
              <w:t>Downloaded</w:t>
            </w:r>
          </w:p>
        </w:tc>
        <w:tc>
          <w:tcPr>
            <w:tcW w:type="dxa" w:w="1728"/>
          </w:tcPr>
          <w:p>
            <w:r>
              <w:t>CT_CHFA_FY2025_ACFR.pdf</w:t>
            </w:r>
          </w:p>
        </w:tc>
        <w:tc>
          <w:tcPr>
            <w:tcW w:type="dxa" w:w="1728"/>
          </w:tcPr>
          <w:p>
            <w:r>
              <w:t>Metrics completed from the agency ACFR/financial statements</w:t>
            </w:r>
          </w:p>
        </w:tc>
      </w:tr>
      <w:tr>
        <w:tc>
          <w:tcPr>
            <w:tcW w:type="dxa" w:w="1728"/>
          </w:tcPr>
          <w:p>
            <w:r>
              <w:t>DC</w:t>
            </w:r>
          </w:p>
        </w:tc>
        <w:tc>
          <w:tcPr>
            <w:tcW w:type="dxa" w:w="1728"/>
          </w:tcPr>
          <w:p>
            <w:r>
              <w:t>DCHFA</w:t>
            </w:r>
          </w:p>
        </w:tc>
        <w:tc>
          <w:tcPr>
            <w:tcW w:type="dxa" w:w="1728"/>
          </w:tcPr>
          <w:p>
            <w:r>
              <w:t>Downloaded</w:t>
            </w:r>
          </w:p>
        </w:tc>
        <w:tc>
          <w:tcPr>
            <w:tcW w:type="dxa" w:w="1728"/>
          </w:tcPr>
          <w:p>
            <w:r>
              <w:t>DC_DCHFA_FY2025_ACFR.pdf</w:t>
            </w:r>
          </w:p>
        </w:tc>
        <w:tc>
          <w:tcPr>
            <w:tcW w:type="dxa" w:w="1728"/>
          </w:tcPr>
          <w:p>
            <w:r>
              <w:t>Core metrics not auto-extracted; manual PDF review recommended</w:t>
            </w:r>
          </w:p>
        </w:tc>
      </w:tr>
      <w:tr>
        <w:tc>
          <w:tcPr>
            <w:tcW w:type="dxa" w:w="1728"/>
          </w:tcPr>
          <w:p>
            <w:r>
              <w:t>DE</w:t>
            </w:r>
          </w:p>
        </w:tc>
        <w:tc>
          <w:tcPr>
            <w:tcW w:type="dxa" w:w="1728"/>
          </w:tcPr>
          <w:p>
            <w:r>
              <w:t>DSHA</w:t>
            </w:r>
          </w:p>
        </w:tc>
        <w:tc>
          <w:tcPr>
            <w:tcW w:type="dxa" w:w="1728"/>
          </w:tcPr>
          <w:p>
            <w:r>
              <w:t>Downloaded</w:t>
            </w:r>
          </w:p>
        </w:tc>
        <w:tc>
          <w:tcPr>
            <w:tcW w:type="dxa" w:w="1728"/>
          </w:tcPr>
          <w:p>
            <w:r>
              <w:t>DE_DSHA_FY2025_ACFR.pdf</w:t>
            </w:r>
          </w:p>
        </w:tc>
        <w:tc>
          <w:tcPr>
            <w:tcW w:type="dxa" w:w="1728"/>
          </w:tcPr>
          <w:p>
            <w:r>
              <w:t>Core metrics not auto-extracted; manual PDF review recommended</w:t>
            </w:r>
          </w:p>
        </w:tc>
      </w:tr>
      <w:tr>
        <w:tc>
          <w:tcPr>
            <w:tcW w:type="dxa" w:w="1728"/>
          </w:tcPr>
          <w:p>
            <w:r>
              <w:t>FL</w:t>
            </w:r>
          </w:p>
        </w:tc>
        <w:tc>
          <w:tcPr>
            <w:tcW w:type="dxa" w:w="1728"/>
          </w:tcPr>
          <w:p>
            <w:r>
              <w:t>FloridaHousing</w:t>
            </w:r>
          </w:p>
        </w:tc>
        <w:tc>
          <w:tcPr>
            <w:tcW w:type="dxa" w:w="1728"/>
          </w:tcPr>
          <w:p>
            <w:r>
              <w:t>Downloaded</w:t>
            </w:r>
          </w:p>
        </w:tc>
        <w:tc>
          <w:tcPr>
            <w:tcW w:type="dxa" w:w="1728"/>
          </w:tcPr>
          <w:p>
            <w:r>
              <w:t>FL_FloridaHousing_FY2025_ACFR.pdf</w:t>
            </w:r>
          </w:p>
        </w:tc>
        <w:tc>
          <w:tcPr>
            <w:tcW w:type="dxa" w:w="1728"/>
          </w:tcPr>
          <w:p>
            <w:r>
              <w:t>-</w:t>
            </w:r>
          </w:p>
        </w:tc>
      </w:tr>
      <w:tr>
        <w:tc>
          <w:tcPr>
            <w:tcW w:type="dxa" w:w="1728"/>
          </w:tcPr>
          <w:p>
            <w:r>
              <w:t>GA</w:t>
            </w:r>
          </w:p>
        </w:tc>
        <w:tc>
          <w:tcPr>
            <w:tcW w:type="dxa" w:w="1728"/>
          </w:tcPr>
          <w:p>
            <w:r>
              <w:t>GHFA</w:t>
            </w:r>
          </w:p>
        </w:tc>
        <w:tc>
          <w:tcPr>
            <w:tcW w:type="dxa" w:w="1728"/>
          </w:tcPr>
          <w:p>
            <w:r>
              <w:t>Downloaded</w:t>
            </w:r>
          </w:p>
        </w:tc>
        <w:tc>
          <w:tcPr>
            <w:tcW w:type="dxa" w:w="1728"/>
          </w:tcPr>
          <w:p>
            <w:r>
              <w:t>GA_GHFA_FY2025_ACFR.pdf</w:t>
            </w:r>
          </w:p>
        </w:tc>
        <w:tc>
          <w:tcPr>
            <w:tcW w:type="dxa" w:w="1728"/>
          </w:tcPr>
          <w:p>
            <w:r>
              <w:t>Core metrics not auto-extracted; manual PDF review recommended</w:t>
            </w:r>
          </w:p>
        </w:tc>
      </w:tr>
      <w:tr>
        <w:tc>
          <w:tcPr>
            <w:tcW w:type="dxa" w:w="1728"/>
          </w:tcPr>
          <w:p>
            <w:r>
              <w:t>HI</w:t>
            </w:r>
          </w:p>
        </w:tc>
        <w:tc>
          <w:tcPr>
            <w:tcW w:type="dxa" w:w="1728"/>
          </w:tcPr>
          <w:p>
            <w:r>
              <w:t>HHFDC</w:t>
            </w:r>
          </w:p>
        </w:tc>
        <w:tc>
          <w:tcPr>
            <w:tcW w:type="dxa" w:w="1728"/>
          </w:tcPr>
          <w:p>
            <w:r>
              <w:t>Downloaded</w:t>
            </w:r>
          </w:p>
        </w:tc>
        <w:tc>
          <w:tcPr>
            <w:tcW w:type="dxa" w:w="1728"/>
          </w:tcPr>
          <w:p>
            <w:r>
              <w:t>HI_HHFDC_FY2025_ACFR.pdf</w:t>
            </w:r>
          </w:p>
        </w:tc>
        <w:tc>
          <w:tcPr>
            <w:tcW w:type="dxa" w:w="1728"/>
          </w:tcPr>
          <w:p>
            <w:r>
              <w:t>-</w:t>
            </w:r>
          </w:p>
        </w:tc>
      </w:tr>
      <w:tr>
        <w:tc>
          <w:tcPr>
            <w:tcW w:type="dxa" w:w="1728"/>
          </w:tcPr>
          <w:p>
            <w:r>
              <w:t>IA</w:t>
            </w:r>
          </w:p>
        </w:tc>
        <w:tc>
          <w:tcPr>
            <w:tcW w:type="dxa" w:w="1728"/>
          </w:tcPr>
          <w:p>
            <w:r>
              <w:t>IFA</w:t>
            </w:r>
          </w:p>
        </w:tc>
        <w:tc>
          <w:tcPr>
            <w:tcW w:type="dxa" w:w="1728"/>
          </w:tcPr>
          <w:p>
            <w:r>
              <w:t>Downloaded</w:t>
            </w:r>
          </w:p>
        </w:tc>
        <w:tc>
          <w:tcPr>
            <w:tcW w:type="dxa" w:w="1728"/>
          </w:tcPr>
          <w:p>
            <w:r>
              <w:t>IA_IFA_FY2025_ACFR.pdf</w:t>
            </w:r>
          </w:p>
        </w:tc>
        <w:tc>
          <w:tcPr>
            <w:tcW w:type="dxa" w:w="1728"/>
          </w:tcPr>
          <w:p>
            <w:r>
              <w:t>Amounts reported in thousands; figures adjusted accordingly</w:t>
            </w:r>
          </w:p>
        </w:tc>
      </w:tr>
      <w:tr>
        <w:tc>
          <w:tcPr>
            <w:tcW w:type="dxa" w:w="1728"/>
          </w:tcPr>
          <w:p>
            <w:r>
              <w:t>ID</w:t>
            </w:r>
          </w:p>
        </w:tc>
        <w:tc>
          <w:tcPr>
            <w:tcW w:type="dxa" w:w="1728"/>
          </w:tcPr>
          <w:p>
            <w:r>
              <w:t>IHFA</w:t>
            </w:r>
          </w:p>
        </w:tc>
        <w:tc>
          <w:tcPr>
            <w:tcW w:type="dxa" w:w="1728"/>
          </w:tcPr>
          <w:p>
            <w:r>
              <w:t>Downloaded</w:t>
            </w:r>
          </w:p>
        </w:tc>
        <w:tc>
          <w:tcPr>
            <w:tcW w:type="dxa" w:w="1728"/>
          </w:tcPr>
          <w:p>
            <w:r>
              <w:t>ID_IHFA_FY2025_ACFR.pdf</w:t>
            </w:r>
          </w:p>
        </w:tc>
        <w:tc>
          <w:tcPr>
            <w:tcW w:type="dxa" w:w="1728"/>
          </w:tcPr>
          <w:p>
            <w:r>
              <w:t>-</w:t>
            </w:r>
          </w:p>
        </w:tc>
      </w:tr>
      <w:tr>
        <w:tc>
          <w:tcPr>
            <w:tcW w:type="dxa" w:w="1728"/>
          </w:tcPr>
          <w:p>
            <w:r>
              <w:t>IL</w:t>
            </w:r>
          </w:p>
        </w:tc>
        <w:tc>
          <w:tcPr>
            <w:tcW w:type="dxa" w:w="1728"/>
          </w:tcPr>
          <w:p>
            <w:r>
              <w:t>IHDA</w:t>
            </w:r>
          </w:p>
        </w:tc>
        <w:tc>
          <w:tcPr>
            <w:tcW w:type="dxa" w:w="1728"/>
          </w:tcPr>
          <w:p>
            <w:r>
              <w:t>Downloaded</w:t>
            </w:r>
          </w:p>
        </w:tc>
        <w:tc>
          <w:tcPr>
            <w:tcW w:type="dxa" w:w="1728"/>
          </w:tcPr>
          <w:p>
            <w:r>
              <w:t>IL_IHDA_FY2025_ACFR.pdf</w:t>
            </w:r>
          </w:p>
        </w:tc>
        <w:tc>
          <w:tcPr>
            <w:tcW w:type="dxa" w:w="1728"/>
          </w:tcPr>
          <w:p>
            <w:r>
              <w:t>-</w:t>
            </w:r>
          </w:p>
        </w:tc>
      </w:tr>
      <w:tr>
        <w:tc>
          <w:tcPr>
            <w:tcW w:type="dxa" w:w="1728"/>
          </w:tcPr>
          <w:p>
            <w:r>
              <w:t>IN</w:t>
            </w:r>
          </w:p>
        </w:tc>
        <w:tc>
          <w:tcPr>
            <w:tcW w:type="dxa" w:w="1728"/>
          </w:tcPr>
          <w:p>
            <w:r>
              <w:t>IHCDA</w:t>
            </w:r>
          </w:p>
        </w:tc>
        <w:tc>
          <w:tcPr>
            <w:tcW w:type="dxa" w:w="1728"/>
          </w:tcPr>
          <w:p>
            <w:r>
              <w:t>Downloaded</w:t>
            </w:r>
          </w:p>
        </w:tc>
        <w:tc>
          <w:tcPr>
            <w:tcW w:type="dxa" w:w="1728"/>
          </w:tcPr>
          <w:p>
            <w:r>
              <w:t>IN_IHCDA_FY2025_ACFR.pdf</w:t>
            </w:r>
          </w:p>
        </w:tc>
        <w:tc>
          <w:tcPr>
            <w:tcW w:type="dxa" w:w="1728"/>
          </w:tcPr>
          <w:p>
            <w:r>
              <w:t>Core metrics not auto-extracted; manual PDF review recommended</w:t>
            </w:r>
          </w:p>
        </w:tc>
      </w:tr>
      <w:tr>
        <w:tc>
          <w:tcPr>
            <w:tcW w:type="dxa" w:w="1728"/>
          </w:tcPr>
          <w:p>
            <w:r>
              <w:t>KS</w:t>
            </w:r>
          </w:p>
        </w:tc>
        <w:tc>
          <w:tcPr>
            <w:tcW w:type="dxa" w:w="1728"/>
          </w:tcPr>
          <w:p>
            <w:r>
              <w:t>KHRC</w:t>
            </w:r>
          </w:p>
        </w:tc>
        <w:tc>
          <w:tcPr>
            <w:tcW w:type="dxa" w:w="1728"/>
          </w:tcPr>
          <w:p>
            <w:r>
              <w:t>Downloaded</w:t>
            </w:r>
          </w:p>
        </w:tc>
        <w:tc>
          <w:tcPr>
            <w:tcW w:type="dxa" w:w="1728"/>
          </w:tcPr>
          <w:p>
            <w:r>
              <w:t>KS_KHRC_FY2025_ACFR.pdf</w:t>
            </w:r>
          </w:p>
        </w:tc>
        <w:tc>
          <w:tcPr>
            <w:tcW w:type="dxa" w:w="1728"/>
          </w:tcPr>
          <w:p>
            <w:r>
              <w:t>Metrics completed from the agency ACFR/financial statements</w:t>
            </w:r>
          </w:p>
        </w:tc>
      </w:tr>
      <w:tr>
        <w:tc>
          <w:tcPr>
            <w:tcW w:type="dxa" w:w="1728"/>
          </w:tcPr>
          <w:p>
            <w:r>
              <w:t>KY</w:t>
            </w:r>
          </w:p>
        </w:tc>
        <w:tc>
          <w:tcPr>
            <w:tcW w:type="dxa" w:w="1728"/>
          </w:tcPr>
          <w:p>
            <w:r>
              <w:t>KHC</w:t>
            </w:r>
          </w:p>
        </w:tc>
        <w:tc>
          <w:tcPr>
            <w:tcW w:type="dxa" w:w="1728"/>
          </w:tcPr>
          <w:p>
            <w:r>
              <w:t>Downloaded</w:t>
            </w:r>
          </w:p>
        </w:tc>
        <w:tc>
          <w:tcPr>
            <w:tcW w:type="dxa" w:w="1728"/>
          </w:tcPr>
          <w:p>
            <w:r>
              <w:t>KY_KHC_FY2025_ACFR.pdf</w:t>
            </w:r>
          </w:p>
        </w:tc>
        <w:tc>
          <w:tcPr>
            <w:tcW w:type="dxa" w:w="1728"/>
          </w:tcPr>
          <w:p>
            <w:r>
              <w:t>Metrics completed from the agency ACFR/financial statements</w:t>
            </w:r>
          </w:p>
        </w:tc>
      </w:tr>
      <w:tr>
        <w:tc>
          <w:tcPr>
            <w:tcW w:type="dxa" w:w="1728"/>
          </w:tcPr>
          <w:p>
            <w:r>
              <w:t>LA</w:t>
            </w:r>
          </w:p>
        </w:tc>
        <w:tc>
          <w:tcPr>
            <w:tcW w:type="dxa" w:w="1728"/>
          </w:tcPr>
          <w:p>
            <w:r>
              <w:t>LHC</w:t>
            </w:r>
          </w:p>
        </w:tc>
        <w:tc>
          <w:tcPr>
            <w:tcW w:type="dxa" w:w="1728"/>
          </w:tcPr>
          <w:p>
            <w:r>
              <w:t>Downloaded</w:t>
            </w:r>
          </w:p>
        </w:tc>
        <w:tc>
          <w:tcPr>
            <w:tcW w:type="dxa" w:w="1728"/>
          </w:tcPr>
          <w:p>
            <w:r>
              <w:t>LA_LHC_FY2025_ACFR.pdf</w:t>
            </w:r>
          </w:p>
        </w:tc>
        <w:tc>
          <w:tcPr>
            <w:tcW w:type="dxa" w:w="1728"/>
          </w:tcPr>
          <w:p>
            <w:r>
              <w:t>-</w:t>
            </w:r>
          </w:p>
        </w:tc>
      </w:tr>
      <w:tr>
        <w:tc>
          <w:tcPr>
            <w:tcW w:type="dxa" w:w="1728"/>
          </w:tcPr>
          <w:p>
            <w:r>
              <w:t>MA</w:t>
            </w:r>
          </w:p>
        </w:tc>
        <w:tc>
          <w:tcPr>
            <w:tcW w:type="dxa" w:w="1728"/>
          </w:tcPr>
          <w:p>
            <w:r>
              <w:t>MassHousing</w:t>
            </w:r>
          </w:p>
        </w:tc>
        <w:tc>
          <w:tcPr>
            <w:tcW w:type="dxa" w:w="1728"/>
          </w:tcPr>
          <w:p>
            <w:r>
              <w:t>Downloaded</w:t>
            </w:r>
          </w:p>
        </w:tc>
        <w:tc>
          <w:tcPr>
            <w:tcW w:type="dxa" w:w="1728"/>
          </w:tcPr>
          <w:p>
            <w:r>
              <w:t>MA_MassHousing_FY2025_ACFR.pdf</w:t>
            </w:r>
          </w:p>
        </w:tc>
        <w:tc>
          <w:tcPr>
            <w:tcW w:type="dxa" w:w="1728"/>
          </w:tcPr>
          <w:p>
            <w:r>
              <w:t>-</w:t>
            </w:r>
          </w:p>
        </w:tc>
      </w:tr>
      <w:tr>
        <w:tc>
          <w:tcPr>
            <w:tcW w:type="dxa" w:w="1728"/>
          </w:tcPr>
          <w:p>
            <w:r>
              <w:t>MD</w:t>
            </w:r>
          </w:p>
        </w:tc>
        <w:tc>
          <w:tcPr>
            <w:tcW w:type="dxa" w:w="1728"/>
          </w:tcPr>
          <w:p>
            <w:r>
              <w:t>CDA</w:t>
            </w:r>
          </w:p>
        </w:tc>
        <w:tc>
          <w:tcPr>
            <w:tcW w:type="dxa" w:w="1728"/>
          </w:tcPr>
          <w:p>
            <w:r>
              <w:t>Downloaded</w:t>
            </w:r>
          </w:p>
        </w:tc>
        <w:tc>
          <w:tcPr>
            <w:tcW w:type="dxa" w:w="1728"/>
          </w:tcPr>
          <w:p>
            <w:r>
              <w:t>MD_CDA_FY2025_ACFR.pdf</w:t>
            </w:r>
          </w:p>
        </w:tc>
        <w:tc>
          <w:tcPr>
            <w:tcW w:type="dxa" w:w="1728"/>
          </w:tcPr>
          <w:p>
            <w:r>
              <w:t>Figures reflect the Housing Revenue Bonds fund only; CDA also publishes separate Revenue Obligation Funds and Multi-Family Mortgage Revenue Bonds statements not included here</w:t>
            </w:r>
          </w:p>
        </w:tc>
      </w:tr>
      <w:tr>
        <w:tc>
          <w:tcPr>
            <w:tcW w:type="dxa" w:w="1728"/>
          </w:tcPr>
          <w:p>
            <w:r>
              <w:t>ME</w:t>
            </w:r>
          </w:p>
        </w:tc>
        <w:tc>
          <w:tcPr>
            <w:tcW w:type="dxa" w:w="1728"/>
          </w:tcPr>
          <w:p>
            <w:r>
              <w:t>MaineHousing</w:t>
            </w:r>
          </w:p>
        </w:tc>
        <w:tc>
          <w:tcPr>
            <w:tcW w:type="dxa" w:w="1728"/>
          </w:tcPr>
          <w:p>
            <w:r>
              <w:t>Downloaded</w:t>
            </w:r>
          </w:p>
        </w:tc>
        <w:tc>
          <w:tcPr>
            <w:tcW w:type="dxa" w:w="1728"/>
          </w:tcPr>
          <w:p>
            <w:r>
              <w:t>ME_MaineHousing_FY2025_ACFR.pdf</w:t>
            </w:r>
          </w:p>
        </w:tc>
        <w:tc>
          <w:tcPr>
            <w:tcW w:type="dxa" w:w="1728"/>
          </w:tcPr>
          <w:p>
            <w:r>
              <w:t>Growth rate verified manually against the ACFR</w:t>
            </w:r>
          </w:p>
        </w:tc>
      </w:tr>
      <w:tr>
        <w:tc>
          <w:tcPr>
            <w:tcW w:type="dxa" w:w="1728"/>
          </w:tcPr>
          <w:p>
            <w:r>
              <w:t>MI</w:t>
            </w:r>
          </w:p>
        </w:tc>
        <w:tc>
          <w:tcPr>
            <w:tcW w:type="dxa" w:w="1728"/>
          </w:tcPr>
          <w:p>
            <w:r>
              <w:t>MSHDA</w:t>
            </w:r>
          </w:p>
        </w:tc>
        <w:tc>
          <w:tcPr>
            <w:tcW w:type="dxa" w:w="1728"/>
          </w:tcPr>
          <w:p>
            <w:r>
              <w:t>Downloaded</w:t>
            </w:r>
          </w:p>
        </w:tc>
        <w:tc>
          <w:tcPr>
            <w:tcW w:type="dxa" w:w="1728"/>
          </w:tcPr>
          <w:p>
            <w:r>
              <w:t>MI_MSHDA_FY2025_ACFR.pdf</w:t>
            </w:r>
          </w:p>
        </w:tc>
        <w:tc>
          <w:tcPr>
            <w:tcW w:type="dxa" w:w="1728"/>
          </w:tcPr>
          <w:p>
            <w:r>
              <w:t>-</w:t>
            </w:r>
          </w:p>
        </w:tc>
      </w:tr>
      <w:tr>
        <w:tc>
          <w:tcPr>
            <w:tcW w:type="dxa" w:w="1728"/>
          </w:tcPr>
          <w:p>
            <w:r>
              <w:t>MN</w:t>
            </w:r>
          </w:p>
        </w:tc>
        <w:tc>
          <w:tcPr>
            <w:tcW w:type="dxa" w:w="1728"/>
          </w:tcPr>
          <w:p>
            <w:r>
              <w:t>MNHousing</w:t>
            </w:r>
          </w:p>
        </w:tc>
        <w:tc>
          <w:tcPr>
            <w:tcW w:type="dxa" w:w="1728"/>
          </w:tcPr>
          <w:p>
            <w:r>
              <w:t>Downloaded</w:t>
            </w:r>
          </w:p>
        </w:tc>
        <w:tc>
          <w:tcPr>
            <w:tcW w:type="dxa" w:w="1728"/>
          </w:tcPr>
          <w:p>
            <w:r>
              <w:t>MN_MNHousing_FY2025_ACFR.pdf</w:t>
            </w:r>
          </w:p>
        </w:tc>
        <w:tc>
          <w:tcPr>
            <w:tcW w:type="dxa" w:w="1728"/>
          </w:tcPr>
          <w:p>
            <w:r>
              <w:t>-</w:t>
            </w:r>
          </w:p>
        </w:tc>
      </w:tr>
      <w:tr>
        <w:tc>
          <w:tcPr>
            <w:tcW w:type="dxa" w:w="1728"/>
          </w:tcPr>
          <w:p>
            <w:r>
              <w:t>MO</w:t>
            </w:r>
          </w:p>
        </w:tc>
        <w:tc>
          <w:tcPr>
            <w:tcW w:type="dxa" w:w="1728"/>
          </w:tcPr>
          <w:p>
            <w:r>
              <w:t>MHDC</w:t>
            </w:r>
          </w:p>
        </w:tc>
        <w:tc>
          <w:tcPr>
            <w:tcW w:type="dxa" w:w="1728"/>
          </w:tcPr>
          <w:p>
            <w:r>
              <w:t>Downloaded</w:t>
            </w:r>
          </w:p>
        </w:tc>
        <w:tc>
          <w:tcPr>
            <w:tcW w:type="dxa" w:w="1728"/>
          </w:tcPr>
          <w:p>
            <w:r>
              <w:t>MO_MHDC_FY2025_ACFR.pdf</w:t>
            </w:r>
          </w:p>
        </w:tc>
        <w:tc>
          <w:tcPr>
            <w:tcW w:type="dxa" w:w="1728"/>
          </w:tcPr>
          <w:p>
            <w:r>
              <w:t>Growth rate verified manually against the ACFR</w:t>
            </w:r>
          </w:p>
        </w:tc>
      </w:tr>
      <w:tr>
        <w:tc>
          <w:tcPr>
            <w:tcW w:type="dxa" w:w="1728"/>
          </w:tcPr>
          <w:p>
            <w:r>
              <w:t>MS</w:t>
            </w:r>
          </w:p>
        </w:tc>
        <w:tc>
          <w:tcPr>
            <w:tcW w:type="dxa" w:w="1728"/>
          </w:tcPr>
          <w:p>
            <w:r>
              <w:t>MHC</w:t>
            </w:r>
          </w:p>
        </w:tc>
        <w:tc>
          <w:tcPr>
            <w:tcW w:type="dxa" w:w="1728"/>
          </w:tcPr>
          <w:p>
            <w:r>
              <w:t>Downloaded</w:t>
            </w:r>
          </w:p>
        </w:tc>
        <w:tc>
          <w:tcPr>
            <w:tcW w:type="dxa" w:w="1728"/>
          </w:tcPr>
          <w:p>
            <w:r>
              <w:t>MS_MHC_FY2025_ACFR.pdf</w:t>
            </w:r>
          </w:p>
        </w:tc>
        <w:tc>
          <w:tcPr>
            <w:tcW w:type="dxa" w:w="1728"/>
          </w:tcPr>
          <w:p>
            <w:r>
              <w:t>Combined Statements of Net Position, FY2025 Annual Report (audited)</w:t>
            </w:r>
          </w:p>
        </w:tc>
      </w:tr>
      <w:tr>
        <w:tc>
          <w:tcPr>
            <w:tcW w:type="dxa" w:w="1728"/>
          </w:tcPr>
          <w:p>
            <w:r>
              <w:t>MT</w:t>
            </w:r>
          </w:p>
        </w:tc>
        <w:tc>
          <w:tcPr>
            <w:tcW w:type="dxa" w:w="1728"/>
          </w:tcPr>
          <w:p>
            <w:r>
              <w:t>MTHousing</w:t>
            </w:r>
          </w:p>
        </w:tc>
        <w:tc>
          <w:tcPr>
            <w:tcW w:type="dxa" w:w="1728"/>
          </w:tcPr>
          <w:p>
            <w:r>
              <w:t>Downloaded</w:t>
            </w:r>
          </w:p>
        </w:tc>
        <w:tc>
          <w:tcPr>
            <w:tcW w:type="dxa" w:w="1728"/>
          </w:tcPr>
          <w:p>
            <w:r>
              <w:t>MT_MTHousing_FY2025_ACFR.pdf</w:t>
            </w:r>
          </w:p>
        </w:tc>
        <w:tc>
          <w:tcPr>
            <w:tcW w:type="dxa" w:w="1728"/>
          </w:tcPr>
          <w:p>
            <w:r>
              <w:t>Core metrics not auto-extracted; manual PDF review recommended</w:t>
            </w:r>
          </w:p>
        </w:tc>
      </w:tr>
      <w:tr>
        <w:tc>
          <w:tcPr>
            <w:tcW w:type="dxa" w:w="1728"/>
          </w:tcPr>
          <w:p>
            <w:r>
              <w:t>NC</w:t>
            </w:r>
          </w:p>
        </w:tc>
        <w:tc>
          <w:tcPr>
            <w:tcW w:type="dxa" w:w="1728"/>
          </w:tcPr>
          <w:p>
            <w:r>
              <w:t>NCHFA</w:t>
            </w:r>
          </w:p>
        </w:tc>
        <w:tc>
          <w:tcPr>
            <w:tcW w:type="dxa" w:w="1728"/>
          </w:tcPr>
          <w:p>
            <w:r>
              <w:t>Downloaded</w:t>
            </w:r>
          </w:p>
        </w:tc>
        <w:tc>
          <w:tcPr>
            <w:tcW w:type="dxa" w:w="1728"/>
          </w:tcPr>
          <w:p>
            <w:r>
              <w:t>NC_NCHFA_FY2025_ACFR.pdf</w:t>
            </w:r>
          </w:p>
        </w:tc>
        <w:tc>
          <w:tcPr>
            <w:tcW w:type="dxa" w:w="1728"/>
          </w:tcPr>
          <w:p>
            <w:r>
              <w:t>-</w:t>
            </w:r>
          </w:p>
        </w:tc>
      </w:tr>
      <w:tr>
        <w:tc>
          <w:tcPr>
            <w:tcW w:type="dxa" w:w="1728"/>
          </w:tcPr>
          <w:p>
            <w:r>
              <w:t>ND</w:t>
            </w:r>
          </w:p>
        </w:tc>
        <w:tc>
          <w:tcPr>
            <w:tcW w:type="dxa" w:w="1728"/>
          </w:tcPr>
          <w:p>
            <w:r>
              <w:t>NDHFA</w:t>
            </w:r>
          </w:p>
        </w:tc>
        <w:tc>
          <w:tcPr>
            <w:tcW w:type="dxa" w:w="1728"/>
          </w:tcPr>
          <w:p>
            <w:r>
              <w:t>Downloaded</w:t>
            </w:r>
          </w:p>
        </w:tc>
        <w:tc>
          <w:tcPr>
            <w:tcW w:type="dxa" w:w="1728"/>
          </w:tcPr>
          <w:p>
            <w:r>
              <w:t>ND_NDHFA_FY2025_ACFR.pdf</w:t>
            </w:r>
          </w:p>
        </w:tc>
        <w:tc>
          <w:tcPr>
            <w:tcW w:type="dxa" w:w="1728"/>
          </w:tcPr>
          <w:p>
            <w:r>
              <w:t>Growth rate verified manually against the ACFR</w:t>
            </w:r>
          </w:p>
        </w:tc>
      </w:tr>
      <w:tr>
        <w:tc>
          <w:tcPr>
            <w:tcW w:type="dxa" w:w="1728"/>
          </w:tcPr>
          <w:p>
            <w:r>
              <w:t>NE</w:t>
            </w:r>
          </w:p>
        </w:tc>
        <w:tc>
          <w:tcPr>
            <w:tcW w:type="dxa" w:w="1728"/>
          </w:tcPr>
          <w:p>
            <w:r>
              <w:t>NIFA</w:t>
            </w:r>
          </w:p>
        </w:tc>
        <w:tc>
          <w:tcPr>
            <w:tcW w:type="dxa" w:w="1728"/>
          </w:tcPr>
          <w:p>
            <w:r>
              <w:t>Downloaded</w:t>
            </w:r>
          </w:p>
        </w:tc>
        <w:tc>
          <w:tcPr>
            <w:tcW w:type="dxa" w:w="1728"/>
          </w:tcPr>
          <w:p>
            <w:r>
              <w:t>NE_NIFA_FY2025_ACFR.pdf</w:t>
            </w:r>
          </w:p>
        </w:tc>
        <w:tc>
          <w:tcPr>
            <w:tcW w:type="dxa" w:w="1728"/>
          </w:tcPr>
          <w:p>
            <w:r>
              <w:t>Growth rate verified manually against the ACFR</w:t>
            </w:r>
          </w:p>
        </w:tc>
      </w:tr>
      <w:tr>
        <w:tc>
          <w:tcPr>
            <w:tcW w:type="dxa" w:w="1728"/>
          </w:tcPr>
          <w:p>
            <w:r>
              <w:t>NH</w:t>
            </w:r>
          </w:p>
        </w:tc>
        <w:tc>
          <w:tcPr>
            <w:tcW w:type="dxa" w:w="1728"/>
          </w:tcPr>
          <w:p>
            <w:r>
              <w:t>NHHousing</w:t>
            </w:r>
          </w:p>
        </w:tc>
        <w:tc>
          <w:tcPr>
            <w:tcW w:type="dxa" w:w="1728"/>
          </w:tcPr>
          <w:p>
            <w:r>
              <w:t>Not available</w:t>
            </w:r>
          </w:p>
        </w:tc>
        <w:tc>
          <w:tcPr>
            <w:tcW w:type="dxa" w:w="1728"/>
          </w:tcPr>
          <w:p>
            <w:r>
              <w:t>-</w:t>
            </w:r>
          </w:p>
        </w:tc>
        <w:tc>
          <w:tcPr>
            <w:tcW w:type="dxa" w:w="1728"/>
          </w:tcPr>
          <w:p>
            <w:r>
              <w:t>FY2025 PDF link not found</w:t>
            </w:r>
          </w:p>
        </w:tc>
      </w:tr>
      <w:tr>
        <w:tc>
          <w:tcPr>
            <w:tcW w:type="dxa" w:w="1728"/>
          </w:tcPr>
          <w:p>
            <w:r>
              <w:t>NJ</w:t>
            </w:r>
          </w:p>
        </w:tc>
        <w:tc>
          <w:tcPr>
            <w:tcW w:type="dxa" w:w="1728"/>
          </w:tcPr>
          <w:p>
            <w:r>
              <w:t>NJHMFA</w:t>
            </w:r>
          </w:p>
        </w:tc>
        <w:tc>
          <w:tcPr>
            <w:tcW w:type="dxa" w:w="1728"/>
          </w:tcPr>
          <w:p>
            <w:r>
              <w:t>Not available</w:t>
            </w:r>
          </w:p>
        </w:tc>
        <w:tc>
          <w:tcPr>
            <w:tcW w:type="dxa" w:w="1728"/>
          </w:tcPr>
          <w:p>
            <w:r>
              <w:t>-</w:t>
            </w:r>
          </w:p>
        </w:tc>
        <w:tc>
          <w:tcPr>
            <w:tcW w:type="dxa" w:w="1728"/>
          </w:tcPr>
          <w:p>
            <w:r>
              <w:t>FY2025 PDF link not found</w:t>
            </w:r>
          </w:p>
        </w:tc>
      </w:tr>
      <w:tr>
        <w:tc>
          <w:tcPr>
            <w:tcW w:type="dxa" w:w="1728"/>
          </w:tcPr>
          <w:p>
            <w:r>
              <w:t>NM</w:t>
            </w:r>
          </w:p>
        </w:tc>
        <w:tc>
          <w:tcPr>
            <w:tcW w:type="dxa" w:w="1728"/>
          </w:tcPr>
          <w:p>
            <w:r>
              <w:t>MFA</w:t>
            </w:r>
          </w:p>
        </w:tc>
        <w:tc>
          <w:tcPr>
            <w:tcW w:type="dxa" w:w="1728"/>
          </w:tcPr>
          <w:p>
            <w:r>
              <w:t>Downloaded</w:t>
            </w:r>
          </w:p>
        </w:tc>
        <w:tc>
          <w:tcPr>
            <w:tcW w:type="dxa" w:w="1728"/>
          </w:tcPr>
          <w:p>
            <w:r>
              <w:t>NM_MFA_FY2025_ACFR.pdf</w:t>
            </w:r>
          </w:p>
        </w:tc>
        <w:tc>
          <w:tcPr>
            <w:tcW w:type="dxa" w:w="1728"/>
          </w:tcPr>
          <w:p>
            <w:r>
              <w:t>Metrics completed from audited financial statements (scanned PDF) MD&amp;A</w:t>
            </w:r>
          </w:p>
        </w:tc>
      </w:tr>
      <w:tr>
        <w:tc>
          <w:tcPr>
            <w:tcW w:type="dxa" w:w="1728"/>
          </w:tcPr>
          <w:p>
            <w:r>
              <w:t>NV</w:t>
            </w:r>
          </w:p>
        </w:tc>
        <w:tc>
          <w:tcPr>
            <w:tcW w:type="dxa" w:w="1728"/>
          </w:tcPr>
          <w:p>
            <w:r>
              <w:t>NHD</w:t>
            </w:r>
          </w:p>
        </w:tc>
        <w:tc>
          <w:tcPr>
            <w:tcW w:type="dxa" w:w="1728"/>
          </w:tcPr>
          <w:p>
            <w:r>
              <w:t>Not available</w:t>
            </w:r>
          </w:p>
        </w:tc>
        <w:tc>
          <w:tcPr>
            <w:tcW w:type="dxa" w:w="1728"/>
          </w:tcPr>
          <w:p>
            <w:r>
              <w:t>-</w:t>
            </w:r>
          </w:p>
        </w:tc>
        <w:tc>
          <w:tcPr>
            <w:tcW w:type="dxa" w:w="1728"/>
          </w:tcPr>
          <w:p>
            <w:r>
              <w:t>FY2025 PDF link not found</w:t>
            </w:r>
          </w:p>
        </w:tc>
      </w:tr>
      <w:tr>
        <w:tc>
          <w:tcPr>
            <w:tcW w:type="dxa" w:w="1728"/>
          </w:tcPr>
          <w:p>
            <w:r>
              <w:t>NY</w:t>
            </w:r>
          </w:p>
        </w:tc>
        <w:tc>
          <w:tcPr>
            <w:tcW w:type="dxa" w:w="1728"/>
          </w:tcPr>
          <w:p>
            <w:r>
              <w:t>HCR</w:t>
            </w:r>
          </w:p>
        </w:tc>
        <w:tc>
          <w:tcPr>
            <w:tcW w:type="dxa" w:w="1728"/>
          </w:tcPr>
          <w:p>
            <w:r>
              <w:t>Not available</w:t>
            </w:r>
          </w:p>
        </w:tc>
        <w:tc>
          <w:tcPr>
            <w:tcW w:type="dxa" w:w="1728"/>
          </w:tcPr>
          <w:p>
            <w:r>
              <w:t>-</w:t>
            </w:r>
          </w:p>
        </w:tc>
        <w:tc>
          <w:tcPr>
            <w:tcW w:type="dxa" w:w="1728"/>
          </w:tcPr>
          <w:p>
            <w:r>
              <w:t>FY2025 PDF link not found</w:t>
            </w:r>
          </w:p>
        </w:tc>
      </w:tr>
      <w:tr>
        <w:tc>
          <w:tcPr>
            <w:tcW w:type="dxa" w:w="1728"/>
          </w:tcPr>
          <w:p>
            <w:r>
              <w:t>OH</w:t>
            </w:r>
          </w:p>
        </w:tc>
        <w:tc>
          <w:tcPr>
            <w:tcW w:type="dxa" w:w="1728"/>
          </w:tcPr>
          <w:p>
            <w:r>
              <w:t>OHFA</w:t>
            </w:r>
          </w:p>
        </w:tc>
        <w:tc>
          <w:tcPr>
            <w:tcW w:type="dxa" w:w="1728"/>
          </w:tcPr>
          <w:p>
            <w:r>
              <w:t>Downloaded</w:t>
            </w:r>
          </w:p>
        </w:tc>
        <w:tc>
          <w:tcPr>
            <w:tcW w:type="dxa" w:w="1728"/>
          </w:tcPr>
          <w:p>
            <w:r>
              <w:t>OH_OHFA_FY2025_ACFR.pdf</w:t>
            </w:r>
          </w:p>
        </w:tc>
        <w:tc>
          <w:tcPr>
            <w:tcW w:type="dxa" w:w="1728"/>
          </w:tcPr>
          <w:p>
            <w:r>
              <w:t>-</w:t>
            </w:r>
          </w:p>
        </w:tc>
      </w:tr>
      <w:tr>
        <w:tc>
          <w:tcPr>
            <w:tcW w:type="dxa" w:w="1728"/>
          </w:tcPr>
          <w:p>
            <w:r>
              <w:t>OK</w:t>
            </w:r>
          </w:p>
        </w:tc>
        <w:tc>
          <w:tcPr>
            <w:tcW w:type="dxa" w:w="1728"/>
          </w:tcPr>
          <w:p>
            <w:r>
              <w:t>OHFA_OK</w:t>
            </w:r>
          </w:p>
        </w:tc>
        <w:tc>
          <w:tcPr>
            <w:tcW w:type="dxa" w:w="1728"/>
          </w:tcPr>
          <w:p>
            <w:r>
              <w:t>Downloaded</w:t>
            </w:r>
          </w:p>
        </w:tc>
        <w:tc>
          <w:tcPr>
            <w:tcW w:type="dxa" w:w="1728"/>
          </w:tcPr>
          <w:p>
            <w:r>
              <w:t>OK_OHFA_OK_FY2025_ACFR.pdf</w:t>
            </w:r>
          </w:p>
        </w:tc>
        <w:tc>
          <w:tcPr>
            <w:tcW w:type="dxa" w:w="1728"/>
          </w:tcPr>
          <w:p>
            <w:r>
              <w:t>Metrics completed from the agency ACFR/financial statements</w:t>
            </w:r>
          </w:p>
        </w:tc>
      </w:tr>
      <w:tr>
        <w:tc>
          <w:tcPr>
            <w:tcW w:type="dxa" w:w="1728"/>
          </w:tcPr>
          <w:p>
            <w:r>
              <w:t>OR</w:t>
            </w:r>
          </w:p>
        </w:tc>
        <w:tc>
          <w:tcPr>
            <w:tcW w:type="dxa" w:w="1728"/>
          </w:tcPr>
          <w:p>
            <w:r>
              <w:t>OHCS</w:t>
            </w:r>
          </w:p>
        </w:tc>
        <w:tc>
          <w:tcPr>
            <w:tcW w:type="dxa" w:w="1728"/>
          </w:tcPr>
          <w:p>
            <w:r>
              <w:t>Not available</w:t>
            </w:r>
          </w:p>
        </w:tc>
        <w:tc>
          <w:tcPr>
            <w:tcW w:type="dxa" w:w="1728"/>
          </w:tcPr>
          <w:p>
            <w:r>
              <w:t>-</w:t>
            </w:r>
          </w:p>
        </w:tc>
        <w:tc>
          <w:tcPr>
            <w:tcW w:type="dxa" w:w="1728"/>
          </w:tcPr>
          <w:p>
            <w:r>
              <w:t>FY2025 PDF link not found</w:t>
            </w:r>
          </w:p>
        </w:tc>
      </w:tr>
      <w:tr>
        <w:tc>
          <w:tcPr>
            <w:tcW w:type="dxa" w:w="1728"/>
          </w:tcPr>
          <w:p>
            <w:r>
              <w:t>PA</w:t>
            </w:r>
          </w:p>
        </w:tc>
        <w:tc>
          <w:tcPr>
            <w:tcW w:type="dxa" w:w="1728"/>
          </w:tcPr>
          <w:p>
            <w:r>
              <w:t>PHFA</w:t>
            </w:r>
          </w:p>
        </w:tc>
        <w:tc>
          <w:tcPr>
            <w:tcW w:type="dxa" w:w="1728"/>
          </w:tcPr>
          <w:p>
            <w:r>
              <w:t>Downloaded</w:t>
            </w:r>
          </w:p>
        </w:tc>
        <w:tc>
          <w:tcPr>
            <w:tcW w:type="dxa" w:w="1728"/>
          </w:tcPr>
          <w:p>
            <w:r>
              <w:t>PA_PHFA_FY2025_ACFR.pdf</w:t>
            </w:r>
          </w:p>
        </w:tc>
        <w:tc>
          <w:tcPr>
            <w:tcW w:type="dxa" w:w="1728"/>
          </w:tcPr>
          <w:p>
            <w:r>
              <w:t>Core metrics manually verified against PHFA FY2025 MD&amp;A (Condensed Summary Balance Sheets); state-level ACFR wrapper, entity-level MD&amp;A used for metrics</w:t>
            </w:r>
          </w:p>
        </w:tc>
      </w:tr>
      <w:tr>
        <w:tc>
          <w:tcPr>
            <w:tcW w:type="dxa" w:w="1728"/>
          </w:tcPr>
          <w:p>
            <w:r>
              <w:t>RI</w:t>
            </w:r>
          </w:p>
        </w:tc>
        <w:tc>
          <w:tcPr>
            <w:tcW w:type="dxa" w:w="1728"/>
          </w:tcPr>
          <w:p>
            <w:r>
              <w:t>RIHousing</w:t>
            </w:r>
          </w:p>
        </w:tc>
        <w:tc>
          <w:tcPr>
            <w:tcW w:type="dxa" w:w="1728"/>
          </w:tcPr>
          <w:p>
            <w:r>
              <w:t>Not available</w:t>
            </w:r>
          </w:p>
        </w:tc>
        <w:tc>
          <w:tcPr>
            <w:tcW w:type="dxa" w:w="1728"/>
          </w:tcPr>
          <w:p>
            <w:r>
              <w:t>-</w:t>
            </w:r>
          </w:p>
        </w:tc>
        <w:tc>
          <w:tcPr>
            <w:tcW w:type="dxa" w:w="1728"/>
          </w:tcPr>
          <w:p>
            <w:r>
              <w:t>FY2025 PDF link not found</w:t>
            </w:r>
          </w:p>
        </w:tc>
      </w:tr>
      <w:tr>
        <w:tc>
          <w:tcPr>
            <w:tcW w:type="dxa" w:w="1728"/>
          </w:tcPr>
          <w:p>
            <w:r>
              <w:t>SC</w:t>
            </w:r>
          </w:p>
        </w:tc>
        <w:tc>
          <w:tcPr>
            <w:tcW w:type="dxa" w:w="1728"/>
          </w:tcPr>
          <w:p>
            <w:r>
              <w:t>SCHFDA</w:t>
            </w:r>
          </w:p>
        </w:tc>
        <w:tc>
          <w:tcPr>
            <w:tcW w:type="dxa" w:w="1728"/>
          </w:tcPr>
          <w:p>
            <w:r>
              <w:t>Downloaded</w:t>
            </w:r>
          </w:p>
        </w:tc>
        <w:tc>
          <w:tcPr>
            <w:tcW w:type="dxa" w:w="1728"/>
          </w:tcPr>
          <w:p>
            <w:r>
              <w:t>SC_SCHFDA_FY2025_ACFR.pdf</w:t>
            </w:r>
          </w:p>
        </w:tc>
        <w:tc>
          <w:tcPr>
            <w:tcW w:type="dxa" w:w="1728"/>
          </w:tcPr>
          <w:p>
            <w:r>
              <w:t>Metrics completed from the agency ACFR/financial statements</w:t>
            </w:r>
          </w:p>
        </w:tc>
      </w:tr>
      <w:tr>
        <w:tc>
          <w:tcPr>
            <w:tcW w:type="dxa" w:w="1728"/>
          </w:tcPr>
          <w:p>
            <w:r>
              <w:t>SD</w:t>
            </w:r>
          </w:p>
        </w:tc>
        <w:tc>
          <w:tcPr>
            <w:tcW w:type="dxa" w:w="1728"/>
          </w:tcPr>
          <w:p>
            <w:r>
              <w:t>SDHDA</w:t>
            </w:r>
          </w:p>
        </w:tc>
        <w:tc>
          <w:tcPr>
            <w:tcW w:type="dxa" w:w="1728"/>
          </w:tcPr>
          <w:p>
            <w:r>
              <w:t>Downloaded</w:t>
            </w:r>
          </w:p>
        </w:tc>
        <w:tc>
          <w:tcPr>
            <w:tcW w:type="dxa" w:w="1728"/>
          </w:tcPr>
          <w:p>
            <w:r>
              <w:t>SD_SDHDA_FY2025_ACFR.pdf</w:t>
            </w:r>
          </w:p>
        </w:tc>
        <w:tc>
          <w:tcPr>
            <w:tcW w:type="dxa" w:w="1728"/>
          </w:tcPr>
          <w:p>
            <w:r>
              <w:t>Core metrics not auto-extracted; manual PDF review recommended</w:t>
            </w:r>
          </w:p>
        </w:tc>
      </w:tr>
      <w:tr>
        <w:tc>
          <w:tcPr>
            <w:tcW w:type="dxa" w:w="1728"/>
          </w:tcPr>
          <w:p>
            <w:r>
              <w:t>TN</w:t>
            </w:r>
          </w:p>
        </w:tc>
        <w:tc>
          <w:tcPr>
            <w:tcW w:type="dxa" w:w="1728"/>
          </w:tcPr>
          <w:p>
            <w:r>
              <w:t>THDA</w:t>
            </w:r>
          </w:p>
        </w:tc>
        <w:tc>
          <w:tcPr>
            <w:tcW w:type="dxa" w:w="1728"/>
          </w:tcPr>
          <w:p>
            <w:r>
              <w:t>Downloaded</w:t>
            </w:r>
          </w:p>
        </w:tc>
        <w:tc>
          <w:tcPr>
            <w:tcW w:type="dxa" w:w="1728"/>
          </w:tcPr>
          <w:p>
            <w:r>
              <w:t>TN_THDA_FY2025_ACFR.pdf</w:t>
            </w:r>
          </w:p>
        </w:tc>
        <w:tc>
          <w:tcPr>
            <w:tcW w:type="dxa" w:w="1728"/>
          </w:tcPr>
          <w:p>
            <w:r>
              <w:t>FY2024 net position reflects the FY2025 report's restated comparative figure</w:t>
            </w:r>
          </w:p>
        </w:tc>
      </w:tr>
      <w:tr>
        <w:tc>
          <w:tcPr>
            <w:tcW w:type="dxa" w:w="1728"/>
          </w:tcPr>
          <w:p>
            <w:r>
              <w:t>TX</w:t>
            </w:r>
          </w:p>
        </w:tc>
        <w:tc>
          <w:tcPr>
            <w:tcW w:type="dxa" w:w="1728"/>
          </w:tcPr>
          <w:p>
            <w:r>
              <w:t>TDHCA</w:t>
            </w:r>
          </w:p>
        </w:tc>
        <w:tc>
          <w:tcPr>
            <w:tcW w:type="dxa" w:w="1728"/>
          </w:tcPr>
          <w:p>
            <w:r>
              <w:t>Downloaded</w:t>
            </w:r>
          </w:p>
        </w:tc>
        <w:tc>
          <w:tcPr>
            <w:tcW w:type="dxa" w:w="1728"/>
          </w:tcPr>
          <w:p>
            <w:r>
              <w:t>TX_TDHCA_FY2025_ACFR.pdf</w:t>
            </w:r>
          </w:p>
        </w:tc>
        <w:tc>
          <w:tcPr>
            <w:tcW w:type="dxa" w:w="1728"/>
          </w:tcPr>
          <w:p>
            <w:r>
              <w:t>Core metrics not auto-extracted; manual PDF review recommended</w:t>
            </w:r>
          </w:p>
        </w:tc>
      </w:tr>
      <w:tr>
        <w:tc>
          <w:tcPr>
            <w:tcW w:type="dxa" w:w="1728"/>
          </w:tcPr>
          <w:p>
            <w:r>
              <w:t>UT</w:t>
            </w:r>
          </w:p>
        </w:tc>
        <w:tc>
          <w:tcPr>
            <w:tcW w:type="dxa" w:w="1728"/>
          </w:tcPr>
          <w:p>
            <w:r>
              <w:t>UtahHousing</w:t>
            </w:r>
          </w:p>
        </w:tc>
        <w:tc>
          <w:tcPr>
            <w:tcW w:type="dxa" w:w="1728"/>
          </w:tcPr>
          <w:p>
            <w:r>
              <w:t>Downloaded</w:t>
            </w:r>
          </w:p>
        </w:tc>
        <w:tc>
          <w:tcPr>
            <w:tcW w:type="dxa" w:w="1728"/>
          </w:tcPr>
          <w:p>
            <w:r>
              <w:t>UT_UtahHousing_FY2025_ACFR.pdf</w:t>
            </w:r>
          </w:p>
        </w:tc>
        <w:tc>
          <w:tcPr>
            <w:tcW w:type="dxa" w:w="1728"/>
          </w:tcPr>
          <w:p>
            <w:r>
              <w:t>Growth rate verified manually against the ACFR</w:t>
            </w:r>
          </w:p>
        </w:tc>
      </w:tr>
      <w:tr>
        <w:tc>
          <w:tcPr>
            <w:tcW w:type="dxa" w:w="1728"/>
          </w:tcPr>
          <w:p>
            <w:r>
              <w:t>VA</w:t>
            </w:r>
          </w:p>
        </w:tc>
        <w:tc>
          <w:tcPr>
            <w:tcW w:type="dxa" w:w="1728"/>
          </w:tcPr>
          <w:p>
            <w:r>
              <w:t>VirginiaHousing</w:t>
            </w:r>
          </w:p>
        </w:tc>
        <w:tc>
          <w:tcPr>
            <w:tcW w:type="dxa" w:w="1728"/>
          </w:tcPr>
          <w:p>
            <w:r>
              <w:t>Downloaded</w:t>
            </w:r>
          </w:p>
        </w:tc>
        <w:tc>
          <w:tcPr>
            <w:tcW w:type="dxa" w:w="1728"/>
          </w:tcPr>
          <w:p>
            <w:r>
              <w:t>VA_VirginiaHousing_FY2025_ACFR.pdf</w:t>
            </w:r>
          </w:p>
        </w:tc>
        <w:tc>
          <w:tcPr>
            <w:tcW w:type="dxa" w:w="1728"/>
          </w:tcPr>
          <w:p>
            <w:r>
              <w:t>Core metrics not auto-extracted; manual PDF review recommended</w:t>
            </w:r>
          </w:p>
        </w:tc>
      </w:tr>
      <w:tr>
        <w:tc>
          <w:tcPr>
            <w:tcW w:type="dxa" w:w="1728"/>
          </w:tcPr>
          <w:p>
            <w:r>
              <w:t>VT</w:t>
            </w:r>
          </w:p>
        </w:tc>
        <w:tc>
          <w:tcPr>
            <w:tcW w:type="dxa" w:w="1728"/>
          </w:tcPr>
          <w:p>
            <w:r>
              <w:t>VHFA</w:t>
            </w:r>
          </w:p>
        </w:tc>
        <w:tc>
          <w:tcPr>
            <w:tcW w:type="dxa" w:w="1728"/>
          </w:tcPr>
          <w:p>
            <w:r>
              <w:t>Downloaded</w:t>
            </w:r>
          </w:p>
        </w:tc>
        <w:tc>
          <w:tcPr>
            <w:tcW w:type="dxa" w:w="1728"/>
          </w:tcPr>
          <w:p>
            <w:r>
              <w:t>VT_VHFA_FY2025_ACFR.pdf</w:t>
            </w:r>
          </w:p>
        </w:tc>
        <w:tc>
          <w:tcPr>
            <w:tcW w:type="dxa" w:w="1728"/>
          </w:tcPr>
          <w:p>
            <w:r>
              <w:t>Metrics completed from the agency ACFR/financial statements</w:t>
            </w:r>
          </w:p>
        </w:tc>
      </w:tr>
      <w:tr>
        <w:tc>
          <w:tcPr>
            <w:tcW w:type="dxa" w:w="1728"/>
          </w:tcPr>
          <w:p>
            <w:r>
              <w:t>WA</w:t>
            </w:r>
          </w:p>
        </w:tc>
        <w:tc>
          <w:tcPr>
            <w:tcW w:type="dxa" w:w="1728"/>
          </w:tcPr>
          <w:p>
            <w:r>
              <w:t>WSHFC</w:t>
            </w:r>
          </w:p>
        </w:tc>
        <w:tc>
          <w:tcPr>
            <w:tcW w:type="dxa" w:w="1728"/>
          </w:tcPr>
          <w:p>
            <w:r>
              <w:t>Downloaded</w:t>
            </w:r>
          </w:p>
        </w:tc>
        <w:tc>
          <w:tcPr>
            <w:tcW w:type="dxa" w:w="1728"/>
          </w:tcPr>
          <w:p>
            <w:r>
              <w:t>WA_WSHFC_FY2025_ACFR.pdf</w:t>
            </w:r>
          </w:p>
        </w:tc>
        <w:tc>
          <w:tcPr>
            <w:tcW w:type="dxa" w:w="1728"/>
          </w:tcPr>
          <w:p>
            <w:r>
              <w:t>-</w:t>
            </w:r>
          </w:p>
        </w:tc>
      </w:tr>
      <w:tr>
        <w:tc>
          <w:tcPr>
            <w:tcW w:type="dxa" w:w="1728"/>
          </w:tcPr>
          <w:p>
            <w:r>
              <w:t>WI</w:t>
            </w:r>
          </w:p>
        </w:tc>
        <w:tc>
          <w:tcPr>
            <w:tcW w:type="dxa" w:w="1728"/>
          </w:tcPr>
          <w:p>
            <w:r>
              <w:t>WHEDA</w:t>
            </w:r>
          </w:p>
        </w:tc>
        <w:tc>
          <w:tcPr>
            <w:tcW w:type="dxa" w:w="1728"/>
          </w:tcPr>
          <w:p>
            <w:r>
              <w:t>Downloaded</w:t>
            </w:r>
          </w:p>
        </w:tc>
        <w:tc>
          <w:tcPr>
            <w:tcW w:type="dxa" w:w="1728"/>
          </w:tcPr>
          <w:p>
            <w:r>
              <w:t>WI_WHEDA_FY2025_ACFR.pdf</w:t>
            </w:r>
          </w:p>
        </w:tc>
        <w:tc>
          <w:tcPr>
            <w:tcW w:type="dxa" w:w="1728"/>
          </w:tcPr>
          <w:p>
            <w:r>
              <w:t>Core metrics not auto-extracted; manual PDF review recommended</w:t>
            </w:r>
          </w:p>
        </w:tc>
      </w:tr>
      <w:tr>
        <w:tc>
          <w:tcPr>
            <w:tcW w:type="dxa" w:w="1728"/>
          </w:tcPr>
          <w:p>
            <w:r>
              <w:t>WV</w:t>
            </w:r>
          </w:p>
        </w:tc>
        <w:tc>
          <w:tcPr>
            <w:tcW w:type="dxa" w:w="1728"/>
          </w:tcPr>
          <w:p>
            <w:r>
              <w:t>WVHDF</w:t>
            </w:r>
          </w:p>
        </w:tc>
        <w:tc>
          <w:tcPr>
            <w:tcW w:type="dxa" w:w="1728"/>
          </w:tcPr>
          <w:p>
            <w:r>
              <w:t>Downloaded</w:t>
            </w:r>
          </w:p>
        </w:tc>
        <w:tc>
          <w:tcPr>
            <w:tcW w:type="dxa" w:w="1728"/>
          </w:tcPr>
          <w:p>
            <w:r>
              <w:t>WV_WVHDF_FY2025_ACFR.pdf</w:t>
            </w:r>
          </w:p>
        </w:tc>
        <w:tc>
          <w:tcPr>
            <w:tcW w:type="dxa" w:w="1728"/>
          </w:tcPr>
          <w:p>
            <w:r>
              <w:t>-</w:t>
            </w:r>
          </w:p>
        </w:tc>
      </w:tr>
      <w:tr>
        <w:tc>
          <w:tcPr>
            <w:tcW w:type="dxa" w:w="1728"/>
          </w:tcPr>
          <w:p>
            <w:r>
              <w:t>WY</w:t>
            </w:r>
          </w:p>
        </w:tc>
        <w:tc>
          <w:tcPr>
            <w:tcW w:type="dxa" w:w="1728"/>
          </w:tcPr>
          <w:p>
            <w:r>
              <w:t>WCDA</w:t>
            </w:r>
          </w:p>
        </w:tc>
        <w:tc>
          <w:tcPr>
            <w:tcW w:type="dxa" w:w="1728"/>
          </w:tcPr>
          <w:p>
            <w:r>
              <w:t>Downloaded</w:t>
            </w:r>
          </w:p>
        </w:tc>
        <w:tc>
          <w:tcPr>
            <w:tcW w:type="dxa" w:w="1728"/>
          </w:tcPr>
          <w:p>
            <w:r>
              <w:t>WY_WCDA_FY2025_ACFR.pdf</w:t>
            </w:r>
          </w:p>
        </w:tc>
        <w:tc>
          <w:tcPr>
            <w:tcW w:type="dxa" w:w="1728"/>
          </w:tcPr>
          <w:p>
            <w:r>
              <w:t>Core metrics not auto-extracted; manual PDF review recommended</w:t>
            </w:r>
          </w:p>
        </w:tc>
      </w:tr>
    </w:tbl>
    <w:p>
      <w:pPr>
        <w:pStyle w:val="Heading1"/>
      </w:pPr>
      <w:r>
        <w:t>VII. States Without FY2025 Reports</w:t>
      </w:r>
    </w:p>
    <w:p>
      <w:r>
        <w:t>As of this report, the following 7 states or territories had no publicly locatable FY2025 ACFR or audited financial statement. Common reasons include incomplete audits, FY2024-only postings, or filings hosted on nonstandard sites.</w:t>
      </w:r>
    </w:p>
    <w:p>
      <w:pPr>
        <w:pStyle w:val="ListBullet"/>
      </w:pPr>
      <w:r>
        <w:t>AZ - Arizona Department of Housing (ADOH)</w:t>
      </w:r>
    </w:p>
    <w:p>
      <w:pPr>
        <w:pStyle w:val="ListBullet"/>
      </w:pPr>
      <w:r>
        <w:t>NV - Nevada Housing Division (NHD)</w:t>
      </w:r>
    </w:p>
    <w:p>
      <w:pPr>
        <w:pStyle w:val="ListBullet"/>
      </w:pPr>
      <w:r>
        <w:t>NH - New Hampshire Housing Finance Authority (NHHousing)</w:t>
      </w:r>
    </w:p>
    <w:p>
      <w:pPr>
        <w:pStyle w:val="ListBullet"/>
      </w:pPr>
      <w:r>
        <w:t>NJ - New Jersey Housing and Mortgage Finance Agency (NJHMFA)</w:t>
      </w:r>
    </w:p>
    <w:p>
      <w:pPr>
        <w:pStyle w:val="ListBullet"/>
      </w:pPr>
      <w:r>
        <w:t>NY - New York State Homes and Community Renewal (HCR)</w:t>
      </w:r>
    </w:p>
    <w:p>
      <w:pPr>
        <w:pStyle w:val="ListBullet"/>
      </w:pPr>
      <w:r>
        <w:t>OR - Oregon Housing and Community Services (OHCS)</w:t>
      </w:r>
    </w:p>
    <w:p>
      <w:pPr>
        <w:pStyle w:val="ListBullet"/>
      </w:pPr>
      <w:r>
        <w:t>RI - Rhode Island Housing (RIHousing)</w:t>
      </w:r>
    </w:p>
    <w:p>
      <w:pPr>
        <w:pStyle w:val="Heading1"/>
      </w:pPr>
      <w:r>
        <w:t>Appendix: Methodology</w:t>
      </w:r>
    </w:p>
    <w:p>
      <w:r>
        <w:t>Sources are FY2025 ACFRs or audited financial statement PDFs published by state HFAs or state auditors. Extraction prioritizes MD&amp;A financial highlights and Statement of Net Position lines for total assets, total liabilities, and total net position (often reported in thousands of dollars). Disclosure bases differ across governmental activities, business-type activities, and blended presentations; cross-state comparisons should be read with the accompanying notes.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