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Amerykańskie Stanowe Agencje Finansowania Budownictwa Mieszkaniowego — FY2025</w:t>
      </w:r>
      <w:r>
        <w:br/>
      </w:r>
      <w:r>
        <w:rPr>
          <w:b/>
          <w:i w:val="0"/>
        </w:rPr>
        <w:t>Analiza ACFR i sprawozdań finansowych</w:t>
      </w:r>
    </w:p>
    <w:p>
      <w:r>
        <w:rPr>
          <w:b w:val="0"/>
          <w:i w:val="0"/>
        </w:rPr>
        <w:t>Przygotowano: 9 sierpnia 2026 r. | Zakres: 51 stanów/terytoriów | Uzyskane raporty: 45 sprawozdań za FY2025</w:t>
      </w:r>
    </w:p>
    <w:p>
      <w:pPr>
        <w:pStyle w:val="Heading1"/>
      </w:pPr>
      <w:r>
        <w:rPr>
          <w:b w:val="0"/>
          <w:i w:val="0"/>
        </w:rPr>
        <w:t>I. Streszczenie</w:t>
      </w:r>
    </w:p>
    <w:p>
      <w:r>
        <w:rPr>
          <w:b w:val="0"/>
          <w:i w:val="0"/>
        </w:rPr>
        <w:t>Rok podatkowy 2025 (zakończony 30 czerwca 2025 r. dla większości agencji; niektóre raportują w cyklu kalendarzowym) był okresem o istotnym znaczeniu dla stanowych agencji finansowania budownictwa mieszkaniowego (HFA). Stopy procentowe uległy złagodzeniu, nasiliła się konkurencja o ulgi podatkowe na budownictwo mieszkaniowe dla osób o niskich dochodach (LIHTC), a programy dla nabywców pierwszego mieszkania nadal się rozwijały. Niniejszy raport zestawia i porównuje publicznie dostępne raporty ACFR oraz zbadane sprawozdania finansowe HFA ze wszystkich 51 stanów i Dystryktu Kolumbii. Na dzień przygotowania raportu uzyskano 45 sprawozdań za FY2025 (pokrycie na poziomie 88%).</w:t>
      </w:r>
    </w:p>
    <w:p>
      <w:r>
        <w:rPr>
          <w:b w:val="0"/>
          <w:i w:val="0"/>
        </w:rPr>
        <w:t>Wśród 45 agencji, dla których wyodrębniono kluczowe wskaźniki, łączna wartość aktywów netto wynosi około 44,90 mld USD, a łączna wartość aktywów ogółem około 181,48 mld USD. Wartości te mają charakter wyłącznie poglądowy dla skali sektora i nie są porównywalne ze skonsolidowanymi sprawozdaniami finansowymi ze względu na różne podstawy sprawozdawczości. Stanowe HFA funkcjonują głównie jako pośrednicy finansowani obligacjami: po stronie aktywów znajdują się kredyty hipoteczne i deweloperskie, a po stronie zobowiązań — obligacje mieszkaniowe. Wskaźnik aktywów netto (aktywa netto podzielone przez aktywa ogółem) jest przydatnym miernikiem bufora finansowego i odporności agencji.</w:t>
      </w:r>
    </w:p>
    <w:p>
      <w:r>
        <w:rPr>
          <w:b w:val="0"/>
          <w:i w:val="0"/>
        </w:rPr>
        <w:t>Najsilniejszy wzrost aktywów netto rok do roku odnotował stan Missisipi (MHC) — o 121,2% (z niewielkiej bazy 17,5 mln USD do 38,8 mln USD, ponieważ jest to pierwsze sprawozdanie za FY2025 dla Missisipi uwzględnione w tym raporcie); wśród agencji z porównywalną bazą z poprzedniego roku najwyższy wzrost odnotował stan Luizjana (LHC) — o 31,9%, co podniosło wartość aktywów netto do 821,7 mln USD. Tego rodzaju wzrosty często zbiegają się z większą emisją obligacji, wzrostem portfela lub odbiciem wartości godziwej i powinny być interpretowane łącznie ze wskaźnikami produkcji mieszkaniowej (np. liczbą sfinansowanych lokali).</w:t>
      </w:r>
    </w:p>
    <w:p>
      <w:pPr>
        <w:pStyle w:val="Heading1"/>
      </w:pPr>
      <w:r>
        <w:rPr>
          <w:b w:val="0"/>
          <w:i w:val="0"/>
        </w:rPr>
        <w:t>II. Rankingi</w:t>
      </w:r>
    </w:p>
    <w:p>
      <w:pPr>
        <w:pStyle w:val="Heading2"/>
      </w:pPr>
      <w:r>
        <w:rPr>
          <w:b w:val="0"/>
          <w:i w:val="0"/>
        </w:rPr>
        <w:t>2.1 10 najlepszych według aktywów netto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r/>
            <w:r>
              <w:rPr>
                <w:b/>
              </w:rPr>
              <w:t>Poz.</w:t>
            </w:r>
          </w:p>
        </w:tc>
        <w:tc>
          <w:tcPr>
            <w:tcW w:type="dxa" w:w="1440"/>
          </w:tcPr>
          <w:p>
            <w:r/>
            <w:r>
              <w:rPr>
                <w:b/>
              </w:rPr>
              <w:t>Stan</w:t>
            </w:r>
          </w:p>
        </w:tc>
        <w:tc>
          <w:tcPr>
            <w:tcW w:type="dxa" w:w="1440"/>
          </w:tcPr>
          <w:p>
            <w:r/>
            <w:r>
              <w:rPr>
                <w:b/>
              </w:rPr>
              <w:t>Agencja</w:t>
            </w:r>
          </w:p>
        </w:tc>
        <w:tc>
          <w:tcPr>
            <w:tcW w:type="dxa" w:w="1440"/>
          </w:tcPr>
          <w:p>
            <w:r/>
            <w:r>
              <w:rPr>
                <w:b/>
              </w:rPr>
              <w:t>Aktywa netto FY2025</w:t>
            </w:r>
          </w:p>
        </w:tc>
        <w:tc>
          <w:tcPr>
            <w:tcW w:type="dxa" w:w="1440"/>
          </w:tcPr>
          <w:p>
            <w:r/>
            <w:r>
              <w:rPr>
                <w:b/>
              </w:rPr>
              <w:t>Aktywa ogółem FY2025</w:t>
            </w:r>
          </w:p>
        </w:tc>
        <w:tc>
          <w:tcPr>
            <w:tcW w:type="dxa" w:w="1440"/>
          </w:tcPr>
          <w:p>
            <w:r/>
            <w:r>
              <w:rPr>
                <w:b/>
              </w:rPr>
              <w:t>Wskaźnik aktywów netto</w:t>
            </w:r>
          </w:p>
        </w:tc>
      </w:tr>
      <w:tr>
        <w:tc>
          <w:tcPr>
            <w:tcW w:type="dxa" w:w="1440"/>
          </w:tcPr>
          <w:p>
            <w:r/>
            <w:r>
              <w:t>1</w:t>
            </w:r>
          </w:p>
        </w:tc>
        <w:tc>
          <w:tcPr>
            <w:tcW w:type="dxa" w:w="1440"/>
          </w:tcPr>
          <w:p>
            <w:r/>
            <w:r>
              <w:t>FL</w:t>
            </w:r>
          </w:p>
        </w:tc>
        <w:tc>
          <w:tcPr>
            <w:tcW w:type="dxa" w:w="1440"/>
          </w:tcPr>
          <w:p>
            <w:r/>
            <w:r>
              <w:t>FloridaHousing</w:t>
            </w:r>
          </w:p>
        </w:tc>
        <w:tc>
          <w:tcPr>
            <w:tcW w:type="dxa" w:w="1440"/>
          </w:tcPr>
          <w:p>
            <w:r/>
            <w:r>
              <w:t>$4,771.1M</w:t>
            </w:r>
          </w:p>
        </w:tc>
        <w:tc>
          <w:tcPr>
            <w:tcW w:type="dxa" w:w="1440"/>
          </w:tcPr>
          <w:p>
            <w:r/>
            <w:r>
              <w:t>$7,722.4M</w:t>
            </w:r>
          </w:p>
        </w:tc>
        <w:tc>
          <w:tcPr>
            <w:tcW w:type="dxa" w:w="1440"/>
          </w:tcPr>
          <w:p>
            <w:r/>
            <w:r>
              <w:t>+61.8%</w:t>
            </w:r>
          </w:p>
        </w:tc>
      </w:tr>
      <w:tr>
        <w:tc>
          <w:tcPr>
            <w:tcW w:type="dxa" w:w="1440"/>
          </w:tcPr>
          <w:p>
            <w:r/>
            <w:r>
              <w:t>2</w:t>
            </w:r>
          </w:p>
        </w:tc>
        <w:tc>
          <w:tcPr>
            <w:tcW w:type="dxa" w:w="1440"/>
          </w:tcPr>
          <w:p>
            <w:r/>
            <w:r>
              <w:t>VA</w:t>
            </w:r>
          </w:p>
        </w:tc>
        <w:tc>
          <w:tcPr>
            <w:tcW w:type="dxa" w:w="1440"/>
          </w:tcPr>
          <w:p>
            <w:r/>
            <w:r>
              <w:t>VirginiaHousing</w:t>
            </w:r>
          </w:p>
        </w:tc>
        <w:tc>
          <w:tcPr>
            <w:tcW w:type="dxa" w:w="1440"/>
          </w:tcPr>
          <w:p>
            <w:r/>
            <w:r>
              <w:t>$3,963.1M</w:t>
            </w:r>
          </w:p>
        </w:tc>
        <w:tc>
          <w:tcPr>
            <w:tcW w:type="dxa" w:w="1440"/>
          </w:tcPr>
          <w:p>
            <w:r/>
            <w:r>
              <w:t>$12,350.1M</w:t>
            </w:r>
          </w:p>
        </w:tc>
        <w:tc>
          <w:tcPr>
            <w:tcW w:type="dxa" w:w="1440"/>
          </w:tcPr>
          <w:p>
            <w:r/>
            <w:r>
              <w:t>+32.1%</w:t>
            </w:r>
          </w:p>
        </w:tc>
      </w:tr>
      <w:tr>
        <w:tc>
          <w:tcPr>
            <w:tcW w:type="dxa" w:w="1440"/>
          </w:tcPr>
          <w:p>
            <w:r/>
            <w:r>
              <w:t>3</w:t>
            </w:r>
          </w:p>
        </w:tc>
        <w:tc>
          <w:tcPr>
            <w:tcW w:type="dxa" w:w="1440"/>
          </w:tcPr>
          <w:p>
            <w:r/>
            <w:r>
              <w:t>CA</w:t>
            </w:r>
          </w:p>
        </w:tc>
        <w:tc>
          <w:tcPr>
            <w:tcW w:type="dxa" w:w="1440"/>
          </w:tcPr>
          <w:p>
            <w:r/>
            <w:r>
              <w:t>CalHFA</w:t>
            </w:r>
          </w:p>
        </w:tc>
        <w:tc>
          <w:tcPr>
            <w:tcW w:type="dxa" w:w="1440"/>
          </w:tcPr>
          <w:p>
            <w:r/>
            <w:r>
              <w:t>$3,442.9M</w:t>
            </w:r>
          </w:p>
        </w:tc>
        <w:tc>
          <w:tcPr>
            <w:tcW w:type="dxa" w:w="1440"/>
          </w:tcPr>
          <w:p>
            <w:r/>
            <w:r>
              <w:t>$4,980.0M</w:t>
            </w:r>
          </w:p>
        </w:tc>
        <w:tc>
          <w:tcPr>
            <w:tcW w:type="dxa" w:w="1440"/>
          </w:tcPr>
          <w:p>
            <w:r/>
            <w:r>
              <w:t>+69.1%</w:t>
            </w:r>
          </w:p>
        </w:tc>
      </w:tr>
      <w:tr>
        <w:tc>
          <w:tcPr>
            <w:tcW w:type="dxa" w:w="1440"/>
          </w:tcPr>
          <w:p>
            <w:r/>
            <w:r>
              <w:t>4</w:t>
            </w:r>
          </w:p>
        </w:tc>
        <w:tc>
          <w:tcPr>
            <w:tcW w:type="dxa" w:w="1440"/>
          </w:tcPr>
          <w:p>
            <w:r/>
            <w:r>
              <w:t>HI</w:t>
            </w:r>
          </w:p>
        </w:tc>
        <w:tc>
          <w:tcPr>
            <w:tcW w:type="dxa" w:w="1440"/>
          </w:tcPr>
          <w:p>
            <w:r/>
            <w:r>
              <w:t>HHFDC</w:t>
            </w:r>
          </w:p>
        </w:tc>
        <w:tc>
          <w:tcPr>
            <w:tcW w:type="dxa" w:w="1440"/>
          </w:tcPr>
          <w:p>
            <w:r/>
            <w:r>
              <w:t>$2,653.2M</w:t>
            </w:r>
          </w:p>
        </w:tc>
        <w:tc>
          <w:tcPr>
            <w:tcW w:type="dxa" w:w="1440"/>
          </w:tcPr>
          <w:p>
            <w:r/>
            <w:r>
              <w:t>$2,708.7M</w:t>
            </w:r>
          </w:p>
        </w:tc>
        <w:tc>
          <w:tcPr>
            <w:tcW w:type="dxa" w:w="1440"/>
          </w:tcPr>
          <w:p>
            <w:r/>
            <w:r>
              <w:t>+98.0%</w:t>
            </w:r>
          </w:p>
        </w:tc>
      </w:tr>
      <w:tr>
        <w:tc>
          <w:tcPr>
            <w:tcW w:type="dxa" w:w="1440"/>
          </w:tcPr>
          <w:p>
            <w:r/>
            <w:r>
              <w:t>5</w:t>
            </w:r>
          </w:p>
        </w:tc>
        <w:tc>
          <w:tcPr>
            <w:tcW w:type="dxa" w:w="1440"/>
          </w:tcPr>
          <w:p>
            <w:r/>
            <w:r>
              <w:t>MA</w:t>
            </w:r>
          </w:p>
        </w:tc>
        <w:tc>
          <w:tcPr>
            <w:tcW w:type="dxa" w:w="1440"/>
          </w:tcPr>
          <w:p>
            <w:r/>
            <w:r>
              <w:t>MassHousing</w:t>
            </w:r>
          </w:p>
        </w:tc>
        <w:tc>
          <w:tcPr>
            <w:tcW w:type="dxa" w:w="1440"/>
          </w:tcPr>
          <w:p>
            <w:r/>
            <w:r>
              <w:t>$2,083.9M</w:t>
            </w:r>
          </w:p>
        </w:tc>
        <w:tc>
          <w:tcPr>
            <w:tcW w:type="dxa" w:w="1440"/>
          </w:tcPr>
          <w:p>
            <w:r/>
            <w:r>
              <w:t>$8,079.7M</w:t>
            </w:r>
          </w:p>
        </w:tc>
        <w:tc>
          <w:tcPr>
            <w:tcW w:type="dxa" w:w="1440"/>
          </w:tcPr>
          <w:p>
            <w:r/>
            <w:r>
              <w:t>+25.8%</w:t>
            </w:r>
          </w:p>
        </w:tc>
      </w:tr>
      <w:tr>
        <w:tc>
          <w:tcPr>
            <w:tcW w:type="dxa" w:w="1440"/>
          </w:tcPr>
          <w:p>
            <w:r/>
            <w:r>
              <w:t>6</w:t>
            </w:r>
          </w:p>
        </w:tc>
        <w:tc>
          <w:tcPr>
            <w:tcW w:type="dxa" w:w="1440"/>
          </w:tcPr>
          <w:p>
            <w:r/>
            <w:r>
              <w:t>AK</w:t>
            </w:r>
          </w:p>
        </w:tc>
        <w:tc>
          <w:tcPr>
            <w:tcW w:type="dxa" w:w="1440"/>
          </w:tcPr>
          <w:p>
            <w:r/>
            <w:r>
              <w:t>AHFC</w:t>
            </w:r>
          </w:p>
        </w:tc>
        <w:tc>
          <w:tcPr>
            <w:tcW w:type="dxa" w:w="1440"/>
          </w:tcPr>
          <w:p>
            <w:r/>
            <w:r>
              <w:t>$1,699.2M</w:t>
            </w:r>
          </w:p>
        </w:tc>
        <w:tc>
          <w:tcPr>
            <w:tcW w:type="dxa" w:w="1440"/>
          </w:tcPr>
          <w:p>
            <w:r/>
            <w:r>
              <w:t>$4,734.4M</w:t>
            </w:r>
          </w:p>
        </w:tc>
        <w:tc>
          <w:tcPr>
            <w:tcW w:type="dxa" w:w="1440"/>
          </w:tcPr>
          <w:p>
            <w:r/>
            <w:r>
              <w:t>+35.9%</w:t>
            </w:r>
          </w:p>
        </w:tc>
      </w:tr>
      <w:tr>
        <w:tc>
          <w:tcPr>
            <w:tcW w:type="dxa" w:w="1440"/>
          </w:tcPr>
          <w:p>
            <w:r/>
            <w:r>
              <w:t>7</w:t>
            </w:r>
          </w:p>
        </w:tc>
        <w:tc>
          <w:tcPr>
            <w:tcW w:type="dxa" w:w="1440"/>
          </w:tcPr>
          <w:p>
            <w:r/>
            <w:r>
              <w:t>IA</w:t>
            </w:r>
          </w:p>
        </w:tc>
        <w:tc>
          <w:tcPr>
            <w:tcW w:type="dxa" w:w="1440"/>
          </w:tcPr>
          <w:p>
            <w:r/>
            <w:r>
              <w:t>IFA</w:t>
            </w:r>
          </w:p>
        </w:tc>
        <w:tc>
          <w:tcPr>
            <w:tcW w:type="dxa" w:w="1440"/>
          </w:tcPr>
          <w:p>
            <w:r/>
            <w:r>
              <w:t>$1,664.6M</w:t>
            </w:r>
          </w:p>
        </w:tc>
        <w:tc>
          <w:tcPr>
            <w:tcW w:type="dxa" w:w="1440"/>
          </w:tcPr>
          <w:p>
            <w:r/>
            <w:r>
              <w:t>$6,173.2M</w:t>
            </w:r>
          </w:p>
        </w:tc>
        <w:tc>
          <w:tcPr>
            <w:tcW w:type="dxa" w:w="1440"/>
          </w:tcPr>
          <w:p>
            <w:r/>
            <w:r>
              <w:t>+27.0%</w:t>
            </w:r>
          </w:p>
        </w:tc>
      </w:tr>
      <w:tr>
        <w:tc>
          <w:tcPr>
            <w:tcW w:type="dxa" w:w="1440"/>
          </w:tcPr>
          <w:p>
            <w:r/>
            <w:r>
              <w:t>8</w:t>
            </w:r>
          </w:p>
        </w:tc>
        <w:tc>
          <w:tcPr>
            <w:tcW w:type="dxa" w:w="1440"/>
          </w:tcPr>
          <w:p>
            <w:r/>
            <w:r>
              <w:t>MN</w:t>
            </w:r>
          </w:p>
        </w:tc>
        <w:tc>
          <w:tcPr>
            <w:tcW w:type="dxa" w:w="1440"/>
          </w:tcPr>
          <w:p>
            <w:r/>
            <w:r>
              <w:t>MNHousing</w:t>
            </w:r>
          </w:p>
        </w:tc>
        <w:tc>
          <w:tcPr>
            <w:tcW w:type="dxa" w:w="1440"/>
          </w:tcPr>
          <w:p>
            <w:r/>
            <w:r>
              <w:t>$1,649.4M</w:t>
            </w:r>
          </w:p>
        </w:tc>
        <w:tc>
          <w:tcPr>
            <w:tcW w:type="dxa" w:w="1440"/>
          </w:tcPr>
          <w:p>
            <w:r/>
            <w:r>
              <w:t>$8,543.3M</w:t>
            </w:r>
          </w:p>
        </w:tc>
        <w:tc>
          <w:tcPr>
            <w:tcW w:type="dxa" w:w="1440"/>
          </w:tcPr>
          <w:p>
            <w:r/>
            <w:r>
              <w:t>+19.3%</w:t>
            </w:r>
          </w:p>
        </w:tc>
      </w:tr>
      <w:tr>
        <w:tc>
          <w:tcPr>
            <w:tcW w:type="dxa" w:w="1440"/>
          </w:tcPr>
          <w:p>
            <w:r/>
            <w:r>
              <w:t>9</w:t>
            </w:r>
          </w:p>
        </w:tc>
        <w:tc>
          <w:tcPr>
            <w:tcW w:type="dxa" w:w="1440"/>
          </w:tcPr>
          <w:p>
            <w:r/>
            <w:r>
              <w:t>IL</w:t>
            </w:r>
          </w:p>
        </w:tc>
        <w:tc>
          <w:tcPr>
            <w:tcW w:type="dxa" w:w="1440"/>
          </w:tcPr>
          <w:p>
            <w:r/>
            <w:r>
              <w:t>IHDA</w:t>
            </w:r>
          </w:p>
        </w:tc>
        <w:tc>
          <w:tcPr>
            <w:tcW w:type="dxa" w:w="1440"/>
          </w:tcPr>
          <w:p>
            <w:r/>
            <w:r>
              <w:t>$1,533.7M</w:t>
            </w:r>
          </w:p>
        </w:tc>
        <w:tc>
          <w:tcPr>
            <w:tcW w:type="dxa" w:w="1440"/>
          </w:tcPr>
          <w:p>
            <w:r/>
            <w:r>
              <w:t>$7,846.5M</w:t>
            </w:r>
          </w:p>
        </w:tc>
        <w:tc>
          <w:tcPr>
            <w:tcW w:type="dxa" w:w="1440"/>
          </w:tcPr>
          <w:p>
            <w:r/>
            <w:r>
              <w:t>+19.5%</w:t>
            </w:r>
          </w:p>
        </w:tc>
      </w:tr>
      <w:tr>
        <w:tc>
          <w:tcPr>
            <w:tcW w:type="dxa" w:w="1440"/>
          </w:tcPr>
          <w:p>
            <w:r/>
            <w:r>
              <w:t>10</w:t>
            </w:r>
          </w:p>
        </w:tc>
        <w:tc>
          <w:tcPr>
            <w:tcW w:type="dxa" w:w="1440"/>
          </w:tcPr>
          <w:p>
            <w:r/>
            <w:r>
              <w:t>MI</w:t>
            </w:r>
          </w:p>
        </w:tc>
        <w:tc>
          <w:tcPr>
            <w:tcW w:type="dxa" w:w="1440"/>
          </w:tcPr>
          <w:p>
            <w:r/>
            <w:r>
              <w:t>MSHDA</w:t>
            </w:r>
          </w:p>
        </w:tc>
        <w:tc>
          <w:tcPr>
            <w:tcW w:type="dxa" w:w="1440"/>
          </w:tcPr>
          <w:p>
            <w:r/>
            <w:r>
              <w:t>$1,292.0M</w:t>
            </w:r>
          </w:p>
        </w:tc>
        <w:tc>
          <w:tcPr>
            <w:tcW w:type="dxa" w:w="1440"/>
          </w:tcPr>
          <w:p>
            <w:r/>
            <w:r>
              <w:t>$8,027.8M</w:t>
            </w:r>
          </w:p>
        </w:tc>
        <w:tc>
          <w:tcPr>
            <w:tcW w:type="dxa" w:w="1440"/>
          </w:tcPr>
          <w:p>
            <w:r/>
            <w:r>
              <w:t>+16.1%</w:t>
            </w:r>
          </w:p>
        </w:tc>
      </w:tr>
    </w:tbl>
    <w:p/>
    <w:p>
      <w:r>
        <w:rPr>
          <w:b w:val="0"/>
          <w:i w:val="0"/>
        </w:rPr>
        <w:t>Pod względem aktywów netto przodują Floryda, Wirginia i Kalifornia, a za nimi plasują się Hawaje i Massachusetts. Większe agencje zazwyczaj prowadzą jednocześnie programy obligacji przychodowych na budownictwo wielorodzinne i programy kredytów hipotecznych jednorodzinnych. Wielkość sama w sobie nie jest miarą efektywności, ale często koreluje z lepszym dostępem do rynku, niższymi krańcowymi kosztami finansowania oraz większą zdolnością do finansowania dużych transakcji w zakresie mieszkalnictwa dostępnego cenowo w okresach zmian polityki federalnej.</w:t>
      </w:r>
    </w:p>
    <w:p>
      <w:pPr>
        <w:pStyle w:val="Heading2"/>
      </w:pPr>
      <w:r>
        <w:rPr>
          <w:b w:val="0"/>
          <w:i w:val="0"/>
        </w:rPr>
        <w:t>2.2 10 najlepszych według wzrostu aktywów netto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r/>
            <w:r>
              <w:rPr>
                <w:b/>
              </w:rPr>
              <w:t>Poz.</w:t>
            </w:r>
          </w:p>
        </w:tc>
        <w:tc>
          <w:tcPr>
            <w:tcW w:type="dxa" w:w="1440"/>
          </w:tcPr>
          <w:p>
            <w:r/>
            <w:r>
              <w:rPr>
                <w:b/>
              </w:rPr>
              <w:t>Stan</w:t>
            </w:r>
          </w:p>
        </w:tc>
        <w:tc>
          <w:tcPr>
            <w:tcW w:type="dxa" w:w="1440"/>
          </w:tcPr>
          <w:p>
            <w:r/>
            <w:r>
              <w:rPr>
                <w:b/>
              </w:rPr>
              <w:t>Agencja</w:t>
            </w:r>
          </w:p>
        </w:tc>
        <w:tc>
          <w:tcPr>
            <w:tcW w:type="dxa" w:w="1440"/>
          </w:tcPr>
          <w:p>
            <w:r/>
            <w:r>
              <w:rPr>
                <w:b/>
              </w:rPr>
              <w:t>Zmiana aktywów netto</w:t>
            </w:r>
          </w:p>
        </w:tc>
        <w:tc>
          <w:tcPr>
            <w:tcW w:type="dxa" w:w="1440"/>
          </w:tcPr>
          <w:p>
            <w:r/>
            <w:r>
              <w:rPr>
                <w:b/>
              </w:rPr>
              <w:t>Tempo wzrostu</w:t>
            </w:r>
          </w:p>
        </w:tc>
        <w:tc>
          <w:tcPr>
            <w:tcW w:type="dxa" w:w="1440"/>
          </w:tcPr>
          <w:p>
            <w:r/>
            <w:r>
              <w:rPr>
                <w:b/>
              </w:rPr>
              <w:t>Aktywa netto FY2025</w:t>
            </w:r>
          </w:p>
        </w:tc>
      </w:tr>
      <w:tr>
        <w:tc>
          <w:tcPr>
            <w:tcW w:type="dxa" w:w="1440"/>
          </w:tcPr>
          <w:p>
            <w:r/>
            <w:r>
              <w:t>1</w:t>
            </w:r>
          </w:p>
        </w:tc>
        <w:tc>
          <w:tcPr>
            <w:tcW w:type="dxa" w:w="1440"/>
          </w:tcPr>
          <w:p>
            <w:r/>
            <w:r>
              <w:t>MS</w:t>
            </w:r>
          </w:p>
        </w:tc>
        <w:tc>
          <w:tcPr>
            <w:tcW w:type="dxa" w:w="1440"/>
          </w:tcPr>
          <w:p>
            <w:r/>
            <w:r>
              <w:t>MHC</w:t>
            </w:r>
          </w:p>
        </w:tc>
        <w:tc>
          <w:tcPr>
            <w:tcW w:type="dxa" w:w="1440"/>
          </w:tcPr>
          <w:p>
            <w:r/>
            <w:r>
              <w:t>$21.3M</w:t>
            </w:r>
          </w:p>
        </w:tc>
        <w:tc>
          <w:tcPr>
            <w:tcW w:type="dxa" w:w="1440"/>
          </w:tcPr>
          <w:p>
            <w:r/>
            <w:r>
              <w:t>+121.2%</w:t>
            </w:r>
          </w:p>
        </w:tc>
        <w:tc>
          <w:tcPr>
            <w:tcW w:type="dxa" w:w="1440"/>
          </w:tcPr>
          <w:p>
            <w:r/>
            <w:r>
              <w:t>$38.8M</w:t>
            </w:r>
          </w:p>
        </w:tc>
      </w:tr>
      <w:tr>
        <w:tc>
          <w:tcPr>
            <w:tcW w:type="dxa" w:w="1440"/>
          </w:tcPr>
          <w:p>
            <w:r/>
            <w:r>
              <w:t>2</w:t>
            </w:r>
          </w:p>
        </w:tc>
        <w:tc>
          <w:tcPr>
            <w:tcW w:type="dxa" w:w="1440"/>
          </w:tcPr>
          <w:p>
            <w:r/>
            <w:r>
              <w:t>LA</w:t>
            </w:r>
          </w:p>
        </w:tc>
        <w:tc>
          <w:tcPr>
            <w:tcW w:type="dxa" w:w="1440"/>
          </w:tcPr>
          <w:p>
            <w:r/>
            <w:r>
              <w:t>LHC</w:t>
            </w:r>
          </w:p>
        </w:tc>
        <w:tc>
          <w:tcPr>
            <w:tcW w:type="dxa" w:w="1440"/>
          </w:tcPr>
          <w:p>
            <w:r/>
            <w:r>
              <w:t>$198.7M</w:t>
            </w:r>
          </w:p>
        </w:tc>
        <w:tc>
          <w:tcPr>
            <w:tcW w:type="dxa" w:w="1440"/>
          </w:tcPr>
          <w:p>
            <w:r/>
            <w:r>
              <w:t>+31.9%</w:t>
            </w:r>
          </w:p>
        </w:tc>
        <w:tc>
          <w:tcPr>
            <w:tcW w:type="dxa" w:w="1440"/>
          </w:tcPr>
          <w:p>
            <w:r/>
            <w:r>
              <w:t>$821.7M</w:t>
            </w:r>
          </w:p>
        </w:tc>
      </w:tr>
      <w:tr>
        <w:tc>
          <w:tcPr>
            <w:tcW w:type="dxa" w:w="1440"/>
          </w:tcPr>
          <w:p>
            <w:r/>
            <w:r>
              <w:t>3</w:t>
            </w:r>
          </w:p>
        </w:tc>
        <w:tc>
          <w:tcPr>
            <w:tcW w:type="dxa" w:w="1440"/>
          </w:tcPr>
          <w:p>
            <w:r/>
            <w:r>
              <w:t>MD</w:t>
            </w:r>
          </w:p>
        </w:tc>
        <w:tc>
          <w:tcPr>
            <w:tcW w:type="dxa" w:w="1440"/>
          </w:tcPr>
          <w:p>
            <w:r/>
            <w:r>
              <w:t>CDA</w:t>
            </w:r>
          </w:p>
        </w:tc>
        <w:tc>
          <w:tcPr>
            <w:tcW w:type="dxa" w:w="1440"/>
          </w:tcPr>
          <w:p>
            <w:r/>
            <w:r>
              <w:t>$125.0M</w:t>
            </w:r>
          </w:p>
        </w:tc>
        <w:tc>
          <w:tcPr>
            <w:tcW w:type="dxa" w:w="1440"/>
          </w:tcPr>
          <w:p>
            <w:r/>
            <w:r>
              <w:t>+28.0%</w:t>
            </w:r>
          </w:p>
        </w:tc>
        <w:tc>
          <w:tcPr>
            <w:tcW w:type="dxa" w:w="1440"/>
          </w:tcPr>
          <w:p>
            <w:r/>
            <w:r>
              <w:t>$572.1M</w:t>
            </w:r>
          </w:p>
        </w:tc>
      </w:tr>
      <w:tr>
        <w:tc>
          <w:tcPr>
            <w:tcW w:type="dxa" w:w="1440"/>
          </w:tcPr>
          <w:p>
            <w:r/>
            <w:r>
              <w:t>4</w:t>
            </w:r>
          </w:p>
        </w:tc>
        <w:tc>
          <w:tcPr>
            <w:tcW w:type="dxa" w:w="1440"/>
          </w:tcPr>
          <w:p>
            <w:r/>
            <w:r>
              <w:t>CT</w:t>
            </w:r>
          </w:p>
        </w:tc>
        <w:tc>
          <w:tcPr>
            <w:tcW w:type="dxa" w:w="1440"/>
          </w:tcPr>
          <w:p>
            <w:r/>
            <w:r>
              <w:t>CHFA</w:t>
            </w:r>
          </w:p>
        </w:tc>
        <w:tc>
          <w:tcPr>
            <w:tcW w:type="dxa" w:w="1440"/>
          </w:tcPr>
          <w:p>
            <w:r/>
            <w:r>
              <w:t>$192.6M</w:t>
            </w:r>
          </w:p>
        </w:tc>
        <w:tc>
          <w:tcPr>
            <w:tcW w:type="dxa" w:w="1440"/>
          </w:tcPr>
          <w:p>
            <w:r/>
            <w:r>
              <w:t>+25.2%</w:t>
            </w:r>
          </w:p>
        </w:tc>
        <w:tc>
          <w:tcPr>
            <w:tcW w:type="dxa" w:w="1440"/>
          </w:tcPr>
          <w:p>
            <w:r/>
            <w:r>
              <w:t>$957.0M</w:t>
            </w:r>
          </w:p>
        </w:tc>
      </w:tr>
      <w:tr>
        <w:tc>
          <w:tcPr>
            <w:tcW w:type="dxa" w:w="1440"/>
          </w:tcPr>
          <w:p>
            <w:r/>
            <w:r>
              <w:t>5</w:t>
            </w:r>
          </w:p>
        </w:tc>
        <w:tc>
          <w:tcPr>
            <w:tcW w:type="dxa" w:w="1440"/>
          </w:tcPr>
          <w:p>
            <w:r/>
            <w:r>
              <w:t>IN</w:t>
            </w:r>
          </w:p>
        </w:tc>
        <w:tc>
          <w:tcPr>
            <w:tcW w:type="dxa" w:w="1440"/>
          </w:tcPr>
          <w:p>
            <w:r/>
            <w:r>
              <w:t>IHCDA</w:t>
            </w:r>
          </w:p>
        </w:tc>
        <w:tc>
          <w:tcPr>
            <w:tcW w:type="dxa" w:w="1440"/>
          </w:tcPr>
          <w:p>
            <w:r/>
            <w:r>
              <w:t>$101.6M</w:t>
            </w:r>
          </w:p>
        </w:tc>
        <w:tc>
          <w:tcPr>
            <w:tcW w:type="dxa" w:w="1440"/>
          </w:tcPr>
          <w:p>
            <w:r/>
            <w:r>
              <w:t>+20.4%</w:t>
            </w:r>
          </w:p>
        </w:tc>
        <w:tc>
          <w:tcPr>
            <w:tcW w:type="dxa" w:w="1440"/>
          </w:tcPr>
          <w:p>
            <w:r/>
            <w:r>
              <w:t>$599.5M</w:t>
            </w:r>
          </w:p>
        </w:tc>
      </w:tr>
      <w:tr>
        <w:tc>
          <w:tcPr>
            <w:tcW w:type="dxa" w:w="1440"/>
          </w:tcPr>
          <w:p>
            <w:r/>
            <w:r>
              <w:t>6</w:t>
            </w:r>
          </w:p>
        </w:tc>
        <w:tc>
          <w:tcPr>
            <w:tcW w:type="dxa" w:w="1440"/>
          </w:tcPr>
          <w:p>
            <w:r/>
            <w:r>
              <w:t>OH</w:t>
            </w:r>
          </w:p>
        </w:tc>
        <w:tc>
          <w:tcPr>
            <w:tcW w:type="dxa" w:w="1440"/>
          </w:tcPr>
          <w:p>
            <w:r/>
            <w:r>
              <w:t>OHFA</w:t>
            </w:r>
          </w:p>
        </w:tc>
        <w:tc>
          <w:tcPr>
            <w:tcW w:type="dxa" w:w="1440"/>
          </w:tcPr>
          <w:p>
            <w:r/>
            <w:r>
              <w:t>$86.9M</w:t>
            </w:r>
          </w:p>
        </w:tc>
        <w:tc>
          <w:tcPr>
            <w:tcW w:type="dxa" w:w="1440"/>
          </w:tcPr>
          <w:p>
            <w:r/>
            <w:r>
              <w:t>+19.8%</w:t>
            </w:r>
          </w:p>
        </w:tc>
        <w:tc>
          <w:tcPr>
            <w:tcW w:type="dxa" w:w="1440"/>
          </w:tcPr>
          <w:p>
            <w:r/>
            <w:r>
              <w:t>$526.1M</w:t>
            </w:r>
          </w:p>
        </w:tc>
      </w:tr>
      <w:tr>
        <w:tc>
          <w:tcPr>
            <w:tcW w:type="dxa" w:w="1440"/>
          </w:tcPr>
          <w:p>
            <w:r/>
            <w:r>
              <w:t>7</w:t>
            </w:r>
          </w:p>
        </w:tc>
        <w:tc>
          <w:tcPr>
            <w:tcW w:type="dxa" w:w="1440"/>
          </w:tcPr>
          <w:p>
            <w:r/>
            <w:r>
              <w:t>MN</w:t>
            </w:r>
          </w:p>
        </w:tc>
        <w:tc>
          <w:tcPr>
            <w:tcW w:type="dxa" w:w="1440"/>
          </w:tcPr>
          <w:p>
            <w:r/>
            <w:r>
              <w:t>MNHousing</w:t>
            </w:r>
          </w:p>
        </w:tc>
        <w:tc>
          <w:tcPr>
            <w:tcW w:type="dxa" w:w="1440"/>
          </w:tcPr>
          <w:p>
            <w:r/>
            <w:r>
              <w:t>$259.9M</w:t>
            </w:r>
          </w:p>
        </w:tc>
        <w:tc>
          <w:tcPr>
            <w:tcW w:type="dxa" w:w="1440"/>
          </w:tcPr>
          <w:p>
            <w:r/>
            <w:r>
              <w:t>+18.7%</w:t>
            </w:r>
          </w:p>
        </w:tc>
        <w:tc>
          <w:tcPr>
            <w:tcW w:type="dxa" w:w="1440"/>
          </w:tcPr>
          <w:p>
            <w:r/>
            <w:r>
              <w:t>$1,649.4M</w:t>
            </w:r>
          </w:p>
        </w:tc>
      </w:tr>
      <w:tr>
        <w:tc>
          <w:tcPr>
            <w:tcW w:type="dxa" w:w="1440"/>
          </w:tcPr>
          <w:p>
            <w:r/>
            <w:r>
              <w:t>8</w:t>
            </w:r>
          </w:p>
        </w:tc>
        <w:tc>
          <w:tcPr>
            <w:tcW w:type="dxa" w:w="1440"/>
          </w:tcPr>
          <w:p>
            <w:r/>
            <w:r>
              <w:t>UT</w:t>
            </w:r>
          </w:p>
        </w:tc>
        <w:tc>
          <w:tcPr>
            <w:tcW w:type="dxa" w:w="1440"/>
          </w:tcPr>
          <w:p>
            <w:r/>
            <w:r>
              <w:t>UtahHousing</w:t>
            </w:r>
          </w:p>
        </w:tc>
        <w:tc>
          <w:tcPr>
            <w:tcW w:type="dxa" w:w="1440"/>
          </w:tcPr>
          <w:p>
            <w:r/>
            <w:r>
              <w:t>$96.2M</w:t>
            </w:r>
          </w:p>
        </w:tc>
        <w:tc>
          <w:tcPr>
            <w:tcW w:type="dxa" w:w="1440"/>
          </w:tcPr>
          <w:p>
            <w:r/>
            <w:r>
              <w:t>+18.7%</w:t>
            </w:r>
          </w:p>
        </w:tc>
        <w:tc>
          <w:tcPr>
            <w:tcW w:type="dxa" w:w="1440"/>
          </w:tcPr>
          <w:p>
            <w:r/>
            <w:r>
              <w:t>$610.6M</w:t>
            </w:r>
          </w:p>
        </w:tc>
      </w:tr>
      <w:tr>
        <w:tc>
          <w:tcPr>
            <w:tcW w:type="dxa" w:w="1440"/>
          </w:tcPr>
          <w:p>
            <w:r/>
            <w:r>
              <w:t>9</w:t>
            </w:r>
          </w:p>
        </w:tc>
        <w:tc>
          <w:tcPr>
            <w:tcW w:type="dxa" w:w="1440"/>
          </w:tcPr>
          <w:p>
            <w:r/>
            <w:r>
              <w:t>WI</w:t>
            </w:r>
          </w:p>
        </w:tc>
        <w:tc>
          <w:tcPr>
            <w:tcW w:type="dxa" w:w="1440"/>
          </w:tcPr>
          <w:p>
            <w:r/>
            <w:r>
              <w:t>WHEDA</w:t>
            </w:r>
          </w:p>
        </w:tc>
        <w:tc>
          <w:tcPr>
            <w:tcW w:type="dxa" w:w="1440"/>
          </w:tcPr>
          <w:p>
            <w:r/>
            <w:r>
              <w:t>$169.7M</w:t>
            </w:r>
          </w:p>
        </w:tc>
        <w:tc>
          <w:tcPr>
            <w:tcW w:type="dxa" w:w="1440"/>
          </w:tcPr>
          <w:p>
            <w:r/>
            <w:r>
              <w:t>+17.6%</w:t>
            </w:r>
          </w:p>
        </w:tc>
        <w:tc>
          <w:tcPr>
            <w:tcW w:type="dxa" w:w="1440"/>
          </w:tcPr>
          <w:p>
            <w:r/>
            <w:r>
              <w:t>$1,134.1M</w:t>
            </w:r>
          </w:p>
        </w:tc>
      </w:tr>
      <w:tr>
        <w:tc>
          <w:tcPr>
            <w:tcW w:type="dxa" w:w="1440"/>
          </w:tcPr>
          <w:p>
            <w:r/>
            <w:r>
              <w:t>10</w:t>
            </w:r>
          </w:p>
        </w:tc>
        <w:tc>
          <w:tcPr>
            <w:tcW w:type="dxa" w:w="1440"/>
          </w:tcPr>
          <w:p>
            <w:r/>
            <w:r>
              <w:t>CO</w:t>
            </w:r>
          </w:p>
        </w:tc>
        <w:tc>
          <w:tcPr>
            <w:tcW w:type="dxa" w:w="1440"/>
          </w:tcPr>
          <w:p>
            <w:r/>
            <w:r>
              <w:t>CHFA</w:t>
            </w:r>
          </w:p>
        </w:tc>
        <w:tc>
          <w:tcPr>
            <w:tcW w:type="dxa" w:w="1440"/>
          </w:tcPr>
          <w:p>
            <w:r/>
            <w:r>
              <w:t>$143.3M</w:t>
            </w:r>
          </w:p>
        </w:tc>
        <w:tc>
          <w:tcPr>
            <w:tcW w:type="dxa" w:w="1440"/>
          </w:tcPr>
          <w:p>
            <w:r/>
            <w:r>
              <w:t>+17.3%</w:t>
            </w:r>
          </w:p>
        </w:tc>
        <w:tc>
          <w:tcPr>
            <w:tcW w:type="dxa" w:w="1440"/>
          </w:tcPr>
          <w:p>
            <w:r/>
            <w:r>
              <w:t>$971.7M</w:t>
            </w:r>
          </w:p>
        </w:tc>
      </w:tr>
    </w:tbl>
    <w:p/>
    <w:p>
      <w:r>
        <w:rPr>
          <w:b w:val="0"/>
          <w:i w:val="0"/>
        </w:rPr>
        <w:t>Missisipi odnotowało najwyższy procentowy wzrost aktywów netto rok do roku (+121,2%), choć z niewielkiej bazy, jako nowo uwzględnione sprawozdanie za FY2025. Wśród agencji z porównywalną bazą z poprzedniego roku najwyższy wzrost odnotowała Luizjana, a Connecticut, Indiana, Ohio, Minnesota i Utah również wykazały wzrosty rzędu kilkunastu do dwudziestu kilku procent. Szybki wzrost zwykle odzwierciedla odbicie emisji obligacji, rozwiązanie rezerw na straty kredytowe lub zyski z wyceny w wartości godziwej, bądź wyższe dochody z opłat i marż w stanowych programach dla nabywców mieszkań. Wzrosty wynikające głównie ze zmian wartości godziwej, a nie z wyników operacyjnych, mogą okazać się mniej trwałe.</w:t>
      </w:r>
    </w:p>
    <w:p>
      <w:pPr>
        <w:pStyle w:val="Heading2"/>
      </w:pPr>
      <w:r>
        <w:rPr>
          <w:b w:val="0"/>
          <w:i w:val="0"/>
        </w:rPr>
        <w:t>2.3 10 najlepszych według aktywów ogółem</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r>
              <w:rPr>
                <w:b/>
              </w:rPr>
              <w:t>Poz.</w:t>
            </w:r>
          </w:p>
        </w:tc>
        <w:tc>
          <w:tcPr>
            <w:tcW w:type="dxa" w:w="1728"/>
          </w:tcPr>
          <w:p>
            <w:r/>
            <w:r>
              <w:rPr>
                <w:b/>
              </w:rPr>
              <w:t>Stan</w:t>
            </w:r>
          </w:p>
        </w:tc>
        <w:tc>
          <w:tcPr>
            <w:tcW w:type="dxa" w:w="1728"/>
          </w:tcPr>
          <w:p>
            <w:r/>
            <w:r>
              <w:rPr>
                <w:b/>
              </w:rPr>
              <w:t>Agencja</w:t>
            </w:r>
          </w:p>
        </w:tc>
        <w:tc>
          <w:tcPr>
            <w:tcW w:type="dxa" w:w="1728"/>
          </w:tcPr>
          <w:p>
            <w:r/>
            <w:r>
              <w:rPr>
                <w:b/>
              </w:rPr>
              <w:t>Aktywa ogółem FY2025</w:t>
            </w:r>
          </w:p>
        </w:tc>
        <w:tc>
          <w:tcPr>
            <w:tcW w:type="dxa" w:w="1728"/>
          </w:tcPr>
          <w:p>
            <w:r/>
            <w:r>
              <w:rPr>
                <w:b/>
              </w:rPr>
              <w:t>Aktywa netto FY2025</w:t>
            </w:r>
          </w:p>
        </w:tc>
      </w:tr>
      <w:tr>
        <w:tc>
          <w:tcPr>
            <w:tcW w:type="dxa" w:w="1728"/>
          </w:tcPr>
          <w:p>
            <w:r/>
            <w:r>
              <w:t>1</w:t>
            </w:r>
          </w:p>
        </w:tc>
        <w:tc>
          <w:tcPr>
            <w:tcW w:type="dxa" w:w="1728"/>
          </w:tcPr>
          <w:p>
            <w:r/>
            <w:r>
              <w:t>VA</w:t>
            </w:r>
          </w:p>
        </w:tc>
        <w:tc>
          <w:tcPr>
            <w:tcW w:type="dxa" w:w="1728"/>
          </w:tcPr>
          <w:p>
            <w:r/>
            <w:r>
              <w:t>VirginiaHousing</w:t>
            </w:r>
          </w:p>
        </w:tc>
        <w:tc>
          <w:tcPr>
            <w:tcW w:type="dxa" w:w="1728"/>
          </w:tcPr>
          <w:p>
            <w:r/>
            <w:r>
              <w:t>$12,350.1M</w:t>
            </w:r>
          </w:p>
        </w:tc>
        <w:tc>
          <w:tcPr>
            <w:tcW w:type="dxa" w:w="1728"/>
          </w:tcPr>
          <w:p>
            <w:r/>
            <w:r>
              <w:t>$3,963.1M</w:t>
            </w:r>
          </w:p>
        </w:tc>
      </w:tr>
      <w:tr>
        <w:tc>
          <w:tcPr>
            <w:tcW w:type="dxa" w:w="1728"/>
          </w:tcPr>
          <w:p>
            <w:r/>
            <w:r>
              <w:t>2</w:t>
            </w:r>
          </w:p>
        </w:tc>
        <w:tc>
          <w:tcPr>
            <w:tcW w:type="dxa" w:w="1728"/>
          </w:tcPr>
          <w:p>
            <w:r/>
            <w:r>
              <w:t>MN</w:t>
            </w:r>
          </w:p>
        </w:tc>
        <w:tc>
          <w:tcPr>
            <w:tcW w:type="dxa" w:w="1728"/>
          </w:tcPr>
          <w:p>
            <w:r/>
            <w:r>
              <w:t>MNHousing</w:t>
            </w:r>
          </w:p>
        </w:tc>
        <w:tc>
          <w:tcPr>
            <w:tcW w:type="dxa" w:w="1728"/>
          </w:tcPr>
          <w:p>
            <w:r/>
            <w:r>
              <w:t>$8,543.3M</w:t>
            </w:r>
          </w:p>
        </w:tc>
        <w:tc>
          <w:tcPr>
            <w:tcW w:type="dxa" w:w="1728"/>
          </w:tcPr>
          <w:p>
            <w:r/>
            <w:r>
              <w:t>$1,649.4M</w:t>
            </w:r>
          </w:p>
        </w:tc>
      </w:tr>
      <w:tr>
        <w:tc>
          <w:tcPr>
            <w:tcW w:type="dxa" w:w="1728"/>
          </w:tcPr>
          <w:p>
            <w:r/>
            <w:r>
              <w:t>3</w:t>
            </w:r>
          </w:p>
        </w:tc>
        <w:tc>
          <w:tcPr>
            <w:tcW w:type="dxa" w:w="1728"/>
          </w:tcPr>
          <w:p>
            <w:r/>
            <w:r>
              <w:t>CO</w:t>
            </w:r>
          </w:p>
        </w:tc>
        <w:tc>
          <w:tcPr>
            <w:tcW w:type="dxa" w:w="1728"/>
          </w:tcPr>
          <w:p>
            <w:r/>
            <w:r>
              <w:t>CHFA</w:t>
            </w:r>
          </w:p>
        </w:tc>
        <w:tc>
          <w:tcPr>
            <w:tcW w:type="dxa" w:w="1728"/>
          </w:tcPr>
          <w:p>
            <w:r/>
            <w:r>
              <w:t>$8,385.3M</w:t>
            </w:r>
          </w:p>
        </w:tc>
        <w:tc>
          <w:tcPr>
            <w:tcW w:type="dxa" w:w="1728"/>
          </w:tcPr>
          <w:p>
            <w:r/>
            <w:r>
              <w:t>$971.7M</w:t>
            </w:r>
          </w:p>
        </w:tc>
      </w:tr>
      <w:tr>
        <w:tc>
          <w:tcPr>
            <w:tcW w:type="dxa" w:w="1728"/>
          </w:tcPr>
          <w:p>
            <w:r/>
            <w:r>
              <w:t>4</w:t>
            </w:r>
          </w:p>
        </w:tc>
        <w:tc>
          <w:tcPr>
            <w:tcW w:type="dxa" w:w="1728"/>
          </w:tcPr>
          <w:p>
            <w:r/>
            <w:r>
              <w:t>PA</w:t>
            </w:r>
          </w:p>
        </w:tc>
        <w:tc>
          <w:tcPr>
            <w:tcW w:type="dxa" w:w="1728"/>
          </w:tcPr>
          <w:p>
            <w:r/>
            <w:r>
              <w:t>PHFA</w:t>
            </w:r>
          </w:p>
        </w:tc>
        <w:tc>
          <w:tcPr>
            <w:tcW w:type="dxa" w:w="1728"/>
          </w:tcPr>
          <w:p>
            <w:r/>
            <w:r>
              <w:t>$8,211.3M</w:t>
            </w:r>
          </w:p>
        </w:tc>
        <w:tc>
          <w:tcPr>
            <w:tcW w:type="dxa" w:w="1728"/>
          </w:tcPr>
          <w:p>
            <w:r/>
            <w:r>
              <w:t>$890.3M</w:t>
            </w:r>
          </w:p>
        </w:tc>
      </w:tr>
      <w:tr>
        <w:tc>
          <w:tcPr>
            <w:tcW w:type="dxa" w:w="1728"/>
          </w:tcPr>
          <w:p>
            <w:r/>
            <w:r>
              <w:t>5</w:t>
            </w:r>
          </w:p>
        </w:tc>
        <w:tc>
          <w:tcPr>
            <w:tcW w:type="dxa" w:w="1728"/>
          </w:tcPr>
          <w:p>
            <w:r/>
            <w:r>
              <w:t>CT</w:t>
            </w:r>
          </w:p>
        </w:tc>
        <w:tc>
          <w:tcPr>
            <w:tcW w:type="dxa" w:w="1728"/>
          </w:tcPr>
          <w:p>
            <w:r/>
            <w:r>
              <w:t>CHFA</w:t>
            </w:r>
          </w:p>
        </w:tc>
        <w:tc>
          <w:tcPr>
            <w:tcW w:type="dxa" w:w="1728"/>
          </w:tcPr>
          <w:p>
            <w:r/>
            <w:r>
              <w:t>$8,122.4M</w:t>
            </w:r>
          </w:p>
        </w:tc>
        <w:tc>
          <w:tcPr>
            <w:tcW w:type="dxa" w:w="1728"/>
          </w:tcPr>
          <w:p>
            <w:r/>
            <w:r>
              <w:t>$957.0M</w:t>
            </w:r>
          </w:p>
        </w:tc>
      </w:tr>
      <w:tr>
        <w:tc>
          <w:tcPr>
            <w:tcW w:type="dxa" w:w="1728"/>
          </w:tcPr>
          <w:p>
            <w:r/>
            <w:r>
              <w:t>6</w:t>
            </w:r>
          </w:p>
        </w:tc>
        <w:tc>
          <w:tcPr>
            <w:tcW w:type="dxa" w:w="1728"/>
          </w:tcPr>
          <w:p>
            <w:r/>
            <w:r>
              <w:t>MA</w:t>
            </w:r>
          </w:p>
        </w:tc>
        <w:tc>
          <w:tcPr>
            <w:tcW w:type="dxa" w:w="1728"/>
          </w:tcPr>
          <w:p>
            <w:r/>
            <w:r>
              <w:t>MassHousing</w:t>
            </w:r>
          </w:p>
        </w:tc>
        <w:tc>
          <w:tcPr>
            <w:tcW w:type="dxa" w:w="1728"/>
          </w:tcPr>
          <w:p>
            <w:r/>
            <w:r>
              <w:t>$8,079.7M</w:t>
            </w:r>
          </w:p>
        </w:tc>
        <w:tc>
          <w:tcPr>
            <w:tcW w:type="dxa" w:w="1728"/>
          </w:tcPr>
          <w:p>
            <w:r/>
            <w:r>
              <w:t>$2,083.9M</w:t>
            </w:r>
          </w:p>
        </w:tc>
      </w:tr>
      <w:tr>
        <w:tc>
          <w:tcPr>
            <w:tcW w:type="dxa" w:w="1728"/>
          </w:tcPr>
          <w:p>
            <w:r/>
            <w:r>
              <w:t>7</w:t>
            </w:r>
          </w:p>
        </w:tc>
        <w:tc>
          <w:tcPr>
            <w:tcW w:type="dxa" w:w="1728"/>
          </w:tcPr>
          <w:p>
            <w:r/>
            <w:r>
              <w:t>MI</w:t>
            </w:r>
          </w:p>
        </w:tc>
        <w:tc>
          <w:tcPr>
            <w:tcW w:type="dxa" w:w="1728"/>
          </w:tcPr>
          <w:p>
            <w:r/>
            <w:r>
              <w:t>MSHDA</w:t>
            </w:r>
          </w:p>
        </w:tc>
        <w:tc>
          <w:tcPr>
            <w:tcW w:type="dxa" w:w="1728"/>
          </w:tcPr>
          <w:p>
            <w:r/>
            <w:r>
              <w:t>$8,027.8M</w:t>
            </w:r>
          </w:p>
        </w:tc>
        <w:tc>
          <w:tcPr>
            <w:tcW w:type="dxa" w:w="1728"/>
          </w:tcPr>
          <w:p>
            <w:r/>
            <w:r>
              <w:t>$1,292.0M</w:t>
            </w:r>
          </w:p>
        </w:tc>
      </w:tr>
      <w:tr>
        <w:tc>
          <w:tcPr>
            <w:tcW w:type="dxa" w:w="1728"/>
          </w:tcPr>
          <w:p>
            <w:r/>
            <w:r>
              <w:t>8</w:t>
            </w:r>
          </w:p>
        </w:tc>
        <w:tc>
          <w:tcPr>
            <w:tcW w:type="dxa" w:w="1728"/>
          </w:tcPr>
          <w:p>
            <w:r/>
            <w:r>
              <w:t>IL</w:t>
            </w:r>
          </w:p>
        </w:tc>
        <w:tc>
          <w:tcPr>
            <w:tcW w:type="dxa" w:w="1728"/>
          </w:tcPr>
          <w:p>
            <w:r/>
            <w:r>
              <w:t>IHDA</w:t>
            </w:r>
          </w:p>
        </w:tc>
        <w:tc>
          <w:tcPr>
            <w:tcW w:type="dxa" w:w="1728"/>
          </w:tcPr>
          <w:p>
            <w:r/>
            <w:r>
              <w:t>$7,846.5M</w:t>
            </w:r>
          </w:p>
        </w:tc>
        <w:tc>
          <w:tcPr>
            <w:tcW w:type="dxa" w:w="1728"/>
          </w:tcPr>
          <w:p>
            <w:r/>
            <w:r>
              <w:t>$1,533.7M</w:t>
            </w:r>
          </w:p>
        </w:tc>
      </w:tr>
      <w:tr>
        <w:tc>
          <w:tcPr>
            <w:tcW w:type="dxa" w:w="1728"/>
          </w:tcPr>
          <w:p>
            <w:r/>
            <w:r>
              <w:t>9</w:t>
            </w:r>
          </w:p>
        </w:tc>
        <w:tc>
          <w:tcPr>
            <w:tcW w:type="dxa" w:w="1728"/>
          </w:tcPr>
          <w:p>
            <w:r/>
            <w:r>
              <w:t>FL</w:t>
            </w:r>
          </w:p>
        </w:tc>
        <w:tc>
          <w:tcPr>
            <w:tcW w:type="dxa" w:w="1728"/>
          </w:tcPr>
          <w:p>
            <w:r/>
            <w:r>
              <w:t>FloridaHousing</w:t>
            </w:r>
          </w:p>
        </w:tc>
        <w:tc>
          <w:tcPr>
            <w:tcW w:type="dxa" w:w="1728"/>
          </w:tcPr>
          <w:p>
            <w:r/>
            <w:r>
              <w:t>$7,722.4M</w:t>
            </w:r>
          </w:p>
        </w:tc>
        <w:tc>
          <w:tcPr>
            <w:tcW w:type="dxa" w:w="1728"/>
          </w:tcPr>
          <w:p>
            <w:r/>
            <w:r>
              <w:t>$4,771.1M</w:t>
            </w:r>
          </w:p>
        </w:tc>
      </w:tr>
      <w:tr>
        <w:tc>
          <w:tcPr>
            <w:tcW w:type="dxa" w:w="1728"/>
          </w:tcPr>
          <w:p>
            <w:r/>
            <w:r>
              <w:t>10</w:t>
            </w:r>
          </w:p>
        </w:tc>
        <w:tc>
          <w:tcPr>
            <w:tcW w:type="dxa" w:w="1728"/>
          </w:tcPr>
          <w:p>
            <w:r/>
            <w:r>
              <w:t>IA</w:t>
            </w:r>
          </w:p>
        </w:tc>
        <w:tc>
          <w:tcPr>
            <w:tcW w:type="dxa" w:w="1728"/>
          </w:tcPr>
          <w:p>
            <w:r/>
            <w:r>
              <w:t>IFA</w:t>
            </w:r>
          </w:p>
        </w:tc>
        <w:tc>
          <w:tcPr>
            <w:tcW w:type="dxa" w:w="1728"/>
          </w:tcPr>
          <w:p>
            <w:r/>
            <w:r>
              <w:t>$6,173.2M</w:t>
            </w:r>
          </w:p>
        </w:tc>
        <w:tc>
          <w:tcPr>
            <w:tcW w:type="dxa" w:w="1728"/>
          </w:tcPr>
          <w:p>
            <w:r/>
            <w:r>
              <w:t>$1,664.6M</w:t>
            </w:r>
          </w:p>
        </w:tc>
      </w:tr>
    </w:tbl>
    <w:p/>
    <w:p>
      <w:pPr>
        <w:pStyle w:val="Heading2"/>
      </w:pPr>
      <w:r>
        <w:rPr>
          <w:b w:val="0"/>
          <w:i w:val="0"/>
        </w:rPr>
        <w:t>2.4 10 najlepszych według wskaźnika aktywów netto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r/>
            <w:r>
              <w:rPr>
                <w:b/>
              </w:rPr>
              <w:t>Poz.</w:t>
            </w:r>
          </w:p>
        </w:tc>
        <w:tc>
          <w:tcPr>
            <w:tcW w:type="dxa" w:w="1440"/>
          </w:tcPr>
          <w:p>
            <w:r/>
            <w:r>
              <w:rPr>
                <w:b/>
              </w:rPr>
              <w:t>Stan</w:t>
            </w:r>
          </w:p>
        </w:tc>
        <w:tc>
          <w:tcPr>
            <w:tcW w:type="dxa" w:w="1440"/>
          </w:tcPr>
          <w:p>
            <w:r/>
            <w:r>
              <w:rPr>
                <w:b/>
              </w:rPr>
              <w:t>Agencja</w:t>
            </w:r>
          </w:p>
        </w:tc>
        <w:tc>
          <w:tcPr>
            <w:tcW w:type="dxa" w:w="1440"/>
          </w:tcPr>
          <w:p>
            <w:r/>
            <w:r>
              <w:rPr>
                <w:b/>
              </w:rPr>
              <w:t>Wskaźnik aktywów netto</w:t>
            </w:r>
          </w:p>
        </w:tc>
        <w:tc>
          <w:tcPr>
            <w:tcW w:type="dxa" w:w="1440"/>
          </w:tcPr>
          <w:p>
            <w:r/>
            <w:r>
              <w:rPr>
                <w:b/>
              </w:rPr>
              <w:t>Aktywa netto FY2025</w:t>
            </w:r>
          </w:p>
        </w:tc>
        <w:tc>
          <w:tcPr>
            <w:tcW w:type="dxa" w:w="1440"/>
          </w:tcPr>
          <w:p>
            <w:r/>
            <w:r>
              <w:rPr>
                <w:b/>
              </w:rPr>
              <w:t>Aktywa ogółem FY2025</w:t>
            </w:r>
          </w:p>
        </w:tc>
      </w:tr>
      <w:tr>
        <w:tc>
          <w:tcPr>
            <w:tcW w:type="dxa" w:w="1440"/>
          </w:tcPr>
          <w:p>
            <w:r/>
            <w:r>
              <w:t>1</w:t>
            </w:r>
          </w:p>
        </w:tc>
        <w:tc>
          <w:tcPr>
            <w:tcW w:type="dxa" w:w="1440"/>
          </w:tcPr>
          <w:p>
            <w:r/>
            <w:r>
              <w:t>HI</w:t>
            </w:r>
          </w:p>
        </w:tc>
        <w:tc>
          <w:tcPr>
            <w:tcW w:type="dxa" w:w="1440"/>
          </w:tcPr>
          <w:p>
            <w:r/>
            <w:r>
              <w:t>HHFDC</w:t>
            </w:r>
          </w:p>
        </w:tc>
        <w:tc>
          <w:tcPr>
            <w:tcW w:type="dxa" w:w="1440"/>
          </w:tcPr>
          <w:p>
            <w:r/>
            <w:r>
              <w:t>+98.0%</w:t>
            </w:r>
          </w:p>
        </w:tc>
        <w:tc>
          <w:tcPr>
            <w:tcW w:type="dxa" w:w="1440"/>
          </w:tcPr>
          <w:p>
            <w:r/>
            <w:r>
              <w:t>$2,653.2M</w:t>
            </w:r>
          </w:p>
        </w:tc>
        <w:tc>
          <w:tcPr>
            <w:tcW w:type="dxa" w:w="1440"/>
          </w:tcPr>
          <w:p>
            <w:r/>
            <w:r>
              <w:t>$2,708.7M</w:t>
            </w:r>
          </w:p>
        </w:tc>
      </w:tr>
      <w:tr>
        <w:tc>
          <w:tcPr>
            <w:tcW w:type="dxa" w:w="1440"/>
          </w:tcPr>
          <w:p>
            <w:r/>
            <w:r>
              <w:t>2</w:t>
            </w:r>
          </w:p>
        </w:tc>
        <w:tc>
          <w:tcPr>
            <w:tcW w:type="dxa" w:w="1440"/>
          </w:tcPr>
          <w:p>
            <w:r/>
            <w:r>
              <w:t>KS</w:t>
            </w:r>
          </w:p>
        </w:tc>
        <w:tc>
          <w:tcPr>
            <w:tcW w:type="dxa" w:w="1440"/>
          </w:tcPr>
          <w:p>
            <w:r/>
            <w:r>
              <w:t>KHRC</w:t>
            </w:r>
          </w:p>
        </w:tc>
        <w:tc>
          <w:tcPr>
            <w:tcW w:type="dxa" w:w="1440"/>
          </w:tcPr>
          <w:p>
            <w:r/>
            <w:r>
              <w:t>+81.2%</w:t>
            </w:r>
          </w:p>
        </w:tc>
        <w:tc>
          <w:tcPr>
            <w:tcW w:type="dxa" w:w="1440"/>
          </w:tcPr>
          <w:p>
            <w:r/>
            <w:r>
              <w:t>$78.7M</w:t>
            </w:r>
          </w:p>
        </w:tc>
        <w:tc>
          <w:tcPr>
            <w:tcW w:type="dxa" w:w="1440"/>
          </w:tcPr>
          <w:p>
            <w:r/>
            <w:r>
              <w:t>$96.9M</w:t>
            </w:r>
          </w:p>
        </w:tc>
      </w:tr>
      <w:tr>
        <w:tc>
          <w:tcPr>
            <w:tcW w:type="dxa" w:w="1440"/>
          </w:tcPr>
          <w:p>
            <w:r/>
            <w:r>
              <w:t>3</w:t>
            </w:r>
          </w:p>
        </w:tc>
        <w:tc>
          <w:tcPr>
            <w:tcW w:type="dxa" w:w="1440"/>
          </w:tcPr>
          <w:p>
            <w:r/>
            <w:r>
              <w:t>CA</w:t>
            </w:r>
          </w:p>
        </w:tc>
        <w:tc>
          <w:tcPr>
            <w:tcW w:type="dxa" w:w="1440"/>
          </w:tcPr>
          <w:p>
            <w:r/>
            <w:r>
              <w:t>CalHFA</w:t>
            </w:r>
          </w:p>
        </w:tc>
        <w:tc>
          <w:tcPr>
            <w:tcW w:type="dxa" w:w="1440"/>
          </w:tcPr>
          <w:p>
            <w:r/>
            <w:r>
              <w:t>+69.1%</w:t>
            </w:r>
          </w:p>
        </w:tc>
        <w:tc>
          <w:tcPr>
            <w:tcW w:type="dxa" w:w="1440"/>
          </w:tcPr>
          <w:p>
            <w:r/>
            <w:r>
              <w:t>$3,442.9M</w:t>
            </w:r>
          </w:p>
        </w:tc>
        <w:tc>
          <w:tcPr>
            <w:tcW w:type="dxa" w:w="1440"/>
          </w:tcPr>
          <w:p>
            <w:r/>
            <w:r>
              <w:t>$4,980.0M</w:t>
            </w:r>
          </w:p>
        </w:tc>
      </w:tr>
      <w:tr>
        <w:tc>
          <w:tcPr>
            <w:tcW w:type="dxa" w:w="1440"/>
          </w:tcPr>
          <w:p>
            <w:r/>
            <w:r>
              <w:t>4</w:t>
            </w:r>
          </w:p>
        </w:tc>
        <w:tc>
          <w:tcPr>
            <w:tcW w:type="dxa" w:w="1440"/>
          </w:tcPr>
          <w:p>
            <w:r/>
            <w:r>
              <w:t>FL</w:t>
            </w:r>
          </w:p>
        </w:tc>
        <w:tc>
          <w:tcPr>
            <w:tcW w:type="dxa" w:w="1440"/>
          </w:tcPr>
          <w:p>
            <w:r/>
            <w:r>
              <w:t>FloridaHousing</w:t>
            </w:r>
          </w:p>
        </w:tc>
        <w:tc>
          <w:tcPr>
            <w:tcW w:type="dxa" w:w="1440"/>
          </w:tcPr>
          <w:p>
            <w:r/>
            <w:r>
              <w:t>+61.8%</w:t>
            </w:r>
          </w:p>
        </w:tc>
        <w:tc>
          <w:tcPr>
            <w:tcW w:type="dxa" w:w="1440"/>
          </w:tcPr>
          <w:p>
            <w:r/>
            <w:r>
              <w:t>$4,771.1M</w:t>
            </w:r>
          </w:p>
        </w:tc>
        <w:tc>
          <w:tcPr>
            <w:tcW w:type="dxa" w:w="1440"/>
          </w:tcPr>
          <w:p>
            <w:r/>
            <w:r>
              <w:t>$7,722.4M</w:t>
            </w:r>
          </w:p>
        </w:tc>
      </w:tr>
      <w:tr>
        <w:tc>
          <w:tcPr>
            <w:tcW w:type="dxa" w:w="1440"/>
          </w:tcPr>
          <w:p>
            <w:r/>
            <w:r>
              <w:t>5</w:t>
            </w:r>
          </w:p>
        </w:tc>
        <w:tc>
          <w:tcPr>
            <w:tcW w:type="dxa" w:w="1440"/>
          </w:tcPr>
          <w:p>
            <w:r/>
            <w:r>
              <w:t>LA</w:t>
            </w:r>
          </w:p>
        </w:tc>
        <w:tc>
          <w:tcPr>
            <w:tcW w:type="dxa" w:w="1440"/>
          </w:tcPr>
          <w:p>
            <w:r/>
            <w:r>
              <w:t>LHC</w:t>
            </w:r>
          </w:p>
        </w:tc>
        <w:tc>
          <w:tcPr>
            <w:tcW w:type="dxa" w:w="1440"/>
          </w:tcPr>
          <w:p>
            <w:r/>
            <w:r>
              <w:t>+53.2%</w:t>
            </w:r>
          </w:p>
        </w:tc>
        <w:tc>
          <w:tcPr>
            <w:tcW w:type="dxa" w:w="1440"/>
          </w:tcPr>
          <w:p>
            <w:r/>
            <w:r>
              <w:t>$821.7M</w:t>
            </w:r>
          </w:p>
        </w:tc>
        <w:tc>
          <w:tcPr>
            <w:tcW w:type="dxa" w:w="1440"/>
          </w:tcPr>
          <w:p>
            <w:r/>
            <w:r>
              <w:t>$1,545.0M</w:t>
            </w:r>
          </w:p>
        </w:tc>
      </w:tr>
      <w:tr>
        <w:tc>
          <w:tcPr>
            <w:tcW w:type="dxa" w:w="1440"/>
          </w:tcPr>
          <w:p>
            <w:r/>
            <w:r>
              <w:t>6</w:t>
            </w:r>
          </w:p>
        </w:tc>
        <w:tc>
          <w:tcPr>
            <w:tcW w:type="dxa" w:w="1440"/>
          </w:tcPr>
          <w:p>
            <w:r/>
            <w:r>
              <w:t>DE</w:t>
            </w:r>
          </w:p>
        </w:tc>
        <w:tc>
          <w:tcPr>
            <w:tcW w:type="dxa" w:w="1440"/>
          </w:tcPr>
          <w:p>
            <w:r/>
            <w:r>
              <w:t>DSHA</w:t>
            </w:r>
          </w:p>
        </w:tc>
        <w:tc>
          <w:tcPr>
            <w:tcW w:type="dxa" w:w="1440"/>
          </w:tcPr>
          <w:p>
            <w:r/>
            <w:r>
              <w:t>+46.8%</w:t>
            </w:r>
          </w:p>
        </w:tc>
        <w:tc>
          <w:tcPr>
            <w:tcW w:type="dxa" w:w="1440"/>
          </w:tcPr>
          <w:p>
            <w:r/>
            <w:r>
              <w:t>$732.5M</w:t>
            </w:r>
          </w:p>
        </w:tc>
        <w:tc>
          <w:tcPr>
            <w:tcW w:type="dxa" w:w="1440"/>
          </w:tcPr>
          <w:p>
            <w:r/>
            <w:r>
              <w:t>$1,564.9M</w:t>
            </w:r>
          </w:p>
        </w:tc>
      </w:tr>
      <w:tr>
        <w:tc>
          <w:tcPr>
            <w:tcW w:type="dxa" w:w="1440"/>
          </w:tcPr>
          <w:p>
            <w:r/>
            <w:r>
              <w:t>7</w:t>
            </w:r>
          </w:p>
        </w:tc>
        <w:tc>
          <w:tcPr>
            <w:tcW w:type="dxa" w:w="1440"/>
          </w:tcPr>
          <w:p>
            <w:r/>
            <w:r>
              <w:t>AR</w:t>
            </w:r>
          </w:p>
        </w:tc>
        <w:tc>
          <w:tcPr>
            <w:tcW w:type="dxa" w:w="1440"/>
          </w:tcPr>
          <w:p>
            <w:r/>
            <w:r>
              <w:t>ADFA</w:t>
            </w:r>
          </w:p>
        </w:tc>
        <w:tc>
          <w:tcPr>
            <w:tcW w:type="dxa" w:w="1440"/>
          </w:tcPr>
          <w:p>
            <w:r/>
            <w:r>
              <w:t>+46.5%</w:t>
            </w:r>
          </w:p>
        </w:tc>
        <w:tc>
          <w:tcPr>
            <w:tcW w:type="dxa" w:w="1440"/>
          </w:tcPr>
          <w:p>
            <w:r/>
            <w:r>
              <w:t>$530.8M</w:t>
            </w:r>
          </w:p>
        </w:tc>
        <w:tc>
          <w:tcPr>
            <w:tcW w:type="dxa" w:w="1440"/>
          </w:tcPr>
          <w:p>
            <w:r/>
            <w:r>
              <w:t>$1,142.2M</w:t>
            </w:r>
          </w:p>
        </w:tc>
      </w:tr>
      <w:tr>
        <w:tc>
          <w:tcPr>
            <w:tcW w:type="dxa" w:w="1440"/>
          </w:tcPr>
          <w:p>
            <w:r/>
            <w:r>
              <w:t>8</w:t>
            </w:r>
          </w:p>
        </w:tc>
        <w:tc>
          <w:tcPr>
            <w:tcW w:type="dxa" w:w="1440"/>
          </w:tcPr>
          <w:p>
            <w:r/>
            <w:r>
              <w:t>WA</w:t>
            </w:r>
          </w:p>
        </w:tc>
        <w:tc>
          <w:tcPr>
            <w:tcW w:type="dxa" w:w="1440"/>
          </w:tcPr>
          <w:p>
            <w:r/>
            <w:r>
              <w:t>WSHFC</w:t>
            </w:r>
          </w:p>
        </w:tc>
        <w:tc>
          <w:tcPr>
            <w:tcW w:type="dxa" w:w="1440"/>
          </w:tcPr>
          <w:p>
            <w:r/>
            <w:r>
              <w:t>+42.1%</w:t>
            </w:r>
          </w:p>
        </w:tc>
        <w:tc>
          <w:tcPr>
            <w:tcW w:type="dxa" w:w="1440"/>
          </w:tcPr>
          <w:p>
            <w:r/>
            <w:r>
              <w:t>$1,064.1M</w:t>
            </w:r>
          </w:p>
        </w:tc>
        <w:tc>
          <w:tcPr>
            <w:tcW w:type="dxa" w:w="1440"/>
          </w:tcPr>
          <w:p>
            <w:r/>
            <w:r>
              <w:t>$2,525.7M</w:t>
            </w:r>
          </w:p>
        </w:tc>
      </w:tr>
      <w:tr>
        <w:tc>
          <w:tcPr>
            <w:tcW w:type="dxa" w:w="1440"/>
          </w:tcPr>
          <w:p>
            <w:r/>
            <w:r>
              <w:t>9</w:t>
            </w:r>
          </w:p>
        </w:tc>
        <w:tc>
          <w:tcPr>
            <w:tcW w:type="dxa" w:w="1440"/>
          </w:tcPr>
          <w:p>
            <w:r/>
            <w:r>
              <w:t>WV</w:t>
            </w:r>
          </w:p>
        </w:tc>
        <w:tc>
          <w:tcPr>
            <w:tcW w:type="dxa" w:w="1440"/>
          </w:tcPr>
          <w:p>
            <w:r/>
            <w:r>
              <w:t>WVHDF</w:t>
            </w:r>
          </w:p>
        </w:tc>
        <w:tc>
          <w:tcPr>
            <w:tcW w:type="dxa" w:w="1440"/>
          </w:tcPr>
          <w:p>
            <w:r/>
            <w:r>
              <w:t>+39.8%</w:t>
            </w:r>
          </w:p>
        </w:tc>
        <w:tc>
          <w:tcPr>
            <w:tcW w:type="dxa" w:w="1440"/>
          </w:tcPr>
          <w:p>
            <w:r/>
            <w:r>
              <w:t>$640.0M</w:t>
            </w:r>
          </w:p>
        </w:tc>
        <w:tc>
          <w:tcPr>
            <w:tcW w:type="dxa" w:w="1440"/>
          </w:tcPr>
          <w:p>
            <w:r/>
            <w:r>
              <w:t>$1,607.0M</w:t>
            </w:r>
          </w:p>
        </w:tc>
      </w:tr>
      <w:tr>
        <w:tc>
          <w:tcPr>
            <w:tcW w:type="dxa" w:w="1440"/>
          </w:tcPr>
          <w:p>
            <w:r/>
            <w:r>
              <w:t>10</w:t>
            </w:r>
          </w:p>
        </w:tc>
        <w:tc>
          <w:tcPr>
            <w:tcW w:type="dxa" w:w="1440"/>
          </w:tcPr>
          <w:p>
            <w:r/>
            <w:r>
              <w:t>AL</w:t>
            </w:r>
          </w:p>
        </w:tc>
        <w:tc>
          <w:tcPr>
            <w:tcW w:type="dxa" w:w="1440"/>
          </w:tcPr>
          <w:p>
            <w:r/>
            <w:r>
              <w:t>AHFA</w:t>
            </w:r>
          </w:p>
        </w:tc>
        <w:tc>
          <w:tcPr>
            <w:tcW w:type="dxa" w:w="1440"/>
          </w:tcPr>
          <w:p>
            <w:r/>
            <w:r>
              <w:t>+37.8%</w:t>
            </w:r>
          </w:p>
        </w:tc>
        <w:tc>
          <w:tcPr>
            <w:tcW w:type="dxa" w:w="1440"/>
          </w:tcPr>
          <w:p>
            <w:r/>
            <w:r>
              <w:t>$516.0M</w:t>
            </w:r>
          </w:p>
        </w:tc>
        <w:tc>
          <w:tcPr>
            <w:tcW w:type="dxa" w:w="1440"/>
          </w:tcPr>
          <w:p>
            <w:r/>
            <w:r>
              <w:t>$1,364.9M</w:t>
            </w:r>
          </w:p>
        </w:tc>
      </w:tr>
    </w:tbl>
    <w:p/>
    <w:p>
      <w:r>
        <w:rPr>
          <w:b w:val="0"/>
          <w:i w:val="0"/>
        </w:rPr>
        <w:t>Wśród większych agencji Hawaje i Kalifornia wykazują najwyższe wskaźniki aktywów netto; Floryda i Luizjana również znajdują się wyraźnie powyżej typowego poziomu porównywalnych agencji. Mniejsze HFA mogą wykazywać podwyższone wskaźniki ze względu na prostszą strukturę bilansu, dlatego wielkość i wskaźnik należy odczytywać łącznie. Grubszy bufor finansowy zazwyczaj zapewnia większą elastyczność w przypadku odpisów aktualizujących wartość aktywów, presji stóp procentowych lub węższych okien refinansowania.</w:t>
      </w:r>
    </w:p>
    <w:p>
      <w:pPr>
        <w:pStyle w:val="Heading1"/>
      </w:pPr>
      <w:r>
        <w:rPr>
          <w:b w:val="0"/>
          <w:i w:val="0"/>
        </w:rPr>
        <w:t>III. Modele operacyjne: pięć archetypów</w:t>
      </w:r>
    </w:p>
    <w:p>
      <w:r>
        <w:rPr>
          <w:b w:val="0"/>
          <w:i w:val="0"/>
        </w:rPr>
        <w:t>Ujawnienia za FY2025 wskazują na pięć ogólnych modeli operacyjnych przydatnych do porównań między stanami:</w:t>
      </w:r>
    </w:p>
    <w:p>
      <w:pPr>
        <w:pStyle w:val="ListBullet"/>
      </w:pPr>
      <w:r>
        <w:rPr>
          <w:b/>
          <w:i w:val="0"/>
        </w:rPr>
        <w:t xml:space="preserve">Duże agencje finansowane obligacjami: </w:t>
      </w:r>
      <w:r>
        <w:rPr>
          <w:b w:val="0"/>
          <w:i w:val="0"/>
        </w:rPr>
        <w:t>Przykłady obejmują Wirginię, Minnesotę, Kolorado, Connecticut, Michigan i Illinois: duże bazy aktywów z równolegle rosnącymi zobowiązaniami oraz silnym uzależnieniem od programów obligacji wielorodzinnych i jednorodzinnych oraz kanałów GSE (agencji sponsorowanych przez rząd).</w:t>
      </w:r>
    </w:p>
    <w:p>
      <w:pPr>
        <w:pStyle w:val="ListBullet"/>
      </w:pPr>
      <w:r>
        <w:rPr>
          <w:b/>
          <w:i w:val="0"/>
        </w:rPr>
        <w:t xml:space="preserve">Średnie i duże agencje o wysokim wzroście: </w:t>
      </w:r>
      <w:r>
        <w:rPr>
          <w:b w:val="0"/>
          <w:i w:val="0"/>
        </w:rPr>
        <w:t>Przykłady obejmują Luizjanę, Connecticut, Indianę, Ohio i Utah: dwucyfrowy wzrost aktywów netto przy średnich i dużych bilansach, co pokazuje, jak cykle emisji i struktura programów mogą wzmacniać kapitał własny.</w:t>
      </w:r>
    </w:p>
    <w:p>
      <w:pPr>
        <w:pStyle w:val="ListBullet"/>
      </w:pPr>
      <w:r>
        <w:rPr>
          <w:b/>
          <w:i w:val="0"/>
        </w:rPr>
        <w:t xml:space="preserve">Zintegrowane modele departamentów stanowych: </w:t>
      </w:r>
      <w:r>
        <w:rPr>
          <w:b w:val="0"/>
          <w:i w:val="0"/>
        </w:rPr>
        <w:t>Reprezentatywnym przykładem jest teksański TDHCA: fundusze o charakterze rządowym i biznesowym działają równolegle, dlatego podstawa ujawnień i zakres konsolidacji wymagają uważnej lektury.</w:t>
      </w:r>
    </w:p>
    <w:p>
      <w:pPr>
        <w:pStyle w:val="ListBullet"/>
      </w:pPr>
      <w:r>
        <w:rPr>
          <w:b/>
          <w:i w:val="0"/>
        </w:rPr>
        <w:t xml:space="preserve">Kosztowne rynki przybrzeżne: </w:t>
      </w:r>
      <w:r>
        <w:rPr>
          <w:b w:val="0"/>
          <w:i w:val="0"/>
        </w:rPr>
        <w:t>Ilustracją są Kalifornia i Waszyngton (sprawozdania na poziomie podmiotu dla Nowego Jorku pozostają ograniczone). Wyniki ściśle podążają za cenami mieszkań, kosztami budowy i portfelem projektów. W FY2025 CalHFA odnotowała aktywa netto na poziomie ok. 3,44 mld USD oraz aktywa ogółem bliskie 5,0 mld USD, pozostając jedną z największych stanowych agencji finansowania budownictwa mieszkaniowego.</w:t>
      </w:r>
    </w:p>
    <w:p>
      <w:pPr>
        <w:pStyle w:val="ListBullet"/>
      </w:pPr>
      <w:r>
        <w:rPr>
          <w:b/>
          <w:i w:val="0"/>
        </w:rPr>
        <w:t xml:space="preserve">Stany surowcowe i słabo zaludnione: </w:t>
      </w:r>
      <w:r>
        <w:rPr>
          <w:b w:val="0"/>
          <w:i w:val="0"/>
        </w:rPr>
        <w:t>Wyoming, Dakota Północna, Dakota Południowa i Nowy Meksyk często wykazują bardziej zmienne cykle emisji; pojedyncze projekty mogą istotnie wpływać na sprawozdania finansowe.</w:t>
      </w:r>
    </w:p>
    <w:p>
      <w:pPr>
        <w:pStyle w:val="Heading1"/>
      </w:pPr>
      <w:r>
        <w:rPr>
          <w:b w:val="0"/>
          <w:i w:val="0"/>
        </w:rPr>
        <w:t>IV. Interpretacja danych liczbowych</w:t>
      </w:r>
    </w:p>
    <w:p>
      <w:r>
        <w:rPr>
          <w:b/>
          <w:i w:val="0"/>
        </w:rPr>
        <w:t xml:space="preserve">Skala nie gwarantuje bezpieczeństwa. </w:t>
      </w:r>
      <w:r>
        <w:rPr>
          <w:b w:val="0"/>
          <w:i w:val="0"/>
        </w:rPr>
        <w:t>Największe bazy aktywów często wiążą się również z najwyższymi zobowiązaniami i ekspozycją na instrumenty pochodne. Ponieważ przyszła ścieżka stóp procentowych pozostaje niepewna, wskaźnik aktywów netto i zdolność do generowania przepływów pieniężnych zasługują na taką samą uwagę jak ranking według wielkości aktywów.</w:t>
      </w:r>
    </w:p>
    <w:p>
      <w:r>
        <w:rPr>
          <w:b/>
          <w:i w:val="0"/>
        </w:rPr>
        <w:t xml:space="preserve">Wzrost aktywów netto nie jest tożsamy z produkcją mieszkaniową. </w:t>
      </w:r>
      <w:r>
        <w:rPr>
          <w:b w:val="0"/>
          <w:i w:val="0"/>
        </w:rPr>
        <w:t>Zgodnie z zasadami GAAP aktywa netto mogą się zmieniać wraz z wartością godziwą inwestycji, rezerwami na straty czy amortyzacją premii obligacyjnej. Wyniki w zakresie budownictwa mieszkaniowego należy weryfikować na podstawie raportów programowych (liczba sfinansowanych lokali, wartość wyemitowanych obligacji).</w:t>
      </w:r>
    </w:p>
    <w:p>
      <w:r>
        <w:rPr>
          <w:b/>
          <w:i w:val="0"/>
        </w:rPr>
        <w:t xml:space="preserve">Jakość ujawnień ma wartość rynkową. </w:t>
      </w:r>
      <w:r>
        <w:rPr>
          <w:b w:val="0"/>
          <w:i w:val="0"/>
        </w:rPr>
        <w:t>Agencje, które otrzymują certyfikat GFOA Certificate of Achievement (np. IHDA w Illinois), zazwyczaj publikują bardziej przejrzysty MD&amp;A, co może obniżać koszty analizy due diligence ponoszone przez inwestorów i pośrednio sprzyjać węższym spreadom obligacji.</w:t>
      </w:r>
    </w:p>
    <w:p>
      <w:pPr>
        <w:pStyle w:val="Heading1"/>
      </w:pPr>
      <w:r>
        <w:rPr>
          <w:b w:val="0"/>
          <w:i w:val="0"/>
        </w:rPr>
        <w:t>V. Rekomendacje na FY2026 i kolejne lata</w:t>
      </w:r>
    </w:p>
    <w:p>
      <w:pPr>
        <w:pStyle w:val="ListNumber"/>
      </w:pPr>
      <w:r>
        <w:rPr>
          <w:b/>
          <w:i w:val="0"/>
        </w:rPr>
        <w:t xml:space="preserve">Przyjąć wspólne ramy oceny kondycji finansowej HFA. </w:t>
      </w:r>
      <w:r>
        <w:rPr>
          <w:b w:val="0"/>
          <w:i w:val="0"/>
        </w:rPr>
        <w:t>Ujednolicić ujawnianie wskaźnika aktywów netto, wskaźnika pokrycia obsługi długu, wskaźników zaległości płatniczych, portfela projektów LIHTC oraz struktury programów jednorodzinnych i wielorodzinnych, tak aby fragmentaryczne opisy można było zastąpić porównywalnymi wskaźnikami.</w:t>
      </w:r>
    </w:p>
    <w:p>
      <w:pPr>
        <w:pStyle w:val="ListNumber"/>
      </w:pPr>
      <w:r>
        <w:rPr>
          <w:b/>
          <w:i w:val="0"/>
        </w:rPr>
        <w:t xml:space="preserve">Powiązać wyniki w zakresie dostępności cenowej ze sprawozdaniami finansowymi. </w:t>
      </w:r>
      <w:r>
        <w:rPr>
          <w:b w:val="0"/>
          <w:i w:val="0"/>
        </w:rPr>
        <w:t>Dodać do MD&amp;A wskaźniki kosztu jednostkowego — liczbę lokali dostępnych cenowo na każdy milion dolarów wpływów z obligacji oraz liczbę obsłużonych nabywców pierwszego mieszkania na dolara aktywów netto — aby powiązać raportowane finanse z wynikami mieszkaniowymi.</w:t>
      </w:r>
    </w:p>
    <w:p>
      <w:pPr>
        <w:pStyle w:val="ListNumber"/>
      </w:pPr>
      <w:r>
        <w:rPr>
          <w:b/>
          <w:i w:val="0"/>
        </w:rPr>
        <w:t xml:space="preserve">Rozszerzyć regionalne pulowanie obligacji i podział ryzyka. </w:t>
      </w:r>
      <w:r>
        <w:rPr>
          <w:b w:val="0"/>
          <w:i w:val="0"/>
        </w:rPr>
        <w:t>Mniejsze HFA mogłyby obniżyć koszty emisji poprzez regionalne pule obligacji. Większe HFA mogłyby skorzystać z bardziej ustandaryzowanych zabezpieczeń przed ryzykiem katastrof i ryzykiem stóp procentowych.</w:t>
      </w:r>
    </w:p>
    <w:p>
      <w:pPr>
        <w:pStyle w:val="ListNumber"/>
      </w:pPr>
      <w:r>
        <w:rPr>
          <w:b/>
          <w:i w:val="0"/>
        </w:rPr>
        <w:t xml:space="preserve">Publikować ujawnienia w formatach czytelnych maszynowo. </w:t>
      </w:r>
      <w:r>
        <w:rPr>
          <w:b w:val="0"/>
          <w:i w:val="0"/>
        </w:rPr>
        <w:t>Uzupełnienia w formacie XBRL lub ustrukturyzowanym CSV pomogłyby badaczom, agencjom ratingowym i partnerom federalnym monitorować HFA na bieżąco.</w:t>
      </w:r>
    </w:p>
    <w:p>
      <w:pPr>
        <w:pStyle w:val="ListNumber"/>
      </w:pPr>
      <w:r>
        <w:rPr>
          <w:b/>
          <w:i w:val="0"/>
        </w:rPr>
        <w:t xml:space="preserve">Monitorować pomijany segment średnich dochodów (80–120% AMI). </w:t>
      </w:r>
      <w:r>
        <w:rPr>
          <w:b w:val="0"/>
          <w:i w:val="0"/>
        </w:rPr>
        <w:t>Traktować projekty dla gospodarstw domowych o średnich dochodach jako odrębną kategorię planistyczną, aby zasoby nie koncentrowały się wyłącznie na najniższych progach AMI oraz na segmencie cen rynkowych, co może pozostawiać niedostatecznie obsłużonych nauczycieli, pielęgniarki i podobne grupy zawodowe.</w:t>
      </w:r>
    </w:p>
    <w:p>
      <w:pPr>
        <w:pStyle w:val="Heading1"/>
      </w:pPr>
      <w:r>
        <w:rPr>
          <w:b w:val="0"/>
          <w:i w:val="0"/>
        </w:rPr>
        <w:t>VI. Zakres danych i zestawienie plików</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r>
              <w:rPr>
                <w:b/>
              </w:rPr>
              <w:t>Stan</w:t>
            </w:r>
          </w:p>
        </w:tc>
        <w:tc>
          <w:tcPr>
            <w:tcW w:type="dxa" w:w="1728"/>
          </w:tcPr>
          <w:p>
            <w:r/>
            <w:r>
              <w:rPr>
                <w:b/>
              </w:rPr>
              <w:t>Agencja</w:t>
            </w:r>
          </w:p>
        </w:tc>
        <w:tc>
          <w:tcPr>
            <w:tcW w:type="dxa" w:w="1728"/>
          </w:tcPr>
          <w:p>
            <w:r/>
            <w:r>
              <w:rPr>
                <w:b/>
              </w:rPr>
              <w:t>Status</w:t>
            </w:r>
          </w:p>
        </w:tc>
        <w:tc>
          <w:tcPr>
            <w:tcW w:type="dxa" w:w="1728"/>
          </w:tcPr>
          <w:p>
            <w:r/>
            <w:r>
              <w:rPr>
                <w:b/>
              </w:rPr>
              <w:t>Nazwa pliku</w:t>
            </w:r>
          </w:p>
        </w:tc>
        <w:tc>
          <w:tcPr>
            <w:tcW w:type="dxa" w:w="1728"/>
          </w:tcPr>
          <w:p>
            <w:r/>
            <w:r>
              <w:rPr>
                <w:b/>
              </w:rPr>
              <w:t>Uwagi</w:t>
            </w:r>
          </w:p>
        </w:tc>
      </w:tr>
      <w:tr>
        <w:tc>
          <w:tcPr>
            <w:tcW w:type="dxa" w:w="1728"/>
          </w:tcPr>
          <w:p>
            <w:r/>
            <w:r>
              <w:t>AK</w:t>
            </w:r>
          </w:p>
        </w:tc>
        <w:tc>
          <w:tcPr>
            <w:tcW w:type="dxa" w:w="1728"/>
          </w:tcPr>
          <w:p>
            <w:r/>
            <w:r>
              <w:t>AHFC</w:t>
            </w:r>
          </w:p>
        </w:tc>
        <w:tc>
          <w:tcPr>
            <w:tcW w:type="dxa" w:w="1728"/>
          </w:tcPr>
          <w:p>
            <w:r/>
            <w:r>
              <w:t>Pobrano</w:t>
            </w:r>
          </w:p>
        </w:tc>
        <w:tc>
          <w:tcPr>
            <w:tcW w:type="dxa" w:w="1728"/>
          </w:tcPr>
          <w:p>
            <w:r/>
            <w:r>
              <w:t>AK_AHFC_FY2025_ACFR.pdf</w:t>
            </w:r>
          </w:p>
        </w:tc>
        <w:tc>
          <w:tcPr>
            <w:tcW w:type="dxa" w:w="1728"/>
          </w:tcPr>
          <w:p>
            <w:r/>
            <w:r>
              <w:t>Kluczowe wskaźniki zweryfikowane ręcznie na podstawie MD&amp;A AHFC za FY2025 (skrócone zestawienie aktywów netto, stan na 30 czerwca 2025/2024 r.), co koryguje wcześniej błędnie wyodrębnioną wartość aktywów netto</w:t>
            </w:r>
          </w:p>
        </w:tc>
      </w:tr>
      <w:tr>
        <w:tc>
          <w:tcPr>
            <w:tcW w:type="dxa" w:w="1728"/>
          </w:tcPr>
          <w:p>
            <w:r/>
            <w:r>
              <w:t>AL</w:t>
            </w:r>
          </w:p>
        </w:tc>
        <w:tc>
          <w:tcPr>
            <w:tcW w:type="dxa" w:w="1728"/>
          </w:tcPr>
          <w:p>
            <w:r/>
            <w:r>
              <w:t>AHFA</w:t>
            </w:r>
          </w:p>
        </w:tc>
        <w:tc>
          <w:tcPr>
            <w:tcW w:type="dxa" w:w="1728"/>
          </w:tcPr>
          <w:p>
            <w:r/>
            <w:r>
              <w:t>Pobrano</w:t>
            </w:r>
          </w:p>
        </w:tc>
        <w:tc>
          <w:tcPr>
            <w:tcW w:type="dxa" w:w="1728"/>
          </w:tcPr>
          <w:p>
            <w:r/>
            <w:r>
              <w:t>AL_AHFA_FY2025_ACFR.pdf</w:t>
            </w:r>
          </w:p>
        </w:tc>
        <w:tc>
          <w:tcPr>
            <w:tcW w:type="dxa" w:w="1728"/>
          </w:tcPr>
          <w:p>
            <w:r/>
            <w:r>
              <w:t>-</w:t>
            </w:r>
          </w:p>
        </w:tc>
      </w:tr>
      <w:tr>
        <w:tc>
          <w:tcPr>
            <w:tcW w:type="dxa" w:w="1728"/>
          </w:tcPr>
          <w:p>
            <w:r/>
            <w:r>
              <w:t>AR</w:t>
            </w:r>
          </w:p>
        </w:tc>
        <w:tc>
          <w:tcPr>
            <w:tcW w:type="dxa" w:w="1728"/>
          </w:tcPr>
          <w:p>
            <w:r/>
            <w:r>
              <w:t>ADFA</w:t>
            </w:r>
          </w:p>
        </w:tc>
        <w:tc>
          <w:tcPr>
            <w:tcW w:type="dxa" w:w="1728"/>
          </w:tcPr>
          <w:p>
            <w:r/>
            <w:r>
              <w:t>Pobrano</w:t>
            </w:r>
          </w:p>
        </w:tc>
        <w:tc>
          <w:tcPr>
            <w:tcW w:type="dxa" w:w="1728"/>
          </w:tcPr>
          <w:p>
            <w:r/>
            <w:r>
              <w:t>AR_ADFA_FY2025_ACFR.pdf</w:t>
            </w:r>
          </w:p>
        </w:tc>
        <w:tc>
          <w:tcPr>
            <w:tcW w:type="dxa" w:w="1728"/>
          </w:tcPr>
          <w:p>
            <w:r/>
            <w:r>
              <w:t>Tempo wzrostu zweryfikowane ręcznie na podstawie ACFR</w:t>
            </w:r>
          </w:p>
        </w:tc>
      </w:tr>
      <w:tr>
        <w:tc>
          <w:tcPr>
            <w:tcW w:type="dxa" w:w="1728"/>
          </w:tcPr>
          <w:p>
            <w:r/>
            <w:r>
              <w:t>AZ</w:t>
            </w:r>
          </w:p>
        </w:tc>
        <w:tc>
          <w:tcPr>
            <w:tcW w:type="dxa" w:w="1728"/>
          </w:tcPr>
          <w:p>
            <w:r/>
            <w:r>
              <w:t>ADOH</w:t>
            </w:r>
          </w:p>
        </w:tc>
        <w:tc>
          <w:tcPr>
            <w:tcW w:type="dxa" w:w="1728"/>
          </w:tcPr>
          <w:p>
            <w:r/>
            <w:r>
              <w:t>Niedostępne</w:t>
            </w:r>
          </w:p>
        </w:tc>
        <w:tc>
          <w:tcPr>
            <w:tcW w:type="dxa" w:w="1728"/>
          </w:tcPr>
          <w:p>
            <w:r/>
            <w:r>
              <w:t>-</w:t>
            </w:r>
          </w:p>
        </w:tc>
        <w:tc>
          <w:tcPr>
            <w:tcW w:type="dxa" w:w="1728"/>
          </w:tcPr>
          <w:p>
            <w:r/>
            <w:r>
              <w:t>Nie znaleziono odnośnika do pliku PDF za FY2025</w:t>
            </w:r>
          </w:p>
        </w:tc>
      </w:tr>
      <w:tr>
        <w:tc>
          <w:tcPr>
            <w:tcW w:type="dxa" w:w="1728"/>
          </w:tcPr>
          <w:p>
            <w:r/>
            <w:r>
              <w:t>CA</w:t>
            </w:r>
          </w:p>
        </w:tc>
        <w:tc>
          <w:tcPr>
            <w:tcW w:type="dxa" w:w="1728"/>
          </w:tcPr>
          <w:p>
            <w:r/>
            <w:r>
              <w:t>CalHFA</w:t>
            </w:r>
          </w:p>
        </w:tc>
        <w:tc>
          <w:tcPr>
            <w:tcW w:type="dxa" w:w="1728"/>
          </w:tcPr>
          <w:p>
            <w:r/>
            <w:r>
              <w:t>Pobrano</w:t>
            </w:r>
          </w:p>
        </w:tc>
        <w:tc>
          <w:tcPr>
            <w:tcW w:type="dxa" w:w="1728"/>
          </w:tcPr>
          <w:p>
            <w:r/>
            <w:r>
              <w:t>CA_CalHFA_FY2025_ACFR.pdf</w:t>
            </w:r>
          </w:p>
        </w:tc>
        <w:tc>
          <w:tcPr>
            <w:tcW w:type="dxa" w:w="1728"/>
          </w:tcPr>
          <w:p>
            <w:r/>
            <w:r>
              <w:t>Kluczowe wskaźniki nie zostały wyodrębnione automatycznie; zalecany ręczny przegląd pliku PDF</w:t>
            </w:r>
          </w:p>
        </w:tc>
      </w:tr>
      <w:tr>
        <w:tc>
          <w:tcPr>
            <w:tcW w:type="dxa" w:w="1728"/>
          </w:tcPr>
          <w:p>
            <w:r/>
            <w:r>
              <w:t>CO</w:t>
            </w:r>
          </w:p>
        </w:tc>
        <w:tc>
          <w:tcPr>
            <w:tcW w:type="dxa" w:w="1728"/>
          </w:tcPr>
          <w:p>
            <w:r/>
            <w:r>
              <w:t>CHFA</w:t>
            </w:r>
          </w:p>
        </w:tc>
        <w:tc>
          <w:tcPr>
            <w:tcW w:type="dxa" w:w="1728"/>
          </w:tcPr>
          <w:p>
            <w:r/>
            <w:r>
              <w:t>Pobrano</w:t>
            </w:r>
          </w:p>
        </w:tc>
        <w:tc>
          <w:tcPr>
            <w:tcW w:type="dxa" w:w="1728"/>
          </w:tcPr>
          <w:p>
            <w:r/>
            <w:r>
              <w:t>CO_CHFA_FY2025_ACFR.pdf</w:t>
            </w:r>
          </w:p>
        </w:tc>
        <w:tc>
          <w:tcPr>
            <w:tcW w:type="dxa" w:w="1728"/>
          </w:tcPr>
          <w:p>
            <w:r/>
            <w:r>
              <w:t>Tempo wzrostu zweryfikowane ręcznie na podstawie ACFR</w:t>
            </w:r>
          </w:p>
        </w:tc>
      </w:tr>
      <w:tr>
        <w:tc>
          <w:tcPr>
            <w:tcW w:type="dxa" w:w="1728"/>
          </w:tcPr>
          <w:p>
            <w:r/>
            <w:r>
              <w:t>CT</w:t>
            </w:r>
          </w:p>
        </w:tc>
        <w:tc>
          <w:tcPr>
            <w:tcW w:type="dxa" w:w="1728"/>
          </w:tcPr>
          <w:p>
            <w:r/>
            <w:r>
              <w:t>CHFA</w:t>
            </w:r>
          </w:p>
        </w:tc>
        <w:tc>
          <w:tcPr>
            <w:tcW w:type="dxa" w:w="1728"/>
          </w:tcPr>
          <w:p>
            <w:r/>
            <w:r>
              <w:t>Pobrano</w:t>
            </w:r>
          </w:p>
        </w:tc>
        <w:tc>
          <w:tcPr>
            <w:tcW w:type="dxa" w:w="1728"/>
          </w:tcPr>
          <w:p>
            <w:r/>
            <w:r>
              <w:t>CT_CHFA_FY2025_ACFR.pdf</w:t>
            </w:r>
          </w:p>
        </w:tc>
        <w:tc>
          <w:tcPr>
            <w:tcW w:type="dxa" w:w="1728"/>
          </w:tcPr>
          <w:p>
            <w:r/>
            <w:r>
              <w:t>Wskaźniki uzupełnione na podstawie ACFR/sprawozdań finansowych agencji</w:t>
            </w:r>
          </w:p>
        </w:tc>
      </w:tr>
      <w:tr>
        <w:tc>
          <w:tcPr>
            <w:tcW w:type="dxa" w:w="1728"/>
          </w:tcPr>
          <w:p>
            <w:r/>
            <w:r>
              <w:t>DC</w:t>
            </w:r>
          </w:p>
        </w:tc>
        <w:tc>
          <w:tcPr>
            <w:tcW w:type="dxa" w:w="1728"/>
          </w:tcPr>
          <w:p>
            <w:r/>
            <w:r>
              <w:t>DCHFA</w:t>
            </w:r>
          </w:p>
        </w:tc>
        <w:tc>
          <w:tcPr>
            <w:tcW w:type="dxa" w:w="1728"/>
          </w:tcPr>
          <w:p>
            <w:r/>
            <w:r>
              <w:t>Pobrano</w:t>
            </w:r>
          </w:p>
        </w:tc>
        <w:tc>
          <w:tcPr>
            <w:tcW w:type="dxa" w:w="1728"/>
          </w:tcPr>
          <w:p>
            <w:r/>
            <w:r>
              <w:t>DC_DCHFA_FY2025_ACFR.pdf</w:t>
            </w:r>
          </w:p>
        </w:tc>
        <w:tc>
          <w:tcPr>
            <w:tcW w:type="dxa" w:w="1728"/>
          </w:tcPr>
          <w:p>
            <w:r/>
            <w:r>
              <w:t>Kluczowe wskaźniki zweryfikowane ręcznie na podstawie MD&amp;A DCHFA za FY2025 (analiza sprawozdań finansowych, rok obrotowy zakończony 30 września 2025/2024 r.), co koryguje wcześniejszy błąd polegający na zduplikowaniu wartości aktywów netto za 2024 r. z wartości za 2025 r.</w:t>
            </w:r>
          </w:p>
        </w:tc>
      </w:tr>
      <w:tr>
        <w:tc>
          <w:tcPr>
            <w:tcW w:type="dxa" w:w="1728"/>
          </w:tcPr>
          <w:p>
            <w:r/>
            <w:r>
              <w:t>DE</w:t>
            </w:r>
          </w:p>
        </w:tc>
        <w:tc>
          <w:tcPr>
            <w:tcW w:type="dxa" w:w="1728"/>
          </w:tcPr>
          <w:p>
            <w:r/>
            <w:r>
              <w:t>DSHA</w:t>
            </w:r>
          </w:p>
        </w:tc>
        <w:tc>
          <w:tcPr>
            <w:tcW w:type="dxa" w:w="1728"/>
          </w:tcPr>
          <w:p>
            <w:r/>
            <w:r>
              <w:t>Pobrano</w:t>
            </w:r>
          </w:p>
        </w:tc>
        <w:tc>
          <w:tcPr>
            <w:tcW w:type="dxa" w:w="1728"/>
          </w:tcPr>
          <w:p>
            <w:r/>
            <w:r>
              <w:t>DE_DSHA_FY2025_ACFR.pdf</w:t>
            </w:r>
          </w:p>
        </w:tc>
        <w:tc>
          <w:tcPr>
            <w:tcW w:type="dxa" w:w="1728"/>
          </w:tcPr>
          <w:p>
            <w:r/>
            <w:r>
              <w:t>Kluczowe wskaźniki nie zostały wyodrębnione automatycznie; zalecany ręczny przegląd pliku PDF</w:t>
            </w:r>
          </w:p>
        </w:tc>
      </w:tr>
      <w:tr>
        <w:tc>
          <w:tcPr>
            <w:tcW w:type="dxa" w:w="1728"/>
          </w:tcPr>
          <w:p>
            <w:r/>
            <w:r>
              <w:t>FL</w:t>
            </w:r>
          </w:p>
        </w:tc>
        <w:tc>
          <w:tcPr>
            <w:tcW w:type="dxa" w:w="1728"/>
          </w:tcPr>
          <w:p>
            <w:r/>
            <w:r>
              <w:t>FloridaHousing</w:t>
            </w:r>
          </w:p>
        </w:tc>
        <w:tc>
          <w:tcPr>
            <w:tcW w:type="dxa" w:w="1728"/>
          </w:tcPr>
          <w:p>
            <w:r/>
            <w:r>
              <w:t>Pobrano</w:t>
            </w:r>
          </w:p>
        </w:tc>
        <w:tc>
          <w:tcPr>
            <w:tcW w:type="dxa" w:w="1728"/>
          </w:tcPr>
          <w:p>
            <w:r/>
            <w:r>
              <w:t>FL_FloridaHousing_FY2025_ACFR.pdf</w:t>
            </w:r>
          </w:p>
        </w:tc>
        <w:tc>
          <w:tcPr>
            <w:tcW w:type="dxa" w:w="1728"/>
          </w:tcPr>
          <w:p>
            <w:r/>
            <w:r>
              <w:t>-</w:t>
            </w:r>
          </w:p>
        </w:tc>
      </w:tr>
      <w:tr>
        <w:tc>
          <w:tcPr>
            <w:tcW w:type="dxa" w:w="1728"/>
          </w:tcPr>
          <w:p>
            <w:r/>
            <w:r>
              <w:t>GA</w:t>
            </w:r>
          </w:p>
        </w:tc>
        <w:tc>
          <w:tcPr>
            <w:tcW w:type="dxa" w:w="1728"/>
          </w:tcPr>
          <w:p>
            <w:r/>
            <w:r>
              <w:t>GHFA</w:t>
            </w:r>
          </w:p>
        </w:tc>
        <w:tc>
          <w:tcPr>
            <w:tcW w:type="dxa" w:w="1728"/>
          </w:tcPr>
          <w:p>
            <w:r/>
            <w:r>
              <w:t>Pobrano</w:t>
            </w:r>
          </w:p>
        </w:tc>
        <w:tc>
          <w:tcPr>
            <w:tcW w:type="dxa" w:w="1728"/>
          </w:tcPr>
          <w:p>
            <w:r/>
            <w:r>
              <w:t>GA_GHFA_FY2025_ACFR.pdf</w:t>
            </w:r>
          </w:p>
        </w:tc>
        <w:tc>
          <w:tcPr>
            <w:tcW w:type="dxa" w:w="1728"/>
          </w:tcPr>
          <w:p>
            <w:r/>
            <w:r>
              <w:t>Kluczowe wskaźniki nie zostały wyodrębnione automatycznie; zalecany ręczny przegląd pliku PDF</w:t>
            </w:r>
          </w:p>
        </w:tc>
      </w:tr>
      <w:tr>
        <w:tc>
          <w:tcPr>
            <w:tcW w:type="dxa" w:w="1728"/>
          </w:tcPr>
          <w:p>
            <w:r/>
            <w:r>
              <w:t>HI</w:t>
            </w:r>
          </w:p>
        </w:tc>
        <w:tc>
          <w:tcPr>
            <w:tcW w:type="dxa" w:w="1728"/>
          </w:tcPr>
          <w:p>
            <w:r/>
            <w:r>
              <w:t>HHFDC</w:t>
            </w:r>
          </w:p>
        </w:tc>
        <w:tc>
          <w:tcPr>
            <w:tcW w:type="dxa" w:w="1728"/>
          </w:tcPr>
          <w:p>
            <w:r/>
            <w:r>
              <w:t>Pobrano</w:t>
            </w:r>
          </w:p>
        </w:tc>
        <w:tc>
          <w:tcPr>
            <w:tcW w:type="dxa" w:w="1728"/>
          </w:tcPr>
          <w:p>
            <w:r/>
            <w:r>
              <w:t>HI_HHFDC_FY2025_ACFR.pdf</w:t>
            </w:r>
          </w:p>
        </w:tc>
        <w:tc>
          <w:tcPr>
            <w:tcW w:type="dxa" w:w="1728"/>
          </w:tcPr>
          <w:p>
            <w:r/>
            <w:r>
              <w:t>-</w:t>
            </w:r>
          </w:p>
        </w:tc>
      </w:tr>
      <w:tr>
        <w:tc>
          <w:tcPr>
            <w:tcW w:type="dxa" w:w="1728"/>
          </w:tcPr>
          <w:p>
            <w:r/>
            <w:r>
              <w:t>IA</w:t>
            </w:r>
          </w:p>
        </w:tc>
        <w:tc>
          <w:tcPr>
            <w:tcW w:type="dxa" w:w="1728"/>
          </w:tcPr>
          <w:p>
            <w:r/>
            <w:r>
              <w:t>IFA</w:t>
            </w:r>
          </w:p>
        </w:tc>
        <w:tc>
          <w:tcPr>
            <w:tcW w:type="dxa" w:w="1728"/>
          </w:tcPr>
          <w:p>
            <w:r/>
            <w:r>
              <w:t>Pobrano</w:t>
            </w:r>
          </w:p>
        </w:tc>
        <w:tc>
          <w:tcPr>
            <w:tcW w:type="dxa" w:w="1728"/>
          </w:tcPr>
          <w:p>
            <w:r/>
            <w:r>
              <w:t>IA_IFA_FY2025_ACFR.pdf</w:t>
            </w:r>
          </w:p>
        </w:tc>
        <w:tc>
          <w:tcPr>
            <w:tcW w:type="dxa" w:w="1728"/>
          </w:tcPr>
          <w:p>
            <w:r/>
            <w:r>
              <w:t>Kwoty podane w tysiącach; dane odpowiednio skorygowano</w:t>
            </w:r>
          </w:p>
        </w:tc>
      </w:tr>
      <w:tr>
        <w:tc>
          <w:tcPr>
            <w:tcW w:type="dxa" w:w="1728"/>
          </w:tcPr>
          <w:p>
            <w:r/>
            <w:r>
              <w:t>ID</w:t>
            </w:r>
          </w:p>
        </w:tc>
        <w:tc>
          <w:tcPr>
            <w:tcW w:type="dxa" w:w="1728"/>
          </w:tcPr>
          <w:p>
            <w:r/>
            <w:r>
              <w:t>IHFA</w:t>
            </w:r>
          </w:p>
        </w:tc>
        <w:tc>
          <w:tcPr>
            <w:tcW w:type="dxa" w:w="1728"/>
          </w:tcPr>
          <w:p>
            <w:r/>
            <w:r>
              <w:t>Pobrano</w:t>
            </w:r>
          </w:p>
        </w:tc>
        <w:tc>
          <w:tcPr>
            <w:tcW w:type="dxa" w:w="1728"/>
          </w:tcPr>
          <w:p>
            <w:r/>
            <w:r>
              <w:t>ID_IHFA_FY2025_ACFR.pdf</w:t>
            </w:r>
          </w:p>
        </w:tc>
        <w:tc>
          <w:tcPr>
            <w:tcW w:type="dxa" w:w="1728"/>
          </w:tcPr>
          <w:p>
            <w:r/>
            <w:r>
              <w:t>-</w:t>
            </w:r>
          </w:p>
        </w:tc>
      </w:tr>
      <w:tr>
        <w:tc>
          <w:tcPr>
            <w:tcW w:type="dxa" w:w="1728"/>
          </w:tcPr>
          <w:p>
            <w:r/>
            <w:r>
              <w:t>IL</w:t>
            </w:r>
          </w:p>
        </w:tc>
        <w:tc>
          <w:tcPr>
            <w:tcW w:type="dxa" w:w="1728"/>
          </w:tcPr>
          <w:p>
            <w:r/>
            <w:r>
              <w:t>IHDA</w:t>
            </w:r>
          </w:p>
        </w:tc>
        <w:tc>
          <w:tcPr>
            <w:tcW w:type="dxa" w:w="1728"/>
          </w:tcPr>
          <w:p>
            <w:r/>
            <w:r>
              <w:t>Pobrano</w:t>
            </w:r>
          </w:p>
        </w:tc>
        <w:tc>
          <w:tcPr>
            <w:tcW w:type="dxa" w:w="1728"/>
          </w:tcPr>
          <w:p>
            <w:r/>
            <w:r>
              <w:t>IL_IHDA_FY2025_ACFR.pdf</w:t>
            </w:r>
          </w:p>
        </w:tc>
        <w:tc>
          <w:tcPr>
            <w:tcW w:type="dxa" w:w="1728"/>
          </w:tcPr>
          <w:p>
            <w:r/>
            <w:r>
              <w:t>-</w:t>
            </w:r>
          </w:p>
        </w:tc>
      </w:tr>
      <w:tr>
        <w:tc>
          <w:tcPr>
            <w:tcW w:type="dxa" w:w="1728"/>
          </w:tcPr>
          <w:p>
            <w:r/>
            <w:r>
              <w:t>IN</w:t>
            </w:r>
          </w:p>
        </w:tc>
        <w:tc>
          <w:tcPr>
            <w:tcW w:type="dxa" w:w="1728"/>
          </w:tcPr>
          <w:p>
            <w:r/>
            <w:r>
              <w:t>IHCDA</w:t>
            </w:r>
          </w:p>
        </w:tc>
        <w:tc>
          <w:tcPr>
            <w:tcW w:type="dxa" w:w="1728"/>
          </w:tcPr>
          <w:p>
            <w:r/>
            <w:r>
              <w:t>Pobrano</w:t>
            </w:r>
          </w:p>
        </w:tc>
        <w:tc>
          <w:tcPr>
            <w:tcW w:type="dxa" w:w="1728"/>
          </w:tcPr>
          <w:p>
            <w:r/>
            <w:r>
              <w:t>IN_IHCDA_FY2025_ACFR.pdf</w:t>
            </w:r>
          </w:p>
        </w:tc>
        <w:tc>
          <w:tcPr>
            <w:tcW w:type="dxa" w:w="1728"/>
          </w:tcPr>
          <w:p>
            <w:r/>
            <w:r>
              <w:t>Kluczowe wskaźniki nie zostały wyodrębnione automatycznie; zalecany ręczny przegląd pliku PDF</w:t>
            </w:r>
          </w:p>
        </w:tc>
      </w:tr>
      <w:tr>
        <w:tc>
          <w:tcPr>
            <w:tcW w:type="dxa" w:w="1728"/>
          </w:tcPr>
          <w:p>
            <w:r/>
            <w:r>
              <w:t>KS</w:t>
            </w:r>
          </w:p>
        </w:tc>
        <w:tc>
          <w:tcPr>
            <w:tcW w:type="dxa" w:w="1728"/>
          </w:tcPr>
          <w:p>
            <w:r/>
            <w:r>
              <w:t>KHRC</w:t>
            </w:r>
          </w:p>
        </w:tc>
        <w:tc>
          <w:tcPr>
            <w:tcW w:type="dxa" w:w="1728"/>
          </w:tcPr>
          <w:p>
            <w:r/>
            <w:r>
              <w:t>Pobrano</w:t>
            </w:r>
          </w:p>
        </w:tc>
        <w:tc>
          <w:tcPr>
            <w:tcW w:type="dxa" w:w="1728"/>
          </w:tcPr>
          <w:p>
            <w:r/>
            <w:r>
              <w:t>KS_KHRC_FY2025_ACFR.pdf</w:t>
            </w:r>
          </w:p>
        </w:tc>
        <w:tc>
          <w:tcPr>
            <w:tcW w:type="dxa" w:w="1728"/>
          </w:tcPr>
          <w:p>
            <w:r/>
            <w:r>
              <w:t>Wskaźniki uzupełnione na podstawie ACFR/sprawozdań finansowych agencji</w:t>
            </w:r>
          </w:p>
        </w:tc>
      </w:tr>
      <w:tr>
        <w:tc>
          <w:tcPr>
            <w:tcW w:type="dxa" w:w="1728"/>
          </w:tcPr>
          <w:p>
            <w:r/>
            <w:r>
              <w:t>KY</w:t>
            </w:r>
          </w:p>
        </w:tc>
        <w:tc>
          <w:tcPr>
            <w:tcW w:type="dxa" w:w="1728"/>
          </w:tcPr>
          <w:p>
            <w:r/>
            <w:r>
              <w:t>KHC</w:t>
            </w:r>
          </w:p>
        </w:tc>
        <w:tc>
          <w:tcPr>
            <w:tcW w:type="dxa" w:w="1728"/>
          </w:tcPr>
          <w:p>
            <w:r/>
            <w:r>
              <w:t>Pobrano</w:t>
            </w:r>
          </w:p>
        </w:tc>
        <w:tc>
          <w:tcPr>
            <w:tcW w:type="dxa" w:w="1728"/>
          </w:tcPr>
          <w:p>
            <w:r/>
            <w:r>
              <w:t>KY_KHC_FY2025_ACFR.pdf</w:t>
            </w:r>
          </w:p>
        </w:tc>
        <w:tc>
          <w:tcPr>
            <w:tcW w:type="dxa" w:w="1728"/>
          </w:tcPr>
          <w:p>
            <w:r/>
            <w:r>
              <w:t>Wskaźniki uzupełnione na podstawie ACFR/sprawozdań finansowych agencji</w:t>
            </w:r>
          </w:p>
        </w:tc>
      </w:tr>
      <w:tr>
        <w:tc>
          <w:tcPr>
            <w:tcW w:type="dxa" w:w="1728"/>
          </w:tcPr>
          <w:p>
            <w:r/>
            <w:r>
              <w:t>LA</w:t>
            </w:r>
          </w:p>
        </w:tc>
        <w:tc>
          <w:tcPr>
            <w:tcW w:type="dxa" w:w="1728"/>
          </w:tcPr>
          <w:p>
            <w:r/>
            <w:r>
              <w:t>LHC</w:t>
            </w:r>
          </w:p>
        </w:tc>
        <w:tc>
          <w:tcPr>
            <w:tcW w:type="dxa" w:w="1728"/>
          </w:tcPr>
          <w:p>
            <w:r/>
            <w:r>
              <w:t>Pobrano</w:t>
            </w:r>
          </w:p>
        </w:tc>
        <w:tc>
          <w:tcPr>
            <w:tcW w:type="dxa" w:w="1728"/>
          </w:tcPr>
          <w:p>
            <w:r/>
            <w:r>
              <w:t>LA_LHC_FY2025_ACFR.pdf</w:t>
            </w:r>
          </w:p>
        </w:tc>
        <w:tc>
          <w:tcPr>
            <w:tcW w:type="dxa" w:w="1728"/>
          </w:tcPr>
          <w:p>
            <w:r/>
            <w:r>
              <w:t>-</w:t>
            </w:r>
          </w:p>
        </w:tc>
      </w:tr>
      <w:tr>
        <w:tc>
          <w:tcPr>
            <w:tcW w:type="dxa" w:w="1728"/>
          </w:tcPr>
          <w:p>
            <w:r/>
            <w:r>
              <w:t>MA</w:t>
            </w:r>
          </w:p>
        </w:tc>
        <w:tc>
          <w:tcPr>
            <w:tcW w:type="dxa" w:w="1728"/>
          </w:tcPr>
          <w:p>
            <w:r/>
            <w:r>
              <w:t>MassHousing</w:t>
            </w:r>
          </w:p>
        </w:tc>
        <w:tc>
          <w:tcPr>
            <w:tcW w:type="dxa" w:w="1728"/>
          </w:tcPr>
          <w:p>
            <w:r/>
            <w:r>
              <w:t>Pobrano</w:t>
            </w:r>
          </w:p>
        </w:tc>
        <w:tc>
          <w:tcPr>
            <w:tcW w:type="dxa" w:w="1728"/>
          </w:tcPr>
          <w:p>
            <w:r/>
            <w:r>
              <w:t>MA_MassHousing_FY2025_ACFR.pdf</w:t>
            </w:r>
          </w:p>
        </w:tc>
        <w:tc>
          <w:tcPr>
            <w:tcW w:type="dxa" w:w="1728"/>
          </w:tcPr>
          <w:p>
            <w:r/>
            <w:r>
              <w:t>-</w:t>
            </w:r>
          </w:p>
        </w:tc>
      </w:tr>
      <w:tr>
        <w:tc>
          <w:tcPr>
            <w:tcW w:type="dxa" w:w="1728"/>
          </w:tcPr>
          <w:p>
            <w:r/>
            <w:r>
              <w:t>MD</w:t>
            </w:r>
          </w:p>
        </w:tc>
        <w:tc>
          <w:tcPr>
            <w:tcW w:type="dxa" w:w="1728"/>
          </w:tcPr>
          <w:p>
            <w:r/>
            <w:r>
              <w:t>CDA</w:t>
            </w:r>
          </w:p>
        </w:tc>
        <w:tc>
          <w:tcPr>
            <w:tcW w:type="dxa" w:w="1728"/>
          </w:tcPr>
          <w:p>
            <w:r/>
            <w:r>
              <w:t>Pobrano</w:t>
            </w:r>
          </w:p>
        </w:tc>
        <w:tc>
          <w:tcPr>
            <w:tcW w:type="dxa" w:w="1728"/>
          </w:tcPr>
          <w:p>
            <w:r/>
            <w:r>
              <w:t>MD_CDA_FY2025_ACFR.pdf</w:t>
            </w:r>
          </w:p>
        </w:tc>
        <w:tc>
          <w:tcPr>
            <w:tcW w:type="dxa" w:w="1728"/>
          </w:tcPr>
          <w:p>
            <w:r/>
            <w:r>
              <w:t>Pełny zakres CDA: suma bez powielania 4 niepokrywających się opublikowanych sprawozdań funduszy obligacji na dhcd.maryland.gov (Revenue Obligation Funds — będący już połączeniem Housing Revenue Bonds + Residential Revenue Bonds + General Bond Reserve Fund — powiększony o Multi-Family Mortgage Revenue Bonds, Single Family Housing Revenue Bonds oraz Local Government Infrastructure Bonds)</w:t>
            </w:r>
          </w:p>
        </w:tc>
      </w:tr>
      <w:tr>
        <w:tc>
          <w:tcPr>
            <w:tcW w:type="dxa" w:w="1728"/>
          </w:tcPr>
          <w:p>
            <w:r/>
            <w:r>
              <w:t>ME</w:t>
            </w:r>
          </w:p>
        </w:tc>
        <w:tc>
          <w:tcPr>
            <w:tcW w:type="dxa" w:w="1728"/>
          </w:tcPr>
          <w:p>
            <w:r/>
            <w:r>
              <w:t>MaineHousing</w:t>
            </w:r>
          </w:p>
        </w:tc>
        <w:tc>
          <w:tcPr>
            <w:tcW w:type="dxa" w:w="1728"/>
          </w:tcPr>
          <w:p>
            <w:r/>
            <w:r>
              <w:t>Pobrano</w:t>
            </w:r>
          </w:p>
        </w:tc>
        <w:tc>
          <w:tcPr>
            <w:tcW w:type="dxa" w:w="1728"/>
          </w:tcPr>
          <w:p>
            <w:r/>
            <w:r>
              <w:t>ME_MaineHousing_FY2025_ACFR.pdf</w:t>
            </w:r>
          </w:p>
        </w:tc>
        <w:tc>
          <w:tcPr>
            <w:tcW w:type="dxa" w:w="1728"/>
          </w:tcPr>
          <w:p>
            <w:r/>
            <w:r>
              <w:t>Tempo wzrostu zweryfikowane ręcznie na podstawie ACFR; aktywa ogółem i zobowiązania ogółem uzupełnione na podstawie MD&amp;A MaineHousing za FY2025 (zestawienie aktywów netto, w milionach, rok obrotowy zakończony 31 grudnia 2025/2024 r.), zastępując wcześniejsze niedokładne oszacowanie</w:t>
            </w:r>
          </w:p>
        </w:tc>
      </w:tr>
      <w:tr>
        <w:tc>
          <w:tcPr>
            <w:tcW w:type="dxa" w:w="1728"/>
          </w:tcPr>
          <w:p>
            <w:r/>
            <w:r>
              <w:t>MI</w:t>
            </w:r>
          </w:p>
        </w:tc>
        <w:tc>
          <w:tcPr>
            <w:tcW w:type="dxa" w:w="1728"/>
          </w:tcPr>
          <w:p>
            <w:r/>
            <w:r>
              <w:t>MSHDA</w:t>
            </w:r>
          </w:p>
        </w:tc>
        <w:tc>
          <w:tcPr>
            <w:tcW w:type="dxa" w:w="1728"/>
          </w:tcPr>
          <w:p>
            <w:r/>
            <w:r>
              <w:t>Pobrano</w:t>
            </w:r>
          </w:p>
        </w:tc>
        <w:tc>
          <w:tcPr>
            <w:tcW w:type="dxa" w:w="1728"/>
          </w:tcPr>
          <w:p>
            <w:r/>
            <w:r>
              <w:t>MI_MSHDA_FY2025_ACFR.pdf</w:t>
            </w:r>
          </w:p>
        </w:tc>
        <w:tc>
          <w:tcPr>
            <w:tcW w:type="dxa" w:w="1728"/>
          </w:tcPr>
          <w:p>
            <w:r/>
            <w:r>
              <w:t>-</w:t>
            </w:r>
          </w:p>
        </w:tc>
      </w:tr>
      <w:tr>
        <w:tc>
          <w:tcPr>
            <w:tcW w:type="dxa" w:w="1728"/>
          </w:tcPr>
          <w:p>
            <w:r/>
            <w:r>
              <w:t>MN</w:t>
            </w:r>
          </w:p>
        </w:tc>
        <w:tc>
          <w:tcPr>
            <w:tcW w:type="dxa" w:w="1728"/>
          </w:tcPr>
          <w:p>
            <w:r/>
            <w:r>
              <w:t>MNHousing</w:t>
            </w:r>
          </w:p>
        </w:tc>
        <w:tc>
          <w:tcPr>
            <w:tcW w:type="dxa" w:w="1728"/>
          </w:tcPr>
          <w:p>
            <w:r/>
            <w:r>
              <w:t>Pobrano</w:t>
            </w:r>
          </w:p>
        </w:tc>
        <w:tc>
          <w:tcPr>
            <w:tcW w:type="dxa" w:w="1728"/>
          </w:tcPr>
          <w:p>
            <w:r/>
            <w:r>
              <w:t>MN_MNHousing_FY2025_ACFR.pdf</w:t>
            </w:r>
          </w:p>
        </w:tc>
        <w:tc>
          <w:tcPr>
            <w:tcW w:type="dxa" w:w="1728"/>
          </w:tcPr>
          <w:p>
            <w:r/>
            <w:r>
              <w:t>-</w:t>
            </w:r>
          </w:p>
        </w:tc>
      </w:tr>
      <w:tr>
        <w:tc>
          <w:tcPr>
            <w:tcW w:type="dxa" w:w="1728"/>
          </w:tcPr>
          <w:p>
            <w:r/>
            <w:r>
              <w:t>MO</w:t>
            </w:r>
          </w:p>
        </w:tc>
        <w:tc>
          <w:tcPr>
            <w:tcW w:type="dxa" w:w="1728"/>
          </w:tcPr>
          <w:p>
            <w:r/>
            <w:r>
              <w:t>MHDC</w:t>
            </w:r>
          </w:p>
        </w:tc>
        <w:tc>
          <w:tcPr>
            <w:tcW w:type="dxa" w:w="1728"/>
          </w:tcPr>
          <w:p>
            <w:r/>
            <w:r>
              <w:t>Pobrano</w:t>
            </w:r>
          </w:p>
        </w:tc>
        <w:tc>
          <w:tcPr>
            <w:tcW w:type="dxa" w:w="1728"/>
          </w:tcPr>
          <w:p>
            <w:r/>
            <w:r>
              <w:t>MO_MHDC_FY2025_ACFR.pdf</w:t>
            </w:r>
          </w:p>
        </w:tc>
        <w:tc>
          <w:tcPr>
            <w:tcW w:type="dxa" w:w="1728"/>
          </w:tcPr>
          <w:p>
            <w:r/>
            <w:r>
              <w:t>Tempo wzrostu zweryfikowane ręcznie na podstawie ACFR</w:t>
            </w:r>
          </w:p>
        </w:tc>
      </w:tr>
      <w:tr>
        <w:tc>
          <w:tcPr>
            <w:tcW w:type="dxa" w:w="1728"/>
          </w:tcPr>
          <w:p>
            <w:r/>
            <w:r>
              <w:t>MS</w:t>
            </w:r>
          </w:p>
        </w:tc>
        <w:tc>
          <w:tcPr>
            <w:tcW w:type="dxa" w:w="1728"/>
          </w:tcPr>
          <w:p>
            <w:r/>
            <w:r>
              <w:t>MHC</w:t>
            </w:r>
          </w:p>
        </w:tc>
        <w:tc>
          <w:tcPr>
            <w:tcW w:type="dxa" w:w="1728"/>
          </w:tcPr>
          <w:p>
            <w:r/>
            <w:r>
              <w:t>Pobrano</w:t>
            </w:r>
          </w:p>
        </w:tc>
        <w:tc>
          <w:tcPr>
            <w:tcW w:type="dxa" w:w="1728"/>
          </w:tcPr>
          <w:p>
            <w:r/>
            <w:r>
              <w:t>MS_MHC_FY2025_ACFR.pdf</w:t>
            </w:r>
          </w:p>
        </w:tc>
        <w:tc>
          <w:tcPr>
            <w:tcW w:type="dxa" w:w="1728"/>
          </w:tcPr>
          <w:p>
            <w:r/>
            <w:r>
              <w:t>Na podstawie skonsolidowanego zestawienia aktywów netto z rocznego raportu za FY2025 (zbadanego)</w:t>
            </w:r>
          </w:p>
        </w:tc>
      </w:tr>
      <w:tr>
        <w:tc>
          <w:tcPr>
            <w:tcW w:type="dxa" w:w="1728"/>
          </w:tcPr>
          <w:p>
            <w:r/>
            <w:r>
              <w:t>MT</w:t>
            </w:r>
          </w:p>
        </w:tc>
        <w:tc>
          <w:tcPr>
            <w:tcW w:type="dxa" w:w="1728"/>
          </w:tcPr>
          <w:p>
            <w:r/>
            <w:r>
              <w:t>MTHousing</w:t>
            </w:r>
          </w:p>
        </w:tc>
        <w:tc>
          <w:tcPr>
            <w:tcW w:type="dxa" w:w="1728"/>
          </w:tcPr>
          <w:p>
            <w:r/>
            <w:r>
              <w:t>Pobrano</w:t>
            </w:r>
          </w:p>
        </w:tc>
        <w:tc>
          <w:tcPr>
            <w:tcW w:type="dxa" w:w="1728"/>
          </w:tcPr>
          <w:p>
            <w:r/>
            <w:r>
              <w:t>MT_MTHousing_FY2025_ACFR.pdf</w:t>
            </w:r>
          </w:p>
        </w:tc>
        <w:tc>
          <w:tcPr>
            <w:tcW w:type="dxa" w:w="1728"/>
          </w:tcPr>
          <w:p>
            <w:r/>
            <w:r>
              <w:t>Kluczowe wskaźniki nie zostały wyodrębnione automatycznie; zalecany ręczny przegląd pliku PDF</w:t>
            </w:r>
          </w:p>
        </w:tc>
      </w:tr>
      <w:tr>
        <w:tc>
          <w:tcPr>
            <w:tcW w:type="dxa" w:w="1728"/>
          </w:tcPr>
          <w:p>
            <w:r/>
            <w:r>
              <w:t>NC</w:t>
            </w:r>
          </w:p>
        </w:tc>
        <w:tc>
          <w:tcPr>
            <w:tcW w:type="dxa" w:w="1728"/>
          </w:tcPr>
          <w:p>
            <w:r/>
            <w:r>
              <w:t>NCHFA</w:t>
            </w:r>
          </w:p>
        </w:tc>
        <w:tc>
          <w:tcPr>
            <w:tcW w:type="dxa" w:w="1728"/>
          </w:tcPr>
          <w:p>
            <w:r/>
            <w:r>
              <w:t>Pobrano</w:t>
            </w:r>
          </w:p>
        </w:tc>
        <w:tc>
          <w:tcPr>
            <w:tcW w:type="dxa" w:w="1728"/>
          </w:tcPr>
          <w:p>
            <w:r/>
            <w:r>
              <w:t>NC_NCHFA_FY2025_ACFR.pdf</w:t>
            </w:r>
          </w:p>
        </w:tc>
        <w:tc>
          <w:tcPr>
            <w:tcW w:type="dxa" w:w="1728"/>
          </w:tcPr>
          <w:p>
            <w:r/>
            <w:r>
              <w:t>-</w:t>
            </w:r>
          </w:p>
        </w:tc>
      </w:tr>
      <w:tr>
        <w:tc>
          <w:tcPr>
            <w:tcW w:type="dxa" w:w="1728"/>
          </w:tcPr>
          <w:p>
            <w:r/>
            <w:r>
              <w:t>ND</w:t>
            </w:r>
          </w:p>
        </w:tc>
        <w:tc>
          <w:tcPr>
            <w:tcW w:type="dxa" w:w="1728"/>
          </w:tcPr>
          <w:p>
            <w:r/>
            <w:r>
              <w:t>NDHFA</w:t>
            </w:r>
          </w:p>
        </w:tc>
        <w:tc>
          <w:tcPr>
            <w:tcW w:type="dxa" w:w="1728"/>
          </w:tcPr>
          <w:p>
            <w:r/>
            <w:r>
              <w:t>Pobrano</w:t>
            </w:r>
          </w:p>
        </w:tc>
        <w:tc>
          <w:tcPr>
            <w:tcW w:type="dxa" w:w="1728"/>
          </w:tcPr>
          <w:p>
            <w:r/>
            <w:r>
              <w:t>ND_NDHFA_FY2025_ACFR.pdf</w:t>
            </w:r>
          </w:p>
        </w:tc>
        <w:tc>
          <w:tcPr>
            <w:tcW w:type="dxa" w:w="1728"/>
          </w:tcPr>
          <w:p>
            <w:r/>
            <w:r>
              <w:t>Tempo wzrostu zweryfikowane ręcznie na podstawie ACFR</w:t>
            </w:r>
          </w:p>
        </w:tc>
      </w:tr>
      <w:tr>
        <w:tc>
          <w:tcPr>
            <w:tcW w:type="dxa" w:w="1728"/>
          </w:tcPr>
          <w:p>
            <w:r/>
            <w:r>
              <w:t>NE</w:t>
            </w:r>
          </w:p>
        </w:tc>
        <w:tc>
          <w:tcPr>
            <w:tcW w:type="dxa" w:w="1728"/>
          </w:tcPr>
          <w:p>
            <w:r/>
            <w:r>
              <w:t>NIFA</w:t>
            </w:r>
          </w:p>
        </w:tc>
        <w:tc>
          <w:tcPr>
            <w:tcW w:type="dxa" w:w="1728"/>
          </w:tcPr>
          <w:p>
            <w:r/>
            <w:r>
              <w:t>Pobrano</w:t>
            </w:r>
          </w:p>
        </w:tc>
        <w:tc>
          <w:tcPr>
            <w:tcW w:type="dxa" w:w="1728"/>
          </w:tcPr>
          <w:p>
            <w:r/>
            <w:r>
              <w:t>NE_NIFA_FY2025_ACFR.pdf</w:t>
            </w:r>
          </w:p>
        </w:tc>
        <w:tc>
          <w:tcPr>
            <w:tcW w:type="dxa" w:w="1728"/>
          </w:tcPr>
          <w:p>
            <w:r/>
            <w:r>
              <w:t>Tempo wzrostu zweryfikowane ręcznie na podstawie ACFR</w:t>
            </w:r>
          </w:p>
        </w:tc>
      </w:tr>
      <w:tr>
        <w:tc>
          <w:tcPr>
            <w:tcW w:type="dxa" w:w="1728"/>
          </w:tcPr>
          <w:p>
            <w:r/>
            <w:r>
              <w:t>NH</w:t>
            </w:r>
          </w:p>
        </w:tc>
        <w:tc>
          <w:tcPr>
            <w:tcW w:type="dxa" w:w="1728"/>
          </w:tcPr>
          <w:p>
            <w:r/>
            <w:r>
              <w:t>NHHousing</w:t>
            </w:r>
          </w:p>
        </w:tc>
        <w:tc>
          <w:tcPr>
            <w:tcW w:type="dxa" w:w="1728"/>
          </w:tcPr>
          <w:p>
            <w:r/>
            <w:r>
              <w:t>Pobrano</w:t>
            </w:r>
          </w:p>
        </w:tc>
        <w:tc>
          <w:tcPr>
            <w:tcW w:type="dxa" w:w="1728"/>
          </w:tcPr>
          <w:p>
            <w:r/>
            <w:r>
              <w:t>NH-Housing-Finance-Authority-Audited-Financial-Statements-FY-2025.pdf</w:t>
            </w:r>
          </w:p>
        </w:tc>
        <w:tc>
          <w:tcPr>
            <w:tcW w:type="dxa" w:w="1728"/>
          </w:tcPr>
          <w:p>
            <w:r/>
            <w:r>
              <w:t>Kluczowe wskaźniki zweryfikowane ręcznie na podstawie MD&amp;A NH Housing za FY2025 (skrócone informacje finansowe — zestawienie aktywów netto, stan na 30 czerwca 2025/2024 r.)</w:t>
            </w:r>
          </w:p>
        </w:tc>
      </w:tr>
      <w:tr>
        <w:tc>
          <w:tcPr>
            <w:tcW w:type="dxa" w:w="1728"/>
          </w:tcPr>
          <w:p>
            <w:r/>
            <w:r>
              <w:t>NJ</w:t>
            </w:r>
          </w:p>
        </w:tc>
        <w:tc>
          <w:tcPr>
            <w:tcW w:type="dxa" w:w="1728"/>
          </w:tcPr>
          <w:p>
            <w:r/>
            <w:r>
              <w:t>NJHMFA</w:t>
            </w:r>
          </w:p>
        </w:tc>
        <w:tc>
          <w:tcPr>
            <w:tcW w:type="dxa" w:w="1728"/>
          </w:tcPr>
          <w:p>
            <w:r/>
            <w:r>
              <w:t>Niedostępne</w:t>
            </w:r>
          </w:p>
        </w:tc>
        <w:tc>
          <w:tcPr>
            <w:tcW w:type="dxa" w:w="1728"/>
          </w:tcPr>
          <w:p>
            <w:r/>
            <w:r>
              <w:t>-</w:t>
            </w:r>
          </w:p>
        </w:tc>
        <w:tc>
          <w:tcPr>
            <w:tcW w:type="dxa" w:w="1728"/>
          </w:tcPr>
          <w:p>
            <w:r/>
            <w:r>
              <w:t>Nie znaleziono odnośnika do pliku PDF za FY2025</w:t>
            </w:r>
          </w:p>
        </w:tc>
      </w:tr>
      <w:tr>
        <w:tc>
          <w:tcPr>
            <w:tcW w:type="dxa" w:w="1728"/>
          </w:tcPr>
          <w:p>
            <w:r/>
            <w:r>
              <w:t>NM</w:t>
            </w:r>
          </w:p>
        </w:tc>
        <w:tc>
          <w:tcPr>
            <w:tcW w:type="dxa" w:w="1728"/>
          </w:tcPr>
          <w:p>
            <w:r/>
            <w:r>
              <w:t>MFA</w:t>
            </w:r>
          </w:p>
        </w:tc>
        <w:tc>
          <w:tcPr>
            <w:tcW w:type="dxa" w:w="1728"/>
          </w:tcPr>
          <w:p>
            <w:r/>
            <w:r>
              <w:t>Pobrano</w:t>
            </w:r>
          </w:p>
        </w:tc>
        <w:tc>
          <w:tcPr>
            <w:tcW w:type="dxa" w:w="1728"/>
          </w:tcPr>
          <w:p>
            <w:r/>
            <w:r>
              <w:t>NM_MFA_FY2025_ACFR.pdf</w:t>
            </w:r>
          </w:p>
        </w:tc>
        <w:tc>
          <w:tcPr>
            <w:tcW w:type="dxa" w:w="1728"/>
          </w:tcPr>
          <w:p>
            <w:r/>
            <w:r>
              <w:t>Wskaźniki uzupełnione na podstawie zbadanych sprawozdań finansowych (zeskanowany PDF), sekcja MD&amp;A</w:t>
            </w:r>
          </w:p>
        </w:tc>
      </w:tr>
      <w:tr>
        <w:tc>
          <w:tcPr>
            <w:tcW w:type="dxa" w:w="1728"/>
          </w:tcPr>
          <w:p>
            <w:r/>
            <w:r>
              <w:t>NV</w:t>
            </w:r>
          </w:p>
        </w:tc>
        <w:tc>
          <w:tcPr>
            <w:tcW w:type="dxa" w:w="1728"/>
          </w:tcPr>
          <w:p>
            <w:r/>
            <w:r>
              <w:t>NHD</w:t>
            </w:r>
          </w:p>
        </w:tc>
        <w:tc>
          <w:tcPr>
            <w:tcW w:type="dxa" w:w="1728"/>
          </w:tcPr>
          <w:p>
            <w:r/>
            <w:r>
              <w:t>Niedostępne</w:t>
            </w:r>
          </w:p>
        </w:tc>
        <w:tc>
          <w:tcPr>
            <w:tcW w:type="dxa" w:w="1728"/>
          </w:tcPr>
          <w:p>
            <w:r/>
            <w:r>
              <w:t>-</w:t>
            </w:r>
          </w:p>
        </w:tc>
        <w:tc>
          <w:tcPr>
            <w:tcW w:type="dxa" w:w="1728"/>
          </w:tcPr>
          <w:p>
            <w:r/>
            <w:r>
              <w:t>Nie znaleziono odnośnika do pliku PDF za FY2025</w:t>
            </w:r>
          </w:p>
        </w:tc>
      </w:tr>
      <w:tr>
        <w:tc>
          <w:tcPr>
            <w:tcW w:type="dxa" w:w="1728"/>
          </w:tcPr>
          <w:p>
            <w:r/>
            <w:r>
              <w:t>NY</w:t>
            </w:r>
          </w:p>
        </w:tc>
        <w:tc>
          <w:tcPr>
            <w:tcW w:type="dxa" w:w="1728"/>
          </w:tcPr>
          <w:p>
            <w:r/>
            <w:r>
              <w:t>HCR</w:t>
            </w:r>
          </w:p>
        </w:tc>
        <w:tc>
          <w:tcPr>
            <w:tcW w:type="dxa" w:w="1728"/>
          </w:tcPr>
          <w:p>
            <w:r/>
            <w:r>
              <w:t>Niedostępne</w:t>
            </w:r>
          </w:p>
        </w:tc>
        <w:tc>
          <w:tcPr>
            <w:tcW w:type="dxa" w:w="1728"/>
          </w:tcPr>
          <w:p>
            <w:r/>
            <w:r>
              <w:t>-</w:t>
            </w:r>
          </w:p>
        </w:tc>
        <w:tc>
          <w:tcPr>
            <w:tcW w:type="dxa" w:w="1728"/>
          </w:tcPr>
          <w:p>
            <w:r/>
            <w:r>
              <w:t>Nie znaleziono odnośnika do pliku PDF za FY2025</w:t>
            </w:r>
          </w:p>
        </w:tc>
      </w:tr>
      <w:tr>
        <w:tc>
          <w:tcPr>
            <w:tcW w:type="dxa" w:w="1728"/>
          </w:tcPr>
          <w:p>
            <w:r/>
            <w:r>
              <w:t>OH</w:t>
            </w:r>
          </w:p>
        </w:tc>
        <w:tc>
          <w:tcPr>
            <w:tcW w:type="dxa" w:w="1728"/>
          </w:tcPr>
          <w:p>
            <w:r/>
            <w:r>
              <w:t>OHFA</w:t>
            </w:r>
          </w:p>
        </w:tc>
        <w:tc>
          <w:tcPr>
            <w:tcW w:type="dxa" w:w="1728"/>
          </w:tcPr>
          <w:p>
            <w:r/>
            <w:r>
              <w:t>Pobrano</w:t>
            </w:r>
          </w:p>
        </w:tc>
        <w:tc>
          <w:tcPr>
            <w:tcW w:type="dxa" w:w="1728"/>
          </w:tcPr>
          <w:p>
            <w:r/>
            <w:r>
              <w:t>OH_OHFA_FY2025_ACFR.pdf</w:t>
            </w:r>
          </w:p>
        </w:tc>
        <w:tc>
          <w:tcPr>
            <w:tcW w:type="dxa" w:w="1728"/>
          </w:tcPr>
          <w:p>
            <w:r/>
            <w:r>
              <w:t>-</w:t>
            </w:r>
          </w:p>
        </w:tc>
      </w:tr>
      <w:tr>
        <w:tc>
          <w:tcPr>
            <w:tcW w:type="dxa" w:w="1728"/>
          </w:tcPr>
          <w:p>
            <w:r/>
            <w:r>
              <w:t>OK</w:t>
            </w:r>
          </w:p>
        </w:tc>
        <w:tc>
          <w:tcPr>
            <w:tcW w:type="dxa" w:w="1728"/>
          </w:tcPr>
          <w:p>
            <w:r/>
            <w:r>
              <w:t>OHFA_OK</w:t>
            </w:r>
          </w:p>
        </w:tc>
        <w:tc>
          <w:tcPr>
            <w:tcW w:type="dxa" w:w="1728"/>
          </w:tcPr>
          <w:p>
            <w:r/>
            <w:r>
              <w:t>Pobrano</w:t>
            </w:r>
          </w:p>
        </w:tc>
        <w:tc>
          <w:tcPr>
            <w:tcW w:type="dxa" w:w="1728"/>
          </w:tcPr>
          <w:p>
            <w:r/>
            <w:r>
              <w:t>OK_OHFA_OK_FY2025_ACFR.pdf</w:t>
            </w:r>
          </w:p>
        </w:tc>
        <w:tc>
          <w:tcPr>
            <w:tcW w:type="dxa" w:w="1728"/>
          </w:tcPr>
          <w:p>
            <w:r/>
            <w:r>
              <w:t>Wskaźniki uzupełnione na podstawie ACFR/sprawozdań finansowych agencji</w:t>
            </w:r>
          </w:p>
        </w:tc>
      </w:tr>
      <w:tr>
        <w:tc>
          <w:tcPr>
            <w:tcW w:type="dxa" w:w="1728"/>
          </w:tcPr>
          <w:p>
            <w:r/>
            <w:r>
              <w:t>OR</w:t>
            </w:r>
          </w:p>
        </w:tc>
        <w:tc>
          <w:tcPr>
            <w:tcW w:type="dxa" w:w="1728"/>
          </w:tcPr>
          <w:p>
            <w:r/>
            <w:r>
              <w:t>OHCS</w:t>
            </w:r>
          </w:p>
        </w:tc>
        <w:tc>
          <w:tcPr>
            <w:tcW w:type="dxa" w:w="1728"/>
          </w:tcPr>
          <w:p>
            <w:r/>
            <w:r>
              <w:t>Niedostępne</w:t>
            </w:r>
          </w:p>
        </w:tc>
        <w:tc>
          <w:tcPr>
            <w:tcW w:type="dxa" w:w="1728"/>
          </w:tcPr>
          <w:p>
            <w:r/>
            <w:r>
              <w:t>-</w:t>
            </w:r>
          </w:p>
        </w:tc>
        <w:tc>
          <w:tcPr>
            <w:tcW w:type="dxa" w:w="1728"/>
          </w:tcPr>
          <w:p>
            <w:r/>
            <w:r>
              <w:t>Nie znaleziono odnośnika do pliku PDF za FY2025</w:t>
            </w:r>
          </w:p>
        </w:tc>
      </w:tr>
      <w:tr>
        <w:tc>
          <w:tcPr>
            <w:tcW w:type="dxa" w:w="1728"/>
          </w:tcPr>
          <w:p>
            <w:r/>
            <w:r>
              <w:t>PA</w:t>
            </w:r>
          </w:p>
        </w:tc>
        <w:tc>
          <w:tcPr>
            <w:tcW w:type="dxa" w:w="1728"/>
          </w:tcPr>
          <w:p>
            <w:r/>
            <w:r>
              <w:t>PHFA</w:t>
            </w:r>
          </w:p>
        </w:tc>
        <w:tc>
          <w:tcPr>
            <w:tcW w:type="dxa" w:w="1728"/>
          </w:tcPr>
          <w:p>
            <w:r/>
            <w:r>
              <w:t>Pobrano</w:t>
            </w:r>
          </w:p>
        </w:tc>
        <w:tc>
          <w:tcPr>
            <w:tcW w:type="dxa" w:w="1728"/>
          </w:tcPr>
          <w:p>
            <w:r/>
            <w:r>
              <w:t>PA_PHFA_FY2025_ACFR.pdf</w:t>
            </w:r>
          </w:p>
        </w:tc>
        <w:tc>
          <w:tcPr>
            <w:tcW w:type="dxa" w:w="1728"/>
          </w:tcPr>
          <w:p>
            <w:r/>
            <w:r>
              <w:t>Kluczowe wskaźniki zweryfikowane ręcznie na podstawie MD&amp;A PHFA za FY2025 (skrócony bilans, stan na 30 czerwca 2025/2024 r.); dane odpowiadają pozycjom „Aktywa ogółem”/„Zobowiązania ogółem”, z wyłączeniem odroczonych wypływów/wpływów zasobów</w:t>
            </w:r>
          </w:p>
        </w:tc>
      </w:tr>
      <w:tr>
        <w:tc>
          <w:tcPr>
            <w:tcW w:type="dxa" w:w="1728"/>
          </w:tcPr>
          <w:p>
            <w:r/>
            <w:r>
              <w:t>RI</w:t>
            </w:r>
          </w:p>
        </w:tc>
        <w:tc>
          <w:tcPr>
            <w:tcW w:type="dxa" w:w="1728"/>
          </w:tcPr>
          <w:p>
            <w:r/>
            <w:r>
              <w:t>RIHousing</w:t>
            </w:r>
          </w:p>
        </w:tc>
        <w:tc>
          <w:tcPr>
            <w:tcW w:type="dxa" w:w="1728"/>
          </w:tcPr>
          <w:p>
            <w:r/>
            <w:r>
              <w:t>Niedostępne</w:t>
            </w:r>
          </w:p>
        </w:tc>
        <w:tc>
          <w:tcPr>
            <w:tcW w:type="dxa" w:w="1728"/>
          </w:tcPr>
          <w:p>
            <w:r/>
            <w:r>
              <w:t>-</w:t>
            </w:r>
          </w:p>
        </w:tc>
        <w:tc>
          <w:tcPr>
            <w:tcW w:type="dxa" w:w="1728"/>
          </w:tcPr>
          <w:p>
            <w:r/>
            <w:r>
              <w:t>Nie znaleziono odnośnika do pliku PDF za FY2025</w:t>
            </w:r>
          </w:p>
        </w:tc>
      </w:tr>
      <w:tr>
        <w:tc>
          <w:tcPr>
            <w:tcW w:type="dxa" w:w="1728"/>
          </w:tcPr>
          <w:p>
            <w:r/>
            <w:r>
              <w:t>SC</w:t>
            </w:r>
          </w:p>
        </w:tc>
        <w:tc>
          <w:tcPr>
            <w:tcW w:type="dxa" w:w="1728"/>
          </w:tcPr>
          <w:p>
            <w:r/>
            <w:r>
              <w:t>SCHFDA</w:t>
            </w:r>
          </w:p>
        </w:tc>
        <w:tc>
          <w:tcPr>
            <w:tcW w:type="dxa" w:w="1728"/>
          </w:tcPr>
          <w:p>
            <w:r/>
            <w:r>
              <w:t>Pobrano</w:t>
            </w:r>
          </w:p>
        </w:tc>
        <w:tc>
          <w:tcPr>
            <w:tcW w:type="dxa" w:w="1728"/>
          </w:tcPr>
          <w:p>
            <w:r/>
            <w:r>
              <w:t>SC_SCHFDA_FY2025_ACFR.pdf</w:t>
            </w:r>
          </w:p>
        </w:tc>
        <w:tc>
          <w:tcPr>
            <w:tcW w:type="dxa" w:w="1728"/>
          </w:tcPr>
          <w:p>
            <w:r/>
            <w:r>
              <w:t>Wskaźniki uzupełnione na podstawie ACFR/sprawozdań finansowych agencji</w:t>
            </w:r>
          </w:p>
        </w:tc>
      </w:tr>
      <w:tr>
        <w:tc>
          <w:tcPr>
            <w:tcW w:type="dxa" w:w="1728"/>
          </w:tcPr>
          <w:p>
            <w:r/>
            <w:r>
              <w:t>SD</w:t>
            </w:r>
          </w:p>
        </w:tc>
        <w:tc>
          <w:tcPr>
            <w:tcW w:type="dxa" w:w="1728"/>
          </w:tcPr>
          <w:p>
            <w:r/>
            <w:r>
              <w:t>SDHDA</w:t>
            </w:r>
          </w:p>
        </w:tc>
        <w:tc>
          <w:tcPr>
            <w:tcW w:type="dxa" w:w="1728"/>
          </w:tcPr>
          <w:p>
            <w:r/>
            <w:r>
              <w:t>Pobrano</w:t>
            </w:r>
          </w:p>
        </w:tc>
        <w:tc>
          <w:tcPr>
            <w:tcW w:type="dxa" w:w="1728"/>
          </w:tcPr>
          <w:p>
            <w:r/>
            <w:r>
              <w:t>SD_SDHDA_FY2025_ACFR.pdf</w:t>
            </w:r>
          </w:p>
        </w:tc>
        <w:tc>
          <w:tcPr>
            <w:tcW w:type="dxa" w:w="1728"/>
          </w:tcPr>
          <w:p>
            <w:r/>
            <w:r>
              <w:t>Aktywa ogółem i zobowiązania ogółem uzupełnione na podstawie MD&amp;A SDHDA za FY2025 (zmiany aktywów/zobowiązań/aktywów netto, w milionach, rok obrotowy zakończony 30 czerwca 2025/2024 r.)</w:t>
            </w:r>
          </w:p>
        </w:tc>
      </w:tr>
      <w:tr>
        <w:tc>
          <w:tcPr>
            <w:tcW w:type="dxa" w:w="1728"/>
          </w:tcPr>
          <w:p>
            <w:r/>
            <w:r>
              <w:t>TN</w:t>
            </w:r>
          </w:p>
        </w:tc>
        <w:tc>
          <w:tcPr>
            <w:tcW w:type="dxa" w:w="1728"/>
          </w:tcPr>
          <w:p>
            <w:r/>
            <w:r>
              <w:t>THDA</w:t>
            </w:r>
          </w:p>
        </w:tc>
        <w:tc>
          <w:tcPr>
            <w:tcW w:type="dxa" w:w="1728"/>
          </w:tcPr>
          <w:p>
            <w:r/>
            <w:r>
              <w:t>Pobrano</w:t>
            </w:r>
          </w:p>
        </w:tc>
        <w:tc>
          <w:tcPr>
            <w:tcW w:type="dxa" w:w="1728"/>
          </w:tcPr>
          <w:p>
            <w:r/>
            <w:r>
              <w:t>TN_THDA_FY2025_ACFR.pdf</w:t>
            </w:r>
          </w:p>
        </w:tc>
        <w:tc>
          <w:tcPr>
            <w:tcW w:type="dxa" w:w="1728"/>
          </w:tcPr>
          <w:p>
            <w:r/>
            <w:r>
              <w:t>Aktywa netto za FY2024 odzwierciedlają przekształconą wartość porównawczą z raportu za FY2025</w:t>
            </w:r>
          </w:p>
        </w:tc>
      </w:tr>
      <w:tr>
        <w:tc>
          <w:tcPr>
            <w:tcW w:type="dxa" w:w="1728"/>
          </w:tcPr>
          <w:p>
            <w:r/>
            <w:r>
              <w:t>TX</w:t>
            </w:r>
          </w:p>
        </w:tc>
        <w:tc>
          <w:tcPr>
            <w:tcW w:type="dxa" w:w="1728"/>
          </w:tcPr>
          <w:p>
            <w:r/>
            <w:r>
              <w:t>TDHCA</w:t>
            </w:r>
          </w:p>
        </w:tc>
        <w:tc>
          <w:tcPr>
            <w:tcW w:type="dxa" w:w="1728"/>
          </w:tcPr>
          <w:p>
            <w:r/>
            <w:r>
              <w:t>Pobrano</w:t>
            </w:r>
          </w:p>
        </w:tc>
        <w:tc>
          <w:tcPr>
            <w:tcW w:type="dxa" w:w="1728"/>
          </w:tcPr>
          <w:p>
            <w:r/>
            <w:r>
              <w:t>TX_TDHCA_FY2025_ACFR.pdf</w:t>
            </w:r>
          </w:p>
        </w:tc>
        <w:tc>
          <w:tcPr>
            <w:tcW w:type="dxa" w:w="1728"/>
          </w:tcPr>
          <w:p>
            <w:r/>
            <w:r>
              <w:t>Kluczowe wskaźniki nie zostały wyodrębnione automatycznie; zalecany ręczny przegląd pliku PDF</w:t>
            </w:r>
          </w:p>
        </w:tc>
      </w:tr>
      <w:tr>
        <w:tc>
          <w:tcPr>
            <w:tcW w:type="dxa" w:w="1728"/>
          </w:tcPr>
          <w:p>
            <w:r/>
            <w:r>
              <w:t>UT</w:t>
            </w:r>
          </w:p>
        </w:tc>
        <w:tc>
          <w:tcPr>
            <w:tcW w:type="dxa" w:w="1728"/>
          </w:tcPr>
          <w:p>
            <w:r/>
            <w:r>
              <w:t>UtahHousing</w:t>
            </w:r>
          </w:p>
        </w:tc>
        <w:tc>
          <w:tcPr>
            <w:tcW w:type="dxa" w:w="1728"/>
          </w:tcPr>
          <w:p>
            <w:r/>
            <w:r>
              <w:t>Pobrano</w:t>
            </w:r>
          </w:p>
        </w:tc>
        <w:tc>
          <w:tcPr>
            <w:tcW w:type="dxa" w:w="1728"/>
          </w:tcPr>
          <w:p>
            <w:r/>
            <w:r>
              <w:t>UT_UtahHousing_FY2025_ACFR.pdf</w:t>
            </w:r>
          </w:p>
        </w:tc>
        <w:tc>
          <w:tcPr>
            <w:tcW w:type="dxa" w:w="1728"/>
          </w:tcPr>
          <w:p>
            <w:r/>
            <w:r>
              <w:t>Tempo wzrostu zweryfikowane ręcznie na podstawie ACFR</w:t>
            </w:r>
          </w:p>
        </w:tc>
      </w:tr>
      <w:tr>
        <w:tc>
          <w:tcPr>
            <w:tcW w:type="dxa" w:w="1728"/>
          </w:tcPr>
          <w:p>
            <w:r/>
            <w:r>
              <w:t>VA</w:t>
            </w:r>
          </w:p>
        </w:tc>
        <w:tc>
          <w:tcPr>
            <w:tcW w:type="dxa" w:w="1728"/>
          </w:tcPr>
          <w:p>
            <w:r/>
            <w:r>
              <w:t>VirginiaHousing</w:t>
            </w:r>
          </w:p>
        </w:tc>
        <w:tc>
          <w:tcPr>
            <w:tcW w:type="dxa" w:w="1728"/>
          </w:tcPr>
          <w:p>
            <w:r/>
            <w:r>
              <w:t>Pobrano</w:t>
            </w:r>
          </w:p>
        </w:tc>
        <w:tc>
          <w:tcPr>
            <w:tcW w:type="dxa" w:w="1728"/>
          </w:tcPr>
          <w:p>
            <w:r/>
            <w:r>
              <w:t>VA_VirginiaHousing_FY2025_ACFR.pdf</w:t>
            </w:r>
          </w:p>
        </w:tc>
        <w:tc>
          <w:tcPr>
            <w:tcW w:type="dxa" w:w="1728"/>
          </w:tcPr>
          <w:p>
            <w:r/>
            <w:r>
              <w:t>Kluczowe wskaźniki nie zostały wyodrębnione automatycznie; zalecany ręczny przegląd pliku PDF</w:t>
            </w:r>
          </w:p>
        </w:tc>
      </w:tr>
      <w:tr>
        <w:tc>
          <w:tcPr>
            <w:tcW w:type="dxa" w:w="1728"/>
          </w:tcPr>
          <w:p>
            <w:r/>
            <w:r>
              <w:t>VT</w:t>
            </w:r>
          </w:p>
        </w:tc>
        <w:tc>
          <w:tcPr>
            <w:tcW w:type="dxa" w:w="1728"/>
          </w:tcPr>
          <w:p>
            <w:r/>
            <w:r>
              <w:t>VHFA</w:t>
            </w:r>
          </w:p>
        </w:tc>
        <w:tc>
          <w:tcPr>
            <w:tcW w:type="dxa" w:w="1728"/>
          </w:tcPr>
          <w:p>
            <w:r/>
            <w:r>
              <w:t>Pobrano</w:t>
            </w:r>
          </w:p>
        </w:tc>
        <w:tc>
          <w:tcPr>
            <w:tcW w:type="dxa" w:w="1728"/>
          </w:tcPr>
          <w:p>
            <w:r/>
            <w:r>
              <w:t>VT_VHFA_FY2025_ACFR.pdf</w:t>
            </w:r>
          </w:p>
        </w:tc>
        <w:tc>
          <w:tcPr>
            <w:tcW w:type="dxa" w:w="1728"/>
          </w:tcPr>
          <w:p>
            <w:r/>
            <w:r>
              <w:t>Wskaźniki uzupełnione na podstawie ACFR/sprawozdań finansowych agencji</w:t>
            </w:r>
          </w:p>
        </w:tc>
      </w:tr>
      <w:tr>
        <w:tc>
          <w:tcPr>
            <w:tcW w:type="dxa" w:w="1728"/>
          </w:tcPr>
          <w:p>
            <w:r/>
            <w:r>
              <w:t>WA</w:t>
            </w:r>
          </w:p>
        </w:tc>
        <w:tc>
          <w:tcPr>
            <w:tcW w:type="dxa" w:w="1728"/>
          </w:tcPr>
          <w:p>
            <w:r/>
            <w:r>
              <w:t>WSHFC</w:t>
            </w:r>
          </w:p>
        </w:tc>
        <w:tc>
          <w:tcPr>
            <w:tcW w:type="dxa" w:w="1728"/>
          </w:tcPr>
          <w:p>
            <w:r/>
            <w:r>
              <w:t>Pobrano</w:t>
            </w:r>
          </w:p>
        </w:tc>
        <w:tc>
          <w:tcPr>
            <w:tcW w:type="dxa" w:w="1728"/>
          </w:tcPr>
          <w:p>
            <w:r/>
            <w:r>
              <w:t>WA_WSHFC_FY2025_ACFR.pdf</w:t>
            </w:r>
          </w:p>
        </w:tc>
        <w:tc>
          <w:tcPr>
            <w:tcW w:type="dxa" w:w="1728"/>
          </w:tcPr>
          <w:p>
            <w:r/>
            <w:r>
              <w:t>-</w:t>
            </w:r>
          </w:p>
        </w:tc>
      </w:tr>
      <w:tr>
        <w:tc>
          <w:tcPr>
            <w:tcW w:type="dxa" w:w="1728"/>
          </w:tcPr>
          <w:p>
            <w:r/>
            <w:r>
              <w:t>WI</w:t>
            </w:r>
          </w:p>
        </w:tc>
        <w:tc>
          <w:tcPr>
            <w:tcW w:type="dxa" w:w="1728"/>
          </w:tcPr>
          <w:p>
            <w:r/>
            <w:r>
              <w:t>WHEDA</w:t>
            </w:r>
          </w:p>
        </w:tc>
        <w:tc>
          <w:tcPr>
            <w:tcW w:type="dxa" w:w="1728"/>
          </w:tcPr>
          <w:p>
            <w:r/>
            <w:r>
              <w:t>Pobrano</w:t>
            </w:r>
          </w:p>
        </w:tc>
        <w:tc>
          <w:tcPr>
            <w:tcW w:type="dxa" w:w="1728"/>
          </w:tcPr>
          <w:p>
            <w:r/>
            <w:r>
              <w:t>WI_WHEDA_FY2025_ACFR.pdf</w:t>
            </w:r>
          </w:p>
        </w:tc>
        <w:tc>
          <w:tcPr>
            <w:tcW w:type="dxa" w:w="1728"/>
          </w:tcPr>
          <w:p>
            <w:r/>
            <w:r>
              <w:t>Kluczowe wskaźniki nie zostały wyodrębnione automatycznie; zalecany ręczny przegląd pliku PDF</w:t>
            </w:r>
          </w:p>
        </w:tc>
      </w:tr>
      <w:tr>
        <w:tc>
          <w:tcPr>
            <w:tcW w:type="dxa" w:w="1728"/>
          </w:tcPr>
          <w:p>
            <w:r/>
            <w:r>
              <w:t>WV</w:t>
            </w:r>
          </w:p>
        </w:tc>
        <w:tc>
          <w:tcPr>
            <w:tcW w:type="dxa" w:w="1728"/>
          </w:tcPr>
          <w:p>
            <w:r/>
            <w:r>
              <w:t>WVHDF</w:t>
            </w:r>
          </w:p>
        </w:tc>
        <w:tc>
          <w:tcPr>
            <w:tcW w:type="dxa" w:w="1728"/>
          </w:tcPr>
          <w:p>
            <w:r/>
            <w:r>
              <w:t>Pobrano</w:t>
            </w:r>
          </w:p>
        </w:tc>
        <w:tc>
          <w:tcPr>
            <w:tcW w:type="dxa" w:w="1728"/>
          </w:tcPr>
          <w:p>
            <w:r/>
            <w:r>
              <w:t>WV_WVHDF_FY2025_ACFR.pdf</w:t>
            </w:r>
          </w:p>
        </w:tc>
        <w:tc>
          <w:tcPr>
            <w:tcW w:type="dxa" w:w="1728"/>
          </w:tcPr>
          <w:p>
            <w:r/>
            <w:r>
              <w:t>-</w:t>
            </w:r>
          </w:p>
        </w:tc>
      </w:tr>
      <w:tr>
        <w:tc>
          <w:tcPr>
            <w:tcW w:type="dxa" w:w="1728"/>
          </w:tcPr>
          <w:p>
            <w:r/>
            <w:r>
              <w:t>WY</w:t>
            </w:r>
          </w:p>
        </w:tc>
        <w:tc>
          <w:tcPr>
            <w:tcW w:type="dxa" w:w="1728"/>
          </w:tcPr>
          <w:p>
            <w:r/>
            <w:r>
              <w:t>WCDA</w:t>
            </w:r>
          </w:p>
        </w:tc>
        <w:tc>
          <w:tcPr>
            <w:tcW w:type="dxa" w:w="1728"/>
          </w:tcPr>
          <w:p>
            <w:r/>
            <w:r>
              <w:t>Pobrano</w:t>
            </w:r>
          </w:p>
        </w:tc>
        <w:tc>
          <w:tcPr>
            <w:tcW w:type="dxa" w:w="1728"/>
          </w:tcPr>
          <w:p>
            <w:r/>
            <w:r>
              <w:t>WY_WCDA_FY2025_ACFR.pdf</w:t>
            </w:r>
          </w:p>
        </w:tc>
        <w:tc>
          <w:tcPr>
            <w:tcW w:type="dxa" w:w="1728"/>
          </w:tcPr>
          <w:p>
            <w:r/>
            <w:r>
              <w:t>Kluczowe wskaźniki nie zostały wyodrębnione automatycznie; zalecany ręczny przegląd pliku PDF</w:t>
            </w:r>
          </w:p>
        </w:tc>
      </w:tr>
    </w:tbl>
    <w:p/>
    <w:p>
      <w:pPr>
        <w:pStyle w:val="Heading1"/>
      </w:pPr>
      <w:r>
        <w:rPr>
          <w:b w:val="0"/>
          <w:i w:val="0"/>
        </w:rPr>
        <w:t>VII. Stany bez raportów za FY2025</w:t>
      </w:r>
    </w:p>
    <w:p>
      <w:r>
        <w:rPr>
          <w:b w:val="0"/>
          <w:i w:val="0"/>
        </w:rPr>
        <w:t>Na dzień sporządzenia niniejszego raportu dla następujących 6 stanów lub terytoriów nie udało się publicznie zlokalizować raportu ACFR ani zbadanego sprawozdania finansowego za FY2025. Najczęstsze przyczyny to niedokończone badania sprawozdań, publikacje ograniczone wyłącznie do FY2024 lub dokumenty zamieszczone na niestandardowych stronach.</w:t>
      </w:r>
    </w:p>
    <w:p>
      <w:pPr>
        <w:pStyle w:val="ListBullet"/>
      </w:pPr>
      <w:r>
        <w:rPr>
          <w:b w:val="0"/>
          <w:i w:val="0"/>
        </w:rPr>
        <w:t>AZ - Arizona Department of Housing (ADOH)</w:t>
      </w:r>
    </w:p>
    <w:p>
      <w:pPr>
        <w:pStyle w:val="ListBullet"/>
      </w:pPr>
      <w:r>
        <w:rPr>
          <w:b w:val="0"/>
          <w:i w:val="0"/>
        </w:rPr>
        <w:t>NV - Nevada Housing Division (NHD)</w:t>
      </w:r>
    </w:p>
    <w:p>
      <w:pPr>
        <w:pStyle w:val="ListBullet"/>
      </w:pPr>
      <w:r>
        <w:rPr>
          <w:b w:val="0"/>
          <w:i w:val="0"/>
        </w:rPr>
        <w:t>NJ - New Jersey Housing and Mortgage Finance Agency (NJHMFA)</w:t>
      </w:r>
    </w:p>
    <w:p>
      <w:pPr>
        <w:pStyle w:val="ListBullet"/>
      </w:pPr>
      <w:r>
        <w:rPr>
          <w:b w:val="0"/>
          <w:i w:val="0"/>
        </w:rPr>
        <w:t>NY - New York State Homes and Community Renewal (HCR)</w:t>
      </w:r>
    </w:p>
    <w:p>
      <w:pPr>
        <w:pStyle w:val="ListBullet"/>
      </w:pPr>
      <w:r>
        <w:rPr>
          <w:b w:val="0"/>
          <w:i w:val="0"/>
        </w:rPr>
        <w:t>OR - Oregon Housing and Community Services (OHCS)</w:t>
      </w:r>
    </w:p>
    <w:p>
      <w:pPr>
        <w:pStyle w:val="ListBullet"/>
      </w:pPr>
      <w:r>
        <w:rPr>
          <w:b w:val="0"/>
          <w:i w:val="0"/>
        </w:rPr>
        <w:t>RI - Rhode Island Housing (RIHousing)</w:t>
      </w:r>
    </w:p>
    <w:p>
      <w:pPr>
        <w:pStyle w:val="Heading1"/>
      </w:pPr>
      <w:r>
        <w:rPr>
          <w:b w:val="0"/>
          <w:i w:val="0"/>
        </w:rPr>
        <w:t>Załącznik: Metodologia</w:t>
      </w:r>
    </w:p>
    <w:p>
      <w:r>
        <w:rPr>
          <w:b w:val="0"/>
          <w:i w:val="0"/>
        </w:rPr>
        <w:t>Źródłami są raporty ACFR za FY2025 lub pliki PDF zbadanych sprawozdań finansowych publikowane przez stanowe HFA lub audytorów stanowych. Ekstrakcja danych priorytetowo obejmuje najważniejsze dane finansowe z MD&amp;A oraz pozycje Zestawienia Aktywów Netto dotyczące aktywów ogółem, zobowiązań ogółem i aktywów netto ogółem (często podawane w tysiącach dolarów). Podstawy ujawnień różnią się między działalnością rządową, działalnością o charakterze biznesowym i prezentacjami mieszanymi; porównania między stanami należy odczytywać wraz z towarzyszącymi im notami objaśniającymi.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lang w:val="pl-PL" w:eastAsia="pl-PL" w:bidi="pl-P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Amerykańskie Stanowe Agencje Finansowania Budownictwa Mieszkaniowego — FY2025 Analiza ACFR i sprawozdań finansowych</dc:title>
  <dc:subject/>
  <dc:creator>MD-ai-fin</dc:creator>
  <cp:keywords/>
  <dc:description>generated by python-docx</dc:description>
  <cp:lastModifiedBy/>
  <cp:revision>1</cp:revision>
  <dcterms:created xsi:type="dcterms:W3CDTF">2013-12-23T23:15:00Z</dcterms:created>
  <dcterms:modified xsi:type="dcterms:W3CDTF">2013-12-23T23:15:00Z</dcterms:modified>
  <cp:category/>
  <dc:language>pl-PL</dc:language>
</cp:coreProperties>
</file>