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Agencias Estatales de Financiamiento de Vivienda de EE. UU. — FY2025</w:t>
      </w:r>
      <w:r>
        <w:br/>
      </w:r>
      <w:r>
        <w:rPr>
          <w:b/>
          <w:i w:val="0"/>
        </w:rPr>
        <w:t>Análisis del ACFR y de los Estados Financieros</w:t>
      </w:r>
    </w:p>
    <w:p>
      <w:r>
        <w:rPr>
          <w:b w:val="0"/>
          <w:i w:val="0"/>
        </w:rPr>
        <w:t>Preparado: 16 de agosto de 2026 | Cobertura: 51 estados/territorios | Informes obtenidos: 46 presentaciones del FY2025</w:t>
      </w:r>
    </w:p>
    <w:p>
      <w:pPr>
        <w:pStyle w:val="Heading1"/>
      </w:pPr>
      <w:r>
        <w:rPr>
          <w:b w:val="0"/>
          <w:i w:val="0"/>
        </w:rPr>
        <w:t>I. Resumen ejecutivo</w:t>
      </w:r>
    </w:p>
    <w:p>
      <w:r>
        <w:rPr>
          <w:b w:val="0"/>
          <w:i w:val="0"/>
        </w:rPr>
        <w:t>El ejercicio fiscal 2025 (concluido el 30 de junio de 2025 para la mayoría de las agencias; algunas informan por año calendario) fue un período de gran relevancia para las Agencias Estatales de Financiamiento de Vivienda (HFA, por sus siglas en inglés). Las tasas de interés se relajaron, la competencia por los Créditos Fiscales para Vivienda de Bajos Ingresos (LIHTC) se intensificó, y los programas para compradores de vivienda primerizos siguieron expandiéndose. Este informe recopila y compara los ACFR y estados financieros auditados de acceso público correspondientes a las HFA de los 51 estados y el Distrito de Columbia. A la fecha de elaboración, se obtuvieron 46 informes del FY2025 (90 % de cobertura).</w:t>
      </w:r>
    </w:p>
    <w:p>
      <w:r>
        <w:rPr>
          <w:b w:val="0"/>
          <w:i w:val="0"/>
        </w:rPr>
        <w:t>Entre las 46 agencias con indicadores extraídos, el activo neto agregado asciende a aproximadamente 46,610 millones de dólares y el activo total agregado a aproximadamente 202,790 millones de dólares. Estas cifras agregadas solo son indicativas de la escala del sector y no son comparables con estados financieros consolidados, dadas las diferentes bases de presentación. Las HFA estatales funcionan principalmente como intermediarias financiadas mediante bonos: préstamos hipotecarios y de desarrollo del lado del activo, y bonos de vivienda del lado del pasivo. El índice de activo neto (activo neto dividido entre activo total) es un indicador útil del colchón financiero y la resiliencia de la agencia.</w:t>
      </w:r>
    </w:p>
    <w:p>
      <w:r>
        <w:rPr>
          <w:b w:val="0"/>
          <w:i w:val="0"/>
        </w:rPr>
        <w:t>El mayor incremento interanual del activo neto lo registró Misisipi (MHC), con un +121,2 % (partiendo de una base reducida de 17,5 millones de dólares hasta 38,8 millones, ya que es la primera presentación del FY2025 de Misisipi incorporada a este informe); entre las agencias con una base comparable del año anterior, el mayor incremento lo registró Luisiana (LHC), con un +31,9 %, que llevó su activo neto a 821,7 millones de dólares. Este tipo de incrementos suele coincidir con una mayor emisión de bonos, el crecimiento de la cartera o la recuperación del valor razonable, y debe interpretarse junto con indicadores de producción de vivienda (por ejemplo, unidades financiadas).</w:t>
      </w:r>
    </w:p>
    <w:p>
      <w:pPr>
        <w:pStyle w:val="Heading1"/>
      </w:pPr>
      <w:r>
        <w:rPr>
          <w:b w:val="0"/>
          <w:i w:val="0"/>
        </w:rPr>
        <w:t>II. Clasificaciones</w:t>
      </w:r>
    </w:p>
    <w:p>
      <w:pPr>
        <w:pStyle w:val="Heading2"/>
      </w:pPr>
      <w:r>
        <w:rPr>
          <w:b w:val="0"/>
          <w:i w:val="0"/>
        </w:rPr>
        <w:t>2.1 Los 10 primeros por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Activo neto FY2025</w:t>
            </w:r>
          </w:p>
        </w:tc>
        <w:tc>
          <w:tcPr>
            <w:tcW w:type="dxa" w:w="1440"/>
          </w:tcPr>
          <w:p>
            <w:r/>
            <w:r>
              <w:rPr>
                <w:b/>
              </w:rPr>
              <w:t>Activo total FY2025</w:t>
            </w:r>
          </w:p>
        </w:tc>
        <w:tc>
          <w:tcPr>
            <w:tcW w:type="dxa" w:w="1440"/>
          </w:tcPr>
          <w:p>
            <w:r/>
            <w:r>
              <w:rPr>
                <w:b/>
              </w:rPr>
              <w:t>Índice de activo neto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NY</w:t>
            </w:r>
          </w:p>
        </w:tc>
        <w:tc>
          <w:tcPr>
            <w:tcW w:type="dxa" w:w="1440"/>
          </w:tcPr>
          <w:p>
            <w:r/>
            <w:r>
              <w:t>NYSHFA</w:t>
            </w:r>
          </w:p>
        </w:tc>
        <w:tc>
          <w:tcPr>
            <w:tcW w:type="dxa" w:w="1440"/>
          </w:tcPr>
          <w:p>
            <w:r/>
            <w:r>
              <w:t>$1,707.9M</w:t>
            </w:r>
          </w:p>
        </w:tc>
        <w:tc>
          <w:tcPr>
            <w:tcW w:type="dxa" w:w="1440"/>
          </w:tcPr>
          <w:p>
            <w:r/>
            <w:r>
              <w:t>$21,306.7M</w:t>
            </w:r>
          </w:p>
        </w:tc>
        <w:tc>
          <w:tcPr>
            <w:tcW w:type="dxa" w:w="1440"/>
          </w:tcPr>
          <w:p>
            <w:r/>
            <w:r>
              <w:t>+8.0%</w:t>
            </w:r>
          </w:p>
        </w:tc>
      </w:tr>
      <w:tr>
        <w:tc>
          <w:tcPr>
            <w:tcW w:type="dxa" w:w="1440"/>
          </w:tcPr>
          <w:p>
            <w:r/>
            <w:r>
              <w:t>7</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8</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9</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10</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bl>
    <w:p/>
    <w:p>
      <w:r>
        <w:rPr>
          <w:b w:val="0"/>
          <w:i w:val="0"/>
        </w:rPr>
        <w:t>Florida, Virginia y California encabezan la clasificación por activo neto, seguidas de Hawái y Massachusetts. Las agencias más grandes suelen operar tanto programas de bonos de ingresos para vivienda multifamiliar como programas hipotecarios unifamiliares. El tamaño no es en sí mismo un indicador de desempeño, pero suele correlacionarse con un mejor acceso al mercado, menores costos marginales de financiamiento y mayor capacidad para financiar grandes operaciones de vivienda asequible cuando cambia la política federal.</w:t>
      </w:r>
    </w:p>
    <w:p>
      <w:pPr>
        <w:pStyle w:val="Heading2"/>
      </w:pPr>
      <w:r>
        <w:rPr>
          <w:b w:val="0"/>
          <w:i w:val="0"/>
        </w:rPr>
        <w:t>2.2 Los 10 primeros por crecimiento del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Variación del activo neto</w:t>
            </w:r>
          </w:p>
        </w:tc>
        <w:tc>
          <w:tcPr>
            <w:tcW w:type="dxa" w:w="1440"/>
          </w:tcPr>
          <w:p>
            <w:r/>
            <w:r>
              <w:rPr>
                <w:b/>
              </w:rPr>
              <w:t>Tasa de crecimiento</w:t>
            </w:r>
          </w:p>
        </w:tc>
        <w:tc>
          <w:tcPr>
            <w:tcW w:type="dxa" w:w="1440"/>
          </w:tcPr>
          <w:p>
            <w:r/>
            <w:r>
              <w:rPr>
                <w:b/>
              </w:rPr>
              <w:t>Activo neto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Misisipi registró el mayor crecimiento interanual del activo neto en términos porcentuales (+121,2 %), aunque partiendo de una base reducida al tratarse de una presentación del FY2025 recién incorporada. Entre las agencias con una base comparable del año anterior, Luisiana registró el mayor crecimiento, mientras que Connecticut, Indiana, Ohio, Minnesota y Utah también reportaron incrementos de entre poco más del 15 % y mediados de los 20 %. Un crecimiento rápido suele reflejar un repunte en la emisión de bonos, liberaciones de reservas para pérdidas crediticias o ganancias de valor razonable, o mayores ingresos por comisiones y márgenes de los programas estatales para compradores de vivienda. Las ganancias impulsadas principalmente por cambios en el valor razonable, y no por resultados operativos, pueden resultar menos duraderas.</w:t>
      </w:r>
    </w:p>
    <w:p>
      <w:pPr>
        <w:pStyle w:val="Heading2"/>
      </w:pPr>
      <w:r>
        <w:rPr>
          <w:b w:val="0"/>
          <w:i w:val="0"/>
        </w:rPr>
        <w:t>2.3 Los 10 primeros por activo total</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N.º</w:t>
            </w:r>
          </w:p>
        </w:tc>
        <w:tc>
          <w:tcPr>
            <w:tcW w:type="dxa" w:w="1728"/>
          </w:tcPr>
          <w:p>
            <w:r/>
            <w:r>
              <w:rPr>
                <w:b/>
              </w:rPr>
              <w:t>Estado</w:t>
            </w:r>
          </w:p>
        </w:tc>
        <w:tc>
          <w:tcPr>
            <w:tcW w:type="dxa" w:w="1728"/>
          </w:tcPr>
          <w:p>
            <w:r/>
            <w:r>
              <w:rPr>
                <w:b/>
              </w:rPr>
              <w:t>Agencia</w:t>
            </w:r>
          </w:p>
        </w:tc>
        <w:tc>
          <w:tcPr>
            <w:tcW w:type="dxa" w:w="1728"/>
          </w:tcPr>
          <w:p>
            <w:r/>
            <w:r>
              <w:rPr>
                <w:b/>
              </w:rPr>
              <w:t>Activo total FY2025</w:t>
            </w:r>
          </w:p>
        </w:tc>
        <w:tc>
          <w:tcPr>
            <w:tcW w:type="dxa" w:w="1728"/>
          </w:tcPr>
          <w:p>
            <w:r/>
            <w:r>
              <w:rPr>
                <w:b/>
              </w:rPr>
              <w:t>Activo neto FY2025</w:t>
            </w:r>
          </w:p>
        </w:tc>
      </w:tr>
      <w:tr>
        <w:tc>
          <w:tcPr>
            <w:tcW w:type="dxa" w:w="1728"/>
          </w:tcPr>
          <w:p>
            <w:r/>
            <w:r>
              <w:t>1</w:t>
            </w:r>
          </w:p>
        </w:tc>
        <w:tc>
          <w:tcPr>
            <w:tcW w:type="dxa" w:w="1728"/>
          </w:tcPr>
          <w:p>
            <w:r/>
            <w:r>
              <w:t>NY</w:t>
            </w:r>
          </w:p>
        </w:tc>
        <w:tc>
          <w:tcPr>
            <w:tcW w:type="dxa" w:w="1728"/>
          </w:tcPr>
          <w:p>
            <w:r/>
            <w:r>
              <w:t>NYSHFA</w:t>
            </w:r>
          </w:p>
        </w:tc>
        <w:tc>
          <w:tcPr>
            <w:tcW w:type="dxa" w:w="1728"/>
          </w:tcPr>
          <w:p>
            <w:r/>
            <w:r>
              <w:t>$21,306.7M</w:t>
            </w:r>
          </w:p>
        </w:tc>
        <w:tc>
          <w:tcPr>
            <w:tcW w:type="dxa" w:w="1728"/>
          </w:tcPr>
          <w:p>
            <w:r/>
            <w:r>
              <w:t>$1,707.9M</w:t>
            </w:r>
          </w:p>
        </w:tc>
      </w:tr>
      <w:tr>
        <w:tc>
          <w:tcPr>
            <w:tcW w:type="dxa" w:w="1728"/>
          </w:tcPr>
          <w:p>
            <w:r/>
            <w:r>
              <w:t>2</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3</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4</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5</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6</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7</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8</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9</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10</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bl>
    <w:p/>
    <w:p>
      <w:pPr>
        <w:pStyle w:val="Heading2"/>
      </w:pPr>
      <w:r>
        <w:rPr>
          <w:b w:val="0"/>
          <w:i w:val="0"/>
        </w:rPr>
        <w:t>2.4 Los 10 primeros por índice de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Índice de activo neto</w:t>
            </w:r>
          </w:p>
        </w:tc>
        <w:tc>
          <w:tcPr>
            <w:tcW w:type="dxa" w:w="1440"/>
          </w:tcPr>
          <w:p>
            <w:r/>
            <w:r>
              <w:rPr>
                <w:b/>
              </w:rPr>
              <w:t>Activo neto FY2025</w:t>
            </w:r>
          </w:p>
        </w:tc>
        <w:tc>
          <w:tcPr>
            <w:tcW w:type="dxa" w:w="1440"/>
          </w:tcPr>
          <w:p>
            <w:r/>
            <w:r>
              <w:rPr>
                <w:b/>
              </w:rPr>
              <w:t>Activo total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Entre las agencias más grandes, Hawái y California presentan los índices de activo neto más altos; Florida y Luisiana también se sitúan muy por encima del nivel típico de sus pares. Las HFA más pequeñas pueden mostrar índices elevados debido a balances más simples, por lo que el tamaño y el índice deben interpretarse en conjunto. Un colchón financiero más amplio generalmente ofrece mayor flexibilidad ante deterioros de activos, presión de tasas de interés o ventanas de refinanciamiento más estrechas.</w:t>
      </w:r>
    </w:p>
    <w:p>
      <w:pPr>
        <w:pStyle w:val="Heading1"/>
      </w:pPr>
      <w:r>
        <w:rPr>
          <w:b w:val="0"/>
          <w:i w:val="0"/>
        </w:rPr>
        <w:t>III. Modelos operativos: cinco arquetipos</w:t>
      </w:r>
    </w:p>
    <w:p>
      <w:r>
        <w:rPr>
          <w:b w:val="0"/>
          <w:i w:val="0"/>
        </w:rPr>
        <w:t>Las revelaciones del FY2025 sugieren cinco modelos operativos generales útiles para la comparación entre estados:</w:t>
      </w:r>
    </w:p>
    <w:p>
      <w:pPr>
        <w:pStyle w:val="ListBullet"/>
      </w:pPr>
      <w:r>
        <w:rPr>
          <w:b/>
          <w:i w:val="0"/>
        </w:rPr>
        <w:t xml:space="preserve">Grandes agencias financiadas con bonos: </w:t>
      </w:r>
      <w:r>
        <w:rPr>
          <w:b w:val="0"/>
          <w:i w:val="0"/>
        </w:rPr>
        <w:t>Entre los ejemplos se incluyen Nueva York, Virginia, Minnesota, Colorado, Connecticut, Míchigan e Illinois: bases de activos amplias con pasivos que se expanden en paralelo, y una fuerte dependencia de programas de bonos multifamiliares y unifamiliares, así como de los canales de las GSE (entidades patrocinadas por el gobierno). La HFA del estado de Nueva York es, con diferencia, la más grande de este grupo: en el FY2025 reportó un activo total de aproximadamente 21,310 millones de dólares y un pasivo total de aproximadamente 19,570 millones de dólares, cerca de 1.7 veces el activo total de Virginia, la siguiente agencia más grande.</w:t>
      </w:r>
    </w:p>
    <w:p>
      <w:pPr>
        <w:pStyle w:val="ListBullet"/>
      </w:pPr>
      <w:r>
        <w:rPr>
          <w:b/>
          <w:i w:val="0"/>
        </w:rPr>
        <w:t xml:space="preserve">Agencias medianas a grandes de alto crecimiento: </w:t>
      </w:r>
      <w:r>
        <w:rPr>
          <w:b w:val="0"/>
          <w:i w:val="0"/>
        </w:rPr>
        <w:t>Entre los ejemplos se incluyen Luisiana, Connecticut, Indiana, Ohio y Utah: crecimiento de dos dígitos en el activo neto sobre balances de tamaño mediano a grande, lo que ilustra cómo los ciclos de emisión y la combinación de programas pueden fortalecer el capital.</w:t>
      </w:r>
    </w:p>
    <w:p>
      <w:pPr>
        <w:pStyle w:val="ListBullet"/>
      </w:pPr>
      <w:r>
        <w:rPr>
          <w:b/>
          <w:i w:val="0"/>
        </w:rPr>
        <w:t xml:space="preserve">Modelos integrados de departamento estatal: </w:t>
      </w:r>
      <w:r>
        <w:rPr>
          <w:b w:val="0"/>
          <w:i w:val="0"/>
        </w:rPr>
        <w:t>El TDHCA de Texas es representativo: los fondos gubernamentales y los de tipo empresarial operan en paralelo, por lo que la base de revelación y el alcance de la consolidación requieren una lectura cuidadosa.</w:t>
      </w:r>
    </w:p>
    <w:p>
      <w:pPr>
        <w:pStyle w:val="ListBullet"/>
      </w:pPr>
      <w:r>
        <w:rPr>
          <w:b/>
          <w:i w:val="0"/>
        </w:rPr>
        <w:t xml:space="preserve">Mercados costeros de alto costo: </w:t>
      </w:r>
      <w:r>
        <w:rPr>
          <w:b w:val="0"/>
          <w:i w:val="0"/>
        </w:rPr>
        <w:t>California y Washington son ilustrativos. Los resultados siguen de cerca los precios de la vivienda, los costos de construcción y la cartera de proyectos. En el FY2025, CalHFA reportó un activo neto de aproximadamente 3,440 millones de dólares y un activo total cercano a 5,000 millones de dólares, manteniéndose entre las mayores agencias estatales de financiamiento de vivienda.</w:t>
      </w:r>
    </w:p>
    <w:p>
      <w:pPr>
        <w:pStyle w:val="ListBullet"/>
      </w:pPr>
      <w:r>
        <w:rPr>
          <w:b/>
          <w:i w:val="0"/>
        </w:rPr>
        <w:t xml:space="preserve">Estados de recursos y baja densidad: </w:t>
      </w:r>
      <w:r>
        <w:rPr>
          <w:b w:val="0"/>
          <w:i w:val="0"/>
        </w:rPr>
        <w:t>Wyoming, Dakota del Norte, Dakota del Sur y Nuevo México suelen mostrar ciclos de emisión más volátiles; proyectos individuales pueden mover de forma significativa los estados financieros.</w:t>
      </w:r>
    </w:p>
    <w:p>
      <w:pPr>
        <w:pStyle w:val="Heading1"/>
      </w:pPr>
      <w:r>
        <w:rPr>
          <w:b w:val="0"/>
          <w:i w:val="0"/>
        </w:rPr>
        <w:t>IV. Interpretación de las cifras</w:t>
      </w:r>
    </w:p>
    <w:p>
      <w:r>
        <w:rPr>
          <w:b/>
          <w:i w:val="0"/>
        </w:rPr>
        <w:t xml:space="preserve">La escala no garantiza seguridad. </w:t>
      </w:r>
      <w:r>
        <w:rPr>
          <w:b w:val="0"/>
          <w:i w:val="0"/>
        </w:rPr>
        <w:t>Las bases de activos más grandes suelen conllevar también los mayores pasivos y la mayor exposición a derivados. Dado que la trayectoria de las tasas de interés sigue siendo incierta, el índice de activo neto y la capacidad de flujo de caja merecen tanta atención como la clasificación por tamaño de activos. Nueva York ilustra este punto: es ahora la agencia más grande por activos totales, pero su índice de activo neto es de apenas un 8% aproximadamente, muy por debajo de la mayoría de sus pares entre las diez agencias más grandes por activos, que oscilan aproximadamente entre el 16% y el 98%.</w:t>
      </w:r>
    </w:p>
    <w:p>
      <w:r>
        <w:rPr>
          <w:b/>
          <w:i w:val="0"/>
        </w:rPr>
        <w:t xml:space="preserve">El crecimiento del activo neto no equivale a producción de vivienda. </w:t>
      </w:r>
      <w:r>
        <w:rPr>
          <w:b w:val="0"/>
          <w:i w:val="0"/>
        </w:rPr>
        <w:t>Conforme a los principios contables GAAP, el activo neto puede variar por el valor razonable de las inversiones, las provisiones por pérdidas o la amortización de primas de bonos. La producción de vivienda debe validarse con los informes de los programas (unidades financiadas, bonos emitidos).</w:t>
      </w:r>
    </w:p>
    <w:p>
      <w:r>
        <w:rPr>
          <w:b/>
          <w:i w:val="0"/>
        </w:rPr>
        <w:t xml:space="preserve">La calidad de la revelación de información tiene valor de mercado. </w:t>
      </w:r>
      <w:r>
        <w:rPr>
          <w:b w:val="0"/>
          <w:i w:val="0"/>
        </w:rPr>
        <w:t>Las agencias que obtienen el Certificado de Logro de la GFOA (por ejemplo, IHDA de Illinois) tienden a publicar un análisis y comentarios de la gerencia (MD&amp;A) más claro, lo que puede reducir los costos de diligencia debida de los inversionistas y, de forma indirecta, favorecer diferenciales de bonos más ajustados.</w:t>
      </w:r>
    </w:p>
    <w:p>
      <w:pPr>
        <w:pStyle w:val="Heading1"/>
      </w:pPr>
      <w:r>
        <w:rPr>
          <w:b w:val="0"/>
          <w:i w:val="0"/>
        </w:rPr>
        <w:t>V. Contexto poblacional y socioeconómico</w:t>
      </w:r>
    </w:p>
    <w:p>
      <w:r>
        <w:rPr>
          <w:b w:val="0"/>
          <w:i w:val="0"/>
        </w:rPr>
        <w:t>La población total de los 51 estados y el Distrito de Columbia asciende a aproximadamente 341.8M. Los cinco más poblados son CA(39.4M), TX(31.7M), FL(23.5M), NY(20.0M), PA(13.1M); los cinco menos poblados son ND(0.8M), AK(0.7M), DC(0.7M), VT(0.6M), WY(0.6M). Las cifras de población provienen del programa de estimaciones de población de la Oficina del Censo y cubren los 51 estados/territorios (cobertura del 100 %), lo que convierte a esta capa en la más consistente de las tres capas de datos.</w:t>
      </w:r>
    </w:p>
    <w:p>
      <w:r>
        <w:rPr>
          <w:b w:val="0"/>
          <w:i w:val="0"/>
        </w:rPr>
        <w:t>El ingreso personal per cápita (BEA SAINC4) es más alto en el Distrito de Columbia (alrededor de DC($112,944), CT($95,083), MA($93,575)) y más bajo en Misisipi (alrededor de AL($57,251), WV($55,432), MS($51,948)), aproximadamente 2.2 veces menor. Los ingresos altos se concentran en el Distrito de Columbia, Nueva Inglaterra, el Atlántico Medio y la Costa Oeste.</w:t>
      </w:r>
    </w:p>
    <w:p>
      <w:r>
        <w:rPr>
          <w:b w:val="0"/>
          <w:i w:val="0"/>
        </w:rPr>
        <w:t>La tasa de desempleo promedio nacional es de aproximadamente 3.7 %: Nevada es la más alta (NV(5.6%)) y Dakota del Sur la más baja (SD(1.8%)). La tasa de pobreza promedio es de aproximadamente 12.0 %: Luisiana, Misisipi y Nuevo México son los más altos (LA(18.9%), MS(18.8%), NM(17.6%)), mientras que Nuevo Hampshire es el más bajo (NH(7.2%)). Misisipi, Virginia Occidental, Alabama, Kentucky y Nuevo México suelen mostrar a la vez un ingreso per cápita más bajo y una pobreza más alta.</w:t>
      </w:r>
    </w:p>
    <w:p>
      <w:r>
        <w:rPr>
          <w:b w:val="0"/>
          <w:i w:val="0"/>
        </w:rPr>
        <w:t>Los precios medios de la vivienda van desde aproximadamente WV($155,000) en Virginia Occidental hasta aproximadamente HI($820,000) en Hawái (unas 5.3 veces más). El recuento puntual del HUD de enero de 2025 totaliza aproximadamente 739,766 personas: California es el más alto (CA(181,934), NY(145,560)) y Wyoming el más bajo (WY(535)). Los mercados costeros de alto costo (California, Hawái, el Distrito, Massachusetts, Washington) combinan los precios más altos con la mayor carga de personas sin hogar.</w:t>
      </w:r>
    </w:p>
    <w:p>
      <w:r>
        <w:rPr>
          <w:b w:val="0"/>
          <w:i w:val="0"/>
        </w:rPr>
        <w:t>El tamaño de la población se correlaciona ampliamente con el tamaño del balance de las HFA, pero la distribución del ingreso per cápita, los precios de la vivienda y la falta de vivienda revela dos estructuras de demanda muy diferentes: los estados costeros de alto costo enfrentan un problema de oferta insuficiente más precios altos, mientras que los estados del sur de menores ingresos enfrentan un problema de asequibilidad insuficiente más pobreza concentrada. Estos dos perfiles de presión exigen combinaciones de productos distintas por parte de las HFA.</w:t>
      </w:r>
    </w:p>
    <w:p>
      <w:pPr>
        <w:pStyle w:val="Heading1"/>
      </w:pPr>
      <w:r>
        <w:rPr>
          <w:b w:val="0"/>
          <w:i w:val="0"/>
        </w:rPr>
        <w:t>VI. Análisis de la actividad de los programas de vivienda</w:t>
      </w:r>
    </w:p>
    <w:p>
      <w:r>
        <w:rPr>
          <w:b w:val="0"/>
          <w:i w:val="0"/>
        </w:rPr>
        <w:t>44 estados y territorios cuentan con módulos de actividad de programas de vivienda del FY2025, compilados estado por estado a partir de las revelaciones de programas de cada informe anual de las HFA. La siguiente tabla agrega siete categorías de negocio, reportando para cada una el número de estados que la revelan, el volumen (unidades/hogares) y el monto en dólares, para facilitar la comparación entre estados.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
              <w:rPr>
                <w:b/>
              </w:rPr>
              <w:t>Categoría de negocio</w:t>
            </w:r>
          </w:p>
        </w:tc>
        <w:tc>
          <w:tcPr>
            <w:tcW w:type="dxa" w:w="2160"/>
          </w:tcPr>
          <w:p>
            <w:r/>
            <w:r>
              <w:rPr>
                <w:b/>
              </w:rPr>
              <w:t>Estados que la revelan</w:t>
            </w:r>
          </w:p>
        </w:tc>
        <w:tc>
          <w:tcPr>
            <w:tcW w:type="dxa" w:w="2160"/>
          </w:tcPr>
          <w:p>
            <w:r/>
            <w:r>
              <w:rPr>
                <w:b/>
              </w:rPr>
              <w:t>Volumen (unidades/hogares)</w:t>
            </w:r>
          </w:p>
        </w:tc>
        <w:tc>
          <w:tcPr>
            <w:tcW w:type="dxa" w:w="2160"/>
          </w:tcPr>
          <w:p>
            <w:r/>
            <w:r>
              <w:rPr>
                <w:b/>
              </w:rPr>
              <w:t>Monto</w:t>
            </w:r>
          </w:p>
        </w:tc>
      </w:tr>
      <w:tr>
        <w:tc>
          <w:tcPr>
            <w:tcW w:type="dxa" w:w="2160"/>
          </w:tcPr>
          <w:p>
            <w:r/>
            <w:r>
              <w:t>Préstamos para compra de vivienda</w:t>
            </w:r>
          </w:p>
        </w:tc>
        <w:tc>
          <w:tcPr>
            <w:tcW w:type="dxa" w:w="2160"/>
          </w:tcPr>
          <w:p>
            <w:r/>
            <w:r>
              <w:t>38</w:t>
            </w:r>
          </w:p>
        </w:tc>
        <w:tc>
          <w:tcPr>
            <w:tcW w:type="dxa" w:w="2160"/>
          </w:tcPr>
          <w:p>
            <w:r/>
            <w:r>
              <w:t>128,780</w:t>
            </w:r>
          </w:p>
        </w:tc>
        <w:tc>
          <w:tcPr>
            <w:tcW w:type="dxa" w:w="2160"/>
          </w:tcPr>
          <w:p>
            <w:r/>
            <w:r>
              <w:t>$30.35B</w:t>
            </w:r>
          </w:p>
        </w:tc>
      </w:tr>
      <w:tr>
        <w:tc>
          <w:tcPr>
            <w:tcW w:type="dxa" w:w="2160"/>
          </w:tcPr>
          <w:p>
            <w:r/>
            <w:r>
              <w:t>Reparación/asesoramiento</w:t>
            </w:r>
          </w:p>
        </w:tc>
        <w:tc>
          <w:tcPr>
            <w:tcW w:type="dxa" w:w="2160"/>
          </w:tcPr>
          <w:p>
            <w:r/>
            <w:r>
              <w:t>5</w:t>
            </w:r>
          </w:p>
        </w:tc>
        <w:tc>
          <w:tcPr>
            <w:tcW w:type="dxa" w:w="2160"/>
          </w:tcPr>
          <w:p>
            <w:r/>
            <w:r>
              <w:t>12,193</w:t>
            </w:r>
          </w:p>
        </w:tc>
        <w:tc>
          <w:tcPr>
            <w:tcW w:type="dxa" w:w="2160"/>
          </w:tcPr>
          <w:p>
            <w:r/>
            <w:r>
              <w:t>$69.5M</w:t>
            </w:r>
          </w:p>
        </w:tc>
      </w:tr>
      <w:tr>
        <w:tc>
          <w:tcPr>
            <w:tcW w:type="dxa" w:w="2160"/>
          </w:tcPr>
          <w:p>
            <w:r/>
            <w:r>
              <w:t>Emergencia por COVID</w:t>
            </w:r>
          </w:p>
        </w:tc>
        <w:tc>
          <w:tcPr>
            <w:tcW w:type="dxa" w:w="2160"/>
          </w:tcPr>
          <w:p>
            <w:r/>
            <w:r>
              <w:t>6</w:t>
            </w:r>
          </w:p>
        </w:tc>
        <w:tc>
          <w:tcPr>
            <w:tcW w:type="dxa" w:w="2160"/>
          </w:tcPr>
          <w:p>
            <w:r/>
            <w:r>
              <w:t>29,357</w:t>
            </w:r>
          </w:p>
        </w:tc>
        <w:tc>
          <w:tcPr>
            <w:tcW w:type="dxa" w:w="2160"/>
          </w:tcPr>
          <w:p>
            <w:r/>
            <w:r>
              <w:t>$160.5M</w:t>
            </w:r>
          </w:p>
        </w:tc>
      </w:tr>
      <w:tr>
        <w:tc>
          <w:tcPr>
            <w:tcW w:type="dxa" w:w="2160"/>
          </w:tcPr>
          <w:p>
            <w:r/>
            <w:r>
              <w:t>Asistencia para el alquiler</w:t>
            </w:r>
          </w:p>
        </w:tc>
        <w:tc>
          <w:tcPr>
            <w:tcW w:type="dxa" w:w="2160"/>
          </w:tcPr>
          <w:p>
            <w:r/>
            <w:r>
              <w:t>20</w:t>
            </w:r>
          </w:p>
        </w:tc>
        <w:tc>
          <w:tcPr>
            <w:tcW w:type="dxa" w:w="2160"/>
          </w:tcPr>
          <w:p>
            <w:r/>
            <w:r>
              <w:t>720,649</w:t>
            </w:r>
          </w:p>
        </w:tc>
        <w:tc>
          <w:tcPr>
            <w:tcW w:type="dxa" w:w="2160"/>
          </w:tcPr>
          <w:p>
            <w:r/>
            <w:r>
              <w:t>$4.96B</w:t>
            </w:r>
          </w:p>
        </w:tc>
      </w:tr>
      <w:tr>
        <w:tc>
          <w:tcPr>
            <w:tcW w:type="dxa" w:w="2160"/>
          </w:tcPr>
          <w:p>
            <w:r/>
            <w:r>
              <w:t>Multifamiliar nueva/preservada</w:t>
            </w:r>
          </w:p>
        </w:tc>
        <w:tc>
          <w:tcPr>
            <w:tcW w:type="dxa" w:w="2160"/>
          </w:tcPr>
          <w:p>
            <w:r/>
            <w:r>
              <w:t>41</w:t>
            </w:r>
          </w:p>
        </w:tc>
        <w:tc>
          <w:tcPr>
            <w:tcW w:type="dxa" w:w="2160"/>
          </w:tcPr>
          <w:p>
            <w:r/>
            <w:r>
              <w:t>155,410</w:t>
            </w:r>
          </w:p>
        </w:tc>
        <w:tc>
          <w:tcPr>
            <w:tcW w:type="dxa" w:w="2160"/>
          </w:tcPr>
          <w:p>
            <w:r/>
            <w:r>
              <w:t>$28.21B</w:t>
            </w:r>
          </w:p>
        </w:tc>
      </w:tr>
      <w:tr>
        <w:tc>
          <w:tcPr>
            <w:tcW w:type="dxa" w:w="2160"/>
          </w:tcPr>
          <w:p>
            <w:r/>
            <w:r>
              <w:t>Asistencia energética</w:t>
            </w:r>
          </w:p>
        </w:tc>
        <w:tc>
          <w:tcPr>
            <w:tcW w:type="dxa" w:w="2160"/>
          </w:tcPr>
          <w:p>
            <w:r/>
            <w:r>
              <w:t>7</w:t>
            </w:r>
          </w:p>
        </w:tc>
        <w:tc>
          <w:tcPr>
            <w:tcW w:type="dxa" w:w="2160"/>
          </w:tcPr>
          <w:p>
            <w:r/>
            <w:r>
              <w:t>312,233</w:t>
            </w:r>
          </w:p>
        </w:tc>
        <w:tc>
          <w:tcPr>
            <w:tcW w:type="dxa" w:w="2160"/>
          </w:tcPr>
          <w:p>
            <w:r/>
            <w:r>
              <w:t>$177.3M</w:t>
            </w:r>
          </w:p>
        </w:tc>
      </w:tr>
      <w:tr>
        <w:tc>
          <w:tcPr>
            <w:tcW w:type="dxa" w:w="2160"/>
          </w:tcPr>
          <w:p>
            <w:r/>
            <w:r>
              <w:t>Subvenciones/fondo fiduciario</w:t>
            </w:r>
          </w:p>
        </w:tc>
        <w:tc>
          <w:tcPr>
            <w:tcW w:type="dxa" w:w="2160"/>
          </w:tcPr>
          <w:p>
            <w:r/>
            <w:r>
              <w:t>8</w:t>
            </w:r>
          </w:p>
        </w:tc>
        <w:tc>
          <w:tcPr>
            <w:tcW w:type="dxa" w:w="2160"/>
          </w:tcPr>
          <w:p>
            <w:r/>
            <w:r>
              <w:t>14,590</w:t>
            </w:r>
          </w:p>
        </w:tc>
        <w:tc>
          <w:tcPr>
            <w:tcW w:type="dxa" w:w="2160"/>
          </w:tcPr>
          <w:p>
            <w:r/>
            <w:r>
              <w:t>$433.4M</w:t>
            </w:r>
          </w:p>
        </w:tc>
      </w:tr>
    </w:tbl>
    <w:p/>
    <w:p>
      <w:r>
        <w:rPr>
          <w:b/>
          <w:i w:val="0"/>
        </w:rPr>
        <w:t xml:space="preserve">Los préstamos multifamiliares y para compra de vivienda dominan el despliegue de capital. </w:t>
      </w:r>
      <w:r>
        <w:rPr>
          <w:b w:val="0"/>
          <w:i w:val="0"/>
        </w:rPr>
        <w:t>La vivienda multifamiliar nueva/preservada y los préstamos para compra de vivienda representan juntos alrededor de $28.21B y $30.35B. El volumen multifamiliar está liderado por Texas (TX(18,695), FL(12,007), NY(11,317)); los hogares para compra de vivienda por Washington (WA(10,918), FL(8,427), CA(6,955)). Estas dos categorías constituyen el núcleo de los activos de préstamos hipotecarios y de desarrollo de la mayoría de las HFA.</w:t>
      </w:r>
    </w:p>
    <w:p>
      <w:r>
        <w:rPr>
          <w:b/>
          <w:i w:val="0"/>
        </w:rPr>
        <w:t xml:space="preserve">La asistencia para el alquiler llega a más hogares con el menor costo por unidad. </w:t>
      </w:r>
      <w:r>
        <w:rPr>
          <w:b w:val="0"/>
          <w:i w:val="0"/>
        </w:rPr>
        <w:t>La asistencia para el alquiler totaliza alrededor de 720,649 hogares en 20 estados, pero solo unos $4.96B en monto, lo que refleja su naturaleza de subsidio pequeño recurrente más que de inversión de capital puntual; Texas (TX(349,398), NY(150,544)) lidera en escala.</w:t>
      </w:r>
    </w:p>
    <w:p>
      <w:r>
        <w:rPr>
          <w:b/>
          <w:i w:val="0"/>
        </w:rPr>
        <w:t xml:space="preserve">Varias categorías tienen baja cobertura de revelación, por lo que la comparación entre estados requiere cuidado. </w:t>
      </w:r>
      <w:r>
        <w:rPr>
          <w:b w:val="0"/>
          <w:i w:val="0"/>
        </w:rPr>
        <w:t>La asistencia energética (312,233 hogares, concentrada en IN(114,594), TN(74,438) entre 7 estados) y los programas de subvenciones/fondo fiduciario representan montos significativos de pocos estados; la reparación/asesoramiento (5 estados) y la emergencia por COVID (6 estados) tienen la cobertura más baja. Dado que las convenciones de revelación difieren ampliamente, las comparaciones entre estados deben interpretarse como direccionales y no como precisas.</w:t>
      </w:r>
    </w:p>
    <w:p>
      <w:pPr>
        <w:pStyle w:val="Heading1"/>
      </w:pPr>
      <w:r>
        <w:rPr>
          <w:b w:val="0"/>
          <w:i w:val="0"/>
        </w:rPr>
        <w:t>VII. Evaluación de fuentes de datos y calidad</w:t>
      </w:r>
    </w:p>
    <w:p>
      <w:r>
        <w:rPr>
          <w:b w:val="0"/>
          <w:i w:val="0"/>
        </w:rPr>
        <w:t>Este informe se sustenta en tres capas de datos con distintas fuentes y gradientes de calidad, lo que afecta directamente la solidez de sus conclusiones.</w:t>
      </w:r>
    </w:p>
    <w:p>
      <w:r>
        <w:rPr>
          <w:b/>
          <w:i w:val="0"/>
        </w:rPr>
        <w:t xml:space="preserve">Datos financieros (alta confianza, ~90 % de cobertura). </w:t>
      </w:r>
      <w:r>
        <w:rPr>
          <w:b w:val="0"/>
          <w:i w:val="0"/>
        </w:rPr>
        <w:t>El activo neto, el activo total y los pasivos provienen de los ACFR estatales o de los estados financieros auditados; se obtuvieron 46 estados (90 %). AZ, NV, NJ, OR, RI no se incluyen porque sus auditorías están incompletas o solo se publicaron presentaciones del FY2024. Algunas cifras clave se verificaron manualmente y se señalan estado por estado en el inventario de cobertura.</w:t>
      </w:r>
    </w:p>
    <w:p>
      <w:r>
        <w:rPr>
          <w:b/>
          <w:i w:val="0"/>
        </w:rPr>
        <w:t xml:space="preserve">Datos poblacionales y socioeconómicos (máxima confianza, cobertura del 100 %). </w:t>
      </w:r>
      <w:r>
        <w:rPr>
          <w:b w:val="0"/>
          <w:i w:val="0"/>
        </w:rPr>
        <w:t>La población, el ingreso, el desempleo, la pobreza, los precios de la vivienda y la falta de vivienda provienen todos de estadísticas federales (Census/BEA/BLS/ACS/HUD), con cobertura de los 51 estados/territorios, definiciones uniformes y comparabilidad directa entre estados: la capa de mayor calidad de las tres.</w:t>
      </w:r>
    </w:p>
    <w:p>
      <w:r>
        <w:rPr>
          <w:b/>
          <w:i w:val="0"/>
        </w:rPr>
        <w:t xml:space="preserve">Datos de actividad de programas de vivienda (confianza media, ~86 % de cobertura). </w:t>
      </w:r>
      <w:r>
        <w:rPr>
          <w:b w:val="0"/>
          <w:i w:val="0"/>
        </w:rPr>
        <w:t>La actividad de programas proviene de las revelaciones de programas de cada informe anual de las HFA; 44 estados tienen módulos, pero la cobertura en las siete categorías va de 41 estados (multifamiliar) a 5 estados (reparación). Las definiciones de unidades, las convenciones de monto y la inclusión o no de créditos fiscales varían ampliamente, lo que convierte a esta capa en la que más exige una interpretación cuidadosa.</w:t>
      </w:r>
    </w:p>
    <w:p>
      <w:r>
        <w:rPr>
          <w:b/>
          <w:i w:val="0"/>
        </w:rPr>
        <w:t xml:space="preserve">Conclusión. </w:t>
      </w:r>
      <w:r>
        <w:rPr>
          <w:b w:val="0"/>
          <w:i w:val="0"/>
        </w:rPr>
        <w:t>El gradiente de calidad (población/economía ≈ financiero &gt; actividad de vivienda) determina la solidez de cada conclusión: los datos poblacionales y financieros son relativamente fiables, mientras que las conclusiones sobre la actividad de vivienda deben tratarse como direccionales y no como comparaciones precisas.</w:t>
      </w:r>
    </w:p>
    <w:p>
      <w:pPr>
        <w:pStyle w:val="Heading1"/>
      </w:pPr>
      <w:r>
        <w:rPr>
          <w:b w:val="0"/>
          <w:i w:val="0"/>
        </w:rPr>
        <w:t>VIII. Recomendaciones para el FY2026 y años posteriores</w:t>
      </w:r>
    </w:p>
    <w:p>
      <w:pPr>
        <w:pStyle w:val="ListNumber"/>
      </w:pPr>
      <w:r>
        <w:rPr>
          <w:b/>
          <w:i w:val="0"/>
        </w:rPr>
        <w:t xml:space="preserve">Adoptar un marco común de salud financiera para las HFA. </w:t>
      </w:r>
      <w:r>
        <w:rPr>
          <w:b w:val="0"/>
          <w:i w:val="0"/>
        </w:rPr>
        <w:t>Estandarizar la revelación del índice de activo neto, la cobertura del servicio de la deuda, las tasas de morosidad, la cartera de proyectos LIHTC y la combinación entre programas unifamiliares y multifamiliares, de modo que los relatos fragmentados puedan sustituirse por indicadores comparables.</w:t>
      </w:r>
    </w:p>
    <w:p>
      <w:pPr>
        <w:pStyle w:val="ListNumber"/>
      </w:pPr>
      <w:r>
        <w:rPr>
          <w:b/>
          <w:i w:val="0"/>
        </w:rPr>
        <w:t xml:space="preserve">Vincular los resultados de asequibilidad con los estados financieros. </w:t>
      </w:r>
      <w:r>
        <w:rPr>
          <w:b w:val="0"/>
          <w:i w:val="0"/>
        </w:rPr>
        <w:t>Añadir al MD&amp;A indicadores de costo por unidad —unidades asequibles por cada millón de dólares de ingresos por bonos, y compradores primerizos atendidos por cada dólar de activo neto— para conectar las finanzas reportadas con los resultados en materia de vivienda.</w:t>
      </w:r>
    </w:p>
    <w:p>
      <w:pPr>
        <w:pStyle w:val="ListNumber"/>
      </w:pPr>
      <w:r>
        <w:rPr>
          <w:b/>
          <w:i w:val="0"/>
        </w:rPr>
        <w:t xml:space="preserve">Ampliar la mancomunación regional de bonos y el reparto de riesgos. </w:t>
      </w:r>
      <w:r>
        <w:rPr>
          <w:b w:val="0"/>
          <w:i w:val="0"/>
        </w:rPr>
        <w:t>Las HFA más pequeñas podrían reducir sus costos de emisión mediante fondos regionales de bonos compartidos. Las HFA más grandes podrían beneficiarse de coberturas más estandarizadas frente a riesgos de desastres y de tasas de interés.</w:t>
      </w:r>
    </w:p>
    <w:p>
      <w:pPr>
        <w:pStyle w:val="ListNumber"/>
      </w:pPr>
      <w:r>
        <w:rPr>
          <w:b/>
          <w:i w:val="0"/>
        </w:rPr>
        <w:t xml:space="preserve">Publicar información en formatos legibles por máquina. </w:t>
      </w:r>
      <w:r>
        <w:rPr>
          <w:b w:val="0"/>
          <w:i w:val="0"/>
        </w:rPr>
        <w:t>Los suplementos en XBRL o CSV estructurado ayudarían a investigadores, agencias calificadoras y socios federales a monitorear a las HFA de manera más oportuna.</w:t>
      </w:r>
    </w:p>
    <w:p>
      <w:pPr>
        <w:pStyle w:val="ListNumber"/>
      </w:pPr>
      <w:r>
        <w:rPr>
          <w:b/>
          <w:i w:val="0"/>
        </w:rPr>
        <w:t xml:space="preserve">Dar seguimiento al segmento de ingresos medios desatendido (80 %–120 % del AMI). </w:t>
      </w:r>
      <w:r>
        <w:rPr>
          <w:b w:val="0"/>
          <w:i w:val="0"/>
        </w:rPr>
        <w:t>Tratar los proyectos de ingresos medios como una categoría de planificación diferenciada, para que los recursos no se concentren únicamente en los niveles más bajos del AMI y en el extremo de precio de mercado, lo cual puede dejar desatendidos a docentes, personal de enfermería y trabajadores similares.</w:t>
      </w:r>
    </w:p>
    <w:p>
      <w:pPr>
        <w:pStyle w:val="Heading1"/>
      </w:pPr>
      <w:r>
        <w:rPr>
          <w:b w:val="0"/>
          <w:i w:val="0"/>
        </w:rPr>
        <w:t>IX. Cobertura de datos e inventario de archivos</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Estado</w:t>
            </w:r>
          </w:p>
        </w:tc>
        <w:tc>
          <w:tcPr>
            <w:tcW w:type="dxa" w:w="1728"/>
          </w:tcPr>
          <w:p>
            <w:r/>
            <w:r>
              <w:rPr>
                <w:b/>
              </w:rPr>
              <w:t>Agencia</w:t>
            </w:r>
          </w:p>
        </w:tc>
        <w:tc>
          <w:tcPr>
            <w:tcW w:type="dxa" w:w="1728"/>
          </w:tcPr>
          <w:p>
            <w:r/>
            <w:r>
              <w:rPr>
                <w:b/>
              </w:rPr>
              <w:t>Situación</w:t>
            </w:r>
          </w:p>
        </w:tc>
        <w:tc>
          <w:tcPr>
            <w:tcW w:type="dxa" w:w="1728"/>
          </w:tcPr>
          <w:p>
            <w:r/>
            <w:r>
              <w:rPr>
                <w:b/>
              </w:rPr>
              <w:t>Nombre del archivo</w:t>
            </w:r>
          </w:p>
        </w:tc>
        <w:tc>
          <w:tcPr>
            <w:tcW w:type="dxa" w:w="1728"/>
          </w:tcPr>
          <w:p>
            <w:r/>
            <w:r>
              <w:rPr>
                <w:b/>
              </w:rPr>
              <w:t>Notas</w:t>
            </w:r>
          </w:p>
        </w:tc>
      </w:tr>
      <w:tr>
        <w:tc>
          <w:tcPr>
            <w:tcW w:type="dxa" w:w="1728"/>
          </w:tcPr>
          <w:p>
            <w:r/>
            <w:r>
              <w:t>AK</w:t>
            </w:r>
          </w:p>
        </w:tc>
        <w:tc>
          <w:tcPr>
            <w:tcW w:type="dxa" w:w="1728"/>
          </w:tcPr>
          <w:p>
            <w:r/>
            <w:r>
              <w:t>AHFC</w:t>
            </w:r>
          </w:p>
        </w:tc>
        <w:tc>
          <w:tcPr>
            <w:tcW w:type="dxa" w:w="1728"/>
          </w:tcPr>
          <w:p>
            <w:r/>
            <w:r>
              <w:t>Descargado</w:t>
            </w:r>
          </w:p>
        </w:tc>
        <w:tc>
          <w:tcPr>
            <w:tcW w:type="dxa" w:w="1728"/>
          </w:tcPr>
          <w:p>
            <w:r/>
            <w:r>
              <w:t>AK_AHFC_FY2025_ACFR.pdf</w:t>
            </w:r>
          </w:p>
        </w:tc>
        <w:tc>
          <w:tcPr>
            <w:tcW w:type="dxa" w:w="1728"/>
          </w:tcPr>
          <w:p>
            <w:r/>
            <w:r>
              <w:t>Indicadores clave verificados manualmente con el MD&amp;A del FY2025 de AHFC (estado condensado de activo neto, 30 de junio de 2025/2024), lo que corrige una cifra de activo neto extraída incorrectamente con anterioridad</w:t>
            </w:r>
          </w:p>
        </w:tc>
      </w:tr>
      <w:tr>
        <w:tc>
          <w:tcPr>
            <w:tcW w:type="dxa" w:w="1728"/>
          </w:tcPr>
          <w:p>
            <w:r/>
            <w:r>
              <w:t>AL</w:t>
            </w:r>
          </w:p>
        </w:tc>
        <w:tc>
          <w:tcPr>
            <w:tcW w:type="dxa" w:w="1728"/>
          </w:tcPr>
          <w:p>
            <w:r/>
            <w:r>
              <w:t>AHFA</w:t>
            </w:r>
          </w:p>
        </w:tc>
        <w:tc>
          <w:tcPr>
            <w:tcW w:type="dxa" w:w="1728"/>
          </w:tcPr>
          <w:p>
            <w:r/>
            <w:r>
              <w:t>Descargado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Descargado</w:t>
            </w:r>
          </w:p>
        </w:tc>
        <w:tc>
          <w:tcPr>
            <w:tcW w:type="dxa" w:w="1728"/>
          </w:tcPr>
          <w:p>
            <w:r/>
            <w:r>
              <w:t>AR_ADFA_FY2025_ACFR.pdf</w:t>
            </w:r>
          </w:p>
        </w:tc>
        <w:tc>
          <w:tcPr>
            <w:tcW w:type="dxa" w:w="1728"/>
          </w:tcPr>
          <w:p>
            <w:r/>
            <w:r>
              <w:t>Tasa de crecimiento verificada manualmente con el ACFR</w:t>
            </w:r>
          </w:p>
        </w:tc>
      </w:tr>
      <w:tr>
        <w:tc>
          <w:tcPr>
            <w:tcW w:type="dxa" w:w="1728"/>
          </w:tcPr>
          <w:p>
            <w:r/>
            <w:r>
              <w:t>AZ</w:t>
            </w:r>
          </w:p>
        </w:tc>
        <w:tc>
          <w:tcPr>
            <w:tcW w:type="dxa" w:w="1728"/>
          </w:tcPr>
          <w:p>
            <w:r/>
            <w:r>
              <w:t>ADOH</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CA</w:t>
            </w:r>
          </w:p>
        </w:tc>
        <w:tc>
          <w:tcPr>
            <w:tcW w:type="dxa" w:w="1728"/>
          </w:tcPr>
          <w:p>
            <w:r/>
            <w:r>
              <w:t>CalHFA</w:t>
            </w:r>
          </w:p>
        </w:tc>
        <w:tc>
          <w:tcPr>
            <w:tcW w:type="dxa" w:w="1728"/>
          </w:tcPr>
          <w:p>
            <w:r/>
            <w:r>
              <w:t>Descargado</w:t>
            </w:r>
          </w:p>
        </w:tc>
        <w:tc>
          <w:tcPr>
            <w:tcW w:type="dxa" w:w="1728"/>
          </w:tcPr>
          <w:p>
            <w:r/>
            <w:r>
              <w:t>CA_CalHFA_FY2025_ACFR.pdf</w:t>
            </w:r>
          </w:p>
        </w:tc>
        <w:tc>
          <w:tcPr>
            <w:tcW w:type="dxa" w:w="1728"/>
          </w:tcPr>
          <w:p>
            <w:r/>
            <w:r>
              <w:t>Los indicadores clave no se extrajeron automáticamente; se recomienda revisión manual del PDF</w:t>
            </w:r>
          </w:p>
        </w:tc>
      </w:tr>
      <w:tr>
        <w:tc>
          <w:tcPr>
            <w:tcW w:type="dxa" w:w="1728"/>
          </w:tcPr>
          <w:p>
            <w:r/>
            <w:r>
              <w:t>CO</w:t>
            </w:r>
          </w:p>
        </w:tc>
        <w:tc>
          <w:tcPr>
            <w:tcW w:type="dxa" w:w="1728"/>
          </w:tcPr>
          <w:p>
            <w:r/>
            <w:r>
              <w:t>CHFA</w:t>
            </w:r>
          </w:p>
        </w:tc>
        <w:tc>
          <w:tcPr>
            <w:tcW w:type="dxa" w:w="1728"/>
          </w:tcPr>
          <w:p>
            <w:r/>
            <w:r>
              <w:t>Descargado</w:t>
            </w:r>
          </w:p>
        </w:tc>
        <w:tc>
          <w:tcPr>
            <w:tcW w:type="dxa" w:w="1728"/>
          </w:tcPr>
          <w:p>
            <w:r/>
            <w:r>
              <w:t>CO_CHFA_FY2025_ACFR.pdf</w:t>
            </w:r>
          </w:p>
        </w:tc>
        <w:tc>
          <w:tcPr>
            <w:tcW w:type="dxa" w:w="1728"/>
          </w:tcPr>
          <w:p>
            <w:r/>
            <w:r>
              <w:t>Tasa de crecimiento verificada manualmente con el ACFR</w:t>
            </w:r>
          </w:p>
        </w:tc>
      </w:tr>
      <w:tr>
        <w:tc>
          <w:tcPr>
            <w:tcW w:type="dxa" w:w="1728"/>
          </w:tcPr>
          <w:p>
            <w:r/>
            <w:r>
              <w:t>CT</w:t>
            </w:r>
          </w:p>
        </w:tc>
        <w:tc>
          <w:tcPr>
            <w:tcW w:type="dxa" w:w="1728"/>
          </w:tcPr>
          <w:p>
            <w:r/>
            <w:r>
              <w:t>CHFA</w:t>
            </w:r>
          </w:p>
        </w:tc>
        <w:tc>
          <w:tcPr>
            <w:tcW w:type="dxa" w:w="1728"/>
          </w:tcPr>
          <w:p>
            <w:r/>
            <w:r>
              <w:t>Descargado</w:t>
            </w:r>
          </w:p>
        </w:tc>
        <w:tc>
          <w:tcPr>
            <w:tcW w:type="dxa" w:w="1728"/>
          </w:tcPr>
          <w:p>
            <w:r/>
            <w:r>
              <w:t>CT_CHFA_FY2025_ACFR.pdf</w:t>
            </w:r>
          </w:p>
        </w:tc>
        <w:tc>
          <w:tcPr>
            <w:tcW w:type="dxa" w:w="1728"/>
          </w:tcPr>
          <w:p>
            <w:r/>
            <w:r>
              <w:t>Indicadores completados a partir del ACFR/estados financieros de la agencia</w:t>
            </w:r>
          </w:p>
        </w:tc>
      </w:tr>
      <w:tr>
        <w:tc>
          <w:tcPr>
            <w:tcW w:type="dxa" w:w="1728"/>
          </w:tcPr>
          <w:p>
            <w:r/>
            <w:r>
              <w:t>DC</w:t>
            </w:r>
          </w:p>
        </w:tc>
        <w:tc>
          <w:tcPr>
            <w:tcW w:type="dxa" w:w="1728"/>
          </w:tcPr>
          <w:p>
            <w:r/>
            <w:r>
              <w:t>DCHFA</w:t>
            </w:r>
          </w:p>
        </w:tc>
        <w:tc>
          <w:tcPr>
            <w:tcW w:type="dxa" w:w="1728"/>
          </w:tcPr>
          <w:p>
            <w:r/>
            <w:r>
              <w:t>Descargado</w:t>
            </w:r>
          </w:p>
        </w:tc>
        <w:tc>
          <w:tcPr>
            <w:tcW w:type="dxa" w:w="1728"/>
          </w:tcPr>
          <w:p>
            <w:r/>
            <w:r>
              <w:t>DC_DCHFA_FY2025_ACFR.pdf</w:t>
            </w:r>
          </w:p>
        </w:tc>
        <w:tc>
          <w:tcPr>
            <w:tcW w:type="dxa" w:w="1728"/>
          </w:tcPr>
          <w:p>
            <w:r/>
            <w:r>
              <w:t>Indicadores clave verificados manualmente con el MD&amp;A del FY2025 de DCHFA (análisis de los estados financieros, ejercicio cerrado el 30 de septiembre de 2025/2024), lo que corrige un error previo por el cual el activo neto de 2024 se había duplicado a partir del de 2025</w:t>
            </w:r>
          </w:p>
        </w:tc>
      </w:tr>
      <w:tr>
        <w:tc>
          <w:tcPr>
            <w:tcW w:type="dxa" w:w="1728"/>
          </w:tcPr>
          <w:p>
            <w:r/>
            <w:r>
              <w:t>DE</w:t>
            </w:r>
          </w:p>
        </w:tc>
        <w:tc>
          <w:tcPr>
            <w:tcW w:type="dxa" w:w="1728"/>
          </w:tcPr>
          <w:p>
            <w:r/>
            <w:r>
              <w:t>DSHA</w:t>
            </w:r>
          </w:p>
        </w:tc>
        <w:tc>
          <w:tcPr>
            <w:tcW w:type="dxa" w:w="1728"/>
          </w:tcPr>
          <w:p>
            <w:r/>
            <w:r>
              <w:t>Descargado</w:t>
            </w:r>
          </w:p>
        </w:tc>
        <w:tc>
          <w:tcPr>
            <w:tcW w:type="dxa" w:w="1728"/>
          </w:tcPr>
          <w:p>
            <w:r/>
            <w:r>
              <w:t>DE_DSHA_FY2025_ACFR.pdf</w:t>
            </w:r>
          </w:p>
        </w:tc>
        <w:tc>
          <w:tcPr>
            <w:tcW w:type="dxa" w:w="1728"/>
          </w:tcPr>
          <w:p>
            <w:r/>
            <w:r>
              <w:t>Los indicadores clave no se extrajeron automáticamente; se recomienda revisión manual del PDF</w:t>
            </w:r>
          </w:p>
        </w:tc>
      </w:tr>
      <w:tr>
        <w:tc>
          <w:tcPr>
            <w:tcW w:type="dxa" w:w="1728"/>
          </w:tcPr>
          <w:p>
            <w:r/>
            <w:r>
              <w:t>FL</w:t>
            </w:r>
          </w:p>
        </w:tc>
        <w:tc>
          <w:tcPr>
            <w:tcW w:type="dxa" w:w="1728"/>
          </w:tcPr>
          <w:p>
            <w:r/>
            <w:r>
              <w:t>FloridaHousing</w:t>
            </w:r>
          </w:p>
        </w:tc>
        <w:tc>
          <w:tcPr>
            <w:tcW w:type="dxa" w:w="1728"/>
          </w:tcPr>
          <w:p>
            <w:r/>
            <w:r>
              <w:t>Descargado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Descargado</w:t>
            </w:r>
          </w:p>
        </w:tc>
        <w:tc>
          <w:tcPr>
            <w:tcW w:type="dxa" w:w="1728"/>
          </w:tcPr>
          <w:p>
            <w:r/>
            <w:r>
              <w:t>GA_GHFA_FY2025_ACFR.pdf</w:t>
            </w:r>
          </w:p>
        </w:tc>
        <w:tc>
          <w:tcPr>
            <w:tcW w:type="dxa" w:w="1728"/>
          </w:tcPr>
          <w:p>
            <w:r/>
            <w:r>
              <w:t>Los indicadores clave no se extrajeron automáticamente; se recomienda revisión manual del PDF</w:t>
            </w:r>
          </w:p>
        </w:tc>
      </w:tr>
      <w:tr>
        <w:tc>
          <w:tcPr>
            <w:tcW w:type="dxa" w:w="1728"/>
          </w:tcPr>
          <w:p>
            <w:r/>
            <w:r>
              <w:t>HI</w:t>
            </w:r>
          </w:p>
        </w:tc>
        <w:tc>
          <w:tcPr>
            <w:tcW w:type="dxa" w:w="1728"/>
          </w:tcPr>
          <w:p>
            <w:r/>
            <w:r>
              <w:t>HHFDC</w:t>
            </w:r>
          </w:p>
        </w:tc>
        <w:tc>
          <w:tcPr>
            <w:tcW w:type="dxa" w:w="1728"/>
          </w:tcPr>
          <w:p>
            <w:r/>
            <w:r>
              <w:t>Descargado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Descargado</w:t>
            </w:r>
          </w:p>
        </w:tc>
        <w:tc>
          <w:tcPr>
            <w:tcW w:type="dxa" w:w="1728"/>
          </w:tcPr>
          <w:p>
            <w:r/>
            <w:r>
              <w:t>IA_IFA_FY2025_ACFR.pdf</w:t>
            </w:r>
          </w:p>
        </w:tc>
        <w:tc>
          <w:tcPr>
            <w:tcW w:type="dxa" w:w="1728"/>
          </w:tcPr>
          <w:p>
            <w:r/>
            <w:r>
              <w:t>Importes reportados en miles; cifras ajustadas en consecuencia</w:t>
            </w:r>
          </w:p>
        </w:tc>
      </w:tr>
      <w:tr>
        <w:tc>
          <w:tcPr>
            <w:tcW w:type="dxa" w:w="1728"/>
          </w:tcPr>
          <w:p>
            <w:r/>
            <w:r>
              <w:t>ID</w:t>
            </w:r>
          </w:p>
        </w:tc>
        <w:tc>
          <w:tcPr>
            <w:tcW w:type="dxa" w:w="1728"/>
          </w:tcPr>
          <w:p>
            <w:r/>
            <w:r>
              <w:t>IHFA</w:t>
            </w:r>
          </w:p>
        </w:tc>
        <w:tc>
          <w:tcPr>
            <w:tcW w:type="dxa" w:w="1728"/>
          </w:tcPr>
          <w:p>
            <w:r/>
            <w:r>
              <w:t>Descargado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Descargado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Descargado</w:t>
            </w:r>
          </w:p>
        </w:tc>
        <w:tc>
          <w:tcPr>
            <w:tcW w:type="dxa" w:w="1728"/>
          </w:tcPr>
          <w:p>
            <w:r/>
            <w:r>
              <w:t>IN_IHCDA_FY2025_ACFR.pdf</w:t>
            </w:r>
          </w:p>
        </w:tc>
        <w:tc>
          <w:tcPr>
            <w:tcW w:type="dxa" w:w="1728"/>
          </w:tcPr>
          <w:p>
            <w:r/>
            <w:r>
              <w:t>Los indicadores clave no se extrajeron automáticamente; se recomienda revisión manual del PDF</w:t>
            </w:r>
          </w:p>
        </w:tc>
      </w:tr>
      <w:tr>
        <w:tc>
          <w:tcPr>
            <w:tcW w:type="dxa" w:w="1728"/>
          </w:tcPr>
          <w:p>
            <w:r/>
            <w:r>
              <w:t>KS</w:t>
            </w:r>
          </w:p>
        </w:tc>
        <w:tc>
          <w:tcPr>
            <w:tcW w:type="dxa" w:w="1728"/>
          </w:tcPr>
          <w:p>
            <w:r/>
            <w:r>
              <w:t>KHRC</w:t>
            </w:r>
          </w:p>
        </w:tc>
        <w:tc>
          <w:tcPr>
            <w:tcW w:type="dxa" w:w="1728"/>
          </w:tcPr>
          <w:p>
            <w:r/>
            <w:r>
              <w:t>Descargado</w:t>
            </w:r>
          </w:p>
        </w:tc>
        <w:tc>
          <w:tcPr>
            <w:tcW w:type="dxa" w:w="1728"/>
          </w:tcPr>
          <w:p>
            <w:r/>
            <w:r>
              <w:t>KS_KHRC_FY2025_ACFR.pdf</w:t>
            </w:r>
          </w:p>
        </w:tc>
        <w:tc>
          <w:tcPr>
            <w:tcW w:type="dxa" w:w="1728"/>
          </w:tcPr>
          <w:p>
            <w:r/>
            <w:r>
              <w:t>Indicadores completados a partir del ACFR/estados financieros de la agencia</w:t>
            </w:r>
          </w:p>
        </w:tc>
      </w:tr>
      <w:tr>
        <w:tc>
          <w:tcPr>
            <w:tcW w:type="dxa" w:w="1728"/>
          </w:tcPr>
          <w:p>
            <w:r/>
            <w:r>
              <w:t>KY</w:t>
            </w:r>
          </w:p>
        </w:tc>
        <w:tc>
          <w:tcPr>
            <w:tcW w:type="dxa" w:w="1728"/>
          </w:tcPr>
          <w:p>
            <w:r/>
            <w:r>
              <w:t>KHC</w:t>
            </w:r>
          </w:p>
        </w:tc>
        <w:tc>
          <w:tcPr>
            <w:tcW w:type="dxa" w:w="1728"/>
          </w:tcPr>
          <w:p>
            <w:r/>
            <w:r>
              <w:t>Descargado</w:t>
            </w:r>
          </w:p>
        </w:tc>
        <w:tc>
          <w:tcPr>
            <w:tcW w:type="dxa" w:w="1728"/>
          </w:tcPr>
          <w:p>
            <w:r/>
            <w:r>
              <w:t>KY_KHC_FY2025_ACFR.pdf</w:t>
            </w:r>
          </w:p>
        </w:tc>
        <w:tc>
          <w:tcPr>
            <w:tcW w:type="dxa" w:w="1728"/>
          </w:tcPr>
          <w:p>
            <w:r/>
            <w:r>
              <w:t>Indicadores completados a partir del ACFR/estados financieros de la agencia</w:t>
            </w:r>
          </w:p>
        </w:tc>
      </w:tr>
      <w:tr>
        <w:tc>
          <w:tcPr>
            <w:tcW w:type="dxa" w:w="1728"/>
          </w:tcPr>
          <w:p>
            <w:r/>
            <w:r>
              <w:t>LA</w:t>
            </w:r>
          </w:p>
        </w:tc>
        <w:tc>
          <w:tcPr>
            <w:tcW w:type="dxa" w:w="1728"/>
          </w:tcPr>
          <w:p>
            <w:r/>
            <w:r>
              <w:t>LHC</w:t>
            </w:r>
          </w:p>
        </w:tc>
        <w:tc>
          <w:tcPr>
            <w:tcW w:type="dxa" w:w="1728"/>
          </w:tcPr>
          <w:p>
            <w:r/>
            <w:r>
              <w:t>Descargado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Descargado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Descargado</w:t>
            </w:r>
          </w:p>
        </w:tc>
        <w:tc>
          <w:tcPr>
            <w:tcW w:type="dxa" w:w="1728"/>
          </w:tcPr>
          <w:p>
            <w:r/>
            <w:r>
              <w:t>MD_CDA_FY2025_ACFR.pdf</w:t>
            </w:r>
          </w:p>
        </w:tc>
        <w:tc>
          <w:tcPr>
            <w:tcW w:type="dxa" w:w="1728"/>
          </w:tcPr>
          <w:p>
            <w:r/>
            <w:r>
              <w:t>Alcance completo de la CDA: suma sin duplicidades de los 4 estados de fondos de bonos publicados en dhcd.maryland.gov que no se superponen entre sí (Revenue Obligation Funds —que ya combina Housing Revenue Bonds + Residential Revenue Bonds + General Bond Reserve Fund— más Multi-Family Mortgage Revenue Bonds, Single Family Housing Revenue Bonds y Local Government Infrastructure Bonds)</w:t>
            </w:r>
          </w:p>
        </w:tc>
      </w:tr>
      <w:tr>
        <w:tc>
          <w:tcPr>
            <w:tcW w:type="dxa" w:w="1728"/>
          </w:tcPr>
          <w:p>
            <w:r/>
            <w:r>
              <w:t>ME</w:t>
            </w:r>
          </w:p>
        </w:tc>
        <w:tc>
          <w:tcPr>
            <w:tcW w:type="dxa" w:w="1728"/>
          </w:tcPr>
          <w:p>
            <w:r/>
            <w:r>
              <w:t>MaineHousing</w:t>
            </w:r>
          </w:p>
        </w:tc>
        <w:tc>
          <w:tcPr>
            <w:tcW w:type="dxa" w:w="1728"/>
          </w:tcPr>
          <w:p>
            <w:r/>
            <w:r>
              <w:t>Descargado</w:t>
            </w:r>
          </w:p>
        </w:tc>
        <w:tc>
          <w:tcPr>
            <w:tcW w:type="dxa" w:w="1728"/>
          </w:tcPr>
          <w:p>
            <w:r/>
            <w:r>
              <w:t>ME_MaineHousing_FY2025_ACFR.pdf</w:t>
            </w:r>
          </w:p>
        </w:tc>
        <w:tc>
          <w:tcPr>
            <w:tcW w:type="dxa" w:w="1728"/>
          </w:tcPr>
          <w:p>
            <w:r/>
            <w:r>
              <w:t>Tasa de crecimiento verificada manualmente con el ACFR; activo total y pasivo total incorporados a partir del MD&amp;A del FY2025 de MaineHousing (estado de activo neto, en millones, ejercicio cerrado el 31 de diciembre de 2025/2024), en sustitución de una estimación previa inexacta</w:t>
            </w:r>
          </w:p>
        </w:tc>
      </w:tr>
      <w:tr>
        <w:tc>
          <w:tcPr>
            <w:tcW w:type="dxa" w:w="1728"/>
          </w:tcPr>
          <w:p>
            <w:r/>
            <w:r>
              <w:t>MI</w:t>
            </w:r>
          </w:p>
        </w:tc>
        <w:tc>
          <w:tcPr>
            <w:tcW w:type="dxa" w:w="1728"/>
          </w:tcPr>
          <w:p>
            <w:r/>
            <w:r>
              <w:t>MSHDA</w:t>
            </w:r>
          </w:p>
        </w:tc>
        <w:tc>
          <w:tcPr>
            <w:tcW w:type="dxa" w:w="1728"/>
          </w:tcPr>
          <w:p>
            <w:r/>
            <w:r>
              <w:t>Descargado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Descargado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Descargado</w:t>
            </w:r>
          </w:p>
        </w:tc>
        <w:tc>
          <w:tcPr>
            <w:tcW w:type="dxa" w:w="1728"/>
          </w:tcPr>
          <w:p>
            <w:r/>
            <w:r>
              <w:t>MO_MHDC_FY2025_ACFR.pdf</w:t>
            </w:r>
          </w:p>
        </w:tc>
        <w:tc>
          <w:tcPr>
            <w:tcW w:type="dxa" w:w="1728"/>
          </w:tcPr>
          <w:p>
            <w:r/>
            <w:r>
              <w:t>Tasa de crecimiento verificada manualmente con el ACFR</w:t>
            </w:r>
          </w:p>
        </w:tc>
      </w:tr>
      <w:tr>
        <w:tc>
          <w:tcPr>
            <w:tcW w:type="dxa" w:w="1728"/>
          </w:tcPr>
          <w:p>
            <w:r/>
            <w:r>
              <w:t>MS</w:t>
            </w:r>
          </w:p>
        </w:tc>
        <w:tc>
          <w:tcPr>
            <w:tcW w:type="dxa" w:w="1728"/>
          </w:tcPr>
          <w:p>
            <w:r/>
            <w:r>
              <w:t>MHC</w:t>
            </w:r>
          </w:p>
        </w:tc>
        <w:tc>
          <w:tcPr>
            <w:tcW w:type="dxa" w:w="1728"/>
          </w:tcPr>
          <w:p>
            <w:r/>
            <w:r>
              <w:t>Descargado</w:t>
            </w:r>
          </w:p>
        </w:tc>
        <w:tc>
          <w:tcPr>
            <w:tcW w:type="dxa" w:w="1728"/>
          </w:tcPr>
          <w:p>
            <w:r/>
            <w:r>
              <w:t>MS_MHC_FY2025_ACFR.pdf</w:t>
            </w:r>
          </w:p>
        </w:tc>
        <w:tc>
          <w:tcPr>
            <w:tcW w:type="dxa" w:w="1728"/>
          </w:tcPr>
          <w:p>
            <w:r/>
            <w:r>
              <w:t>Tomado del estado combinado de activo neto del informe anual del FY2025 (auditado)</w:t>
            </w:r>
          </w:p>
        </w:tc>
      </w:tr>
      <w:tr>
        <w:tc>
          <w:tcPr>
            <w:tcW w:type="dxa" w:w="1728"/>
          </w:tcPr>
          <w:p>
            <w:r/>
            <w:r>
              <w:t>MT</w:t>
            </w:r>
          </w:p>
        </w:tc>
        <w:tc>
          <w:tcPr>
            <w:tcW w:type="dxa" w:w="1728"/>
          </w:tcPr>
          <w:p>
            <w:r/>
            <w:r>
              <w:t>MTHousing</w:t>
            </w:r>
          </w:p>
        </w:tc>
        <w:tc>
          <w:tcPr>
            <w:tcW w:type="dxa" w:w="1728"/>
          </w:tcPr>
          <w:p>
            <w:r/>
            <w:r>
              <w:t>Descargado</w:t>
            </w:r>
          </w:p>
        </w:tc>
        <w:tc>
          <w:tcPr>
            <w:tcW w:type="dxa" w:w="1728"/>
          </w:tcPr>
          <w:p>
            <w:r/>
            <w:r>
              <w:t>MT_MTHousing_FY2025_ACFR.pdf</w:t>
            </w:r>
          </w:p>
        </w:tc>
        <w:tc>
          <w:tcPr>
            <w:tcW w:type="dxa" w:w="1728"/>
          </w:tcPr>
          <w:p>
            <w:r/>
            <w:r>
              <w:t>Los indicadores clave no se extrajeron automáticamente; se recomienda revisión manual del PDF</w:t>
            </w:r>
          </w:p>
        </w:tc>
      </w:tr>
      <w:tr>
        <w:tc>
          <w:tcPr>
            <w:tcW w:type="dxa" w:w="1728"/>
          </w:tcPr>
          <w:p>
            <w:r/>
            <w:r>
              <w:t>NC</w:t>
            </w:r>
          </w:p>
        </w:tc>
        <w:tc>
          <w:tcPr>
            <w:tcW w:type="dxa" w:w="1728"/>
          </w:tcPr>
          <w:p>
            <w:r/>
            <w:r>
              <w:t>NCHFA</w:t>
            </w:r>
          </w:p>
        </w:tc>
        <w:tc>
          <w:tcPr>
            <w:tcW w:type="dxa" w:w="1728"/>
          </w:tcPr>
          <w:p>
            <w:r/>
            <w:r>
              <w:t>Descargado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Descargado</w:t>
            </w:r>
          </w:p>
        </w:tc>
        <w:tc>
          <w:tcPr>
            <w:tcW w:type="dxa" w:w="1728"/>
          </w:tcPr>
          <w:p>
            <w:r/>
            <w:r>
              <w:t>ND_NDHFA_FY2025_ACFR.pdf</w:t>
            </w:r>
          </w:p>
        </w:tc>
        <w:tc>
          <w:tcPr>
            <w:tcW w:type="dxa" w:w="1728"/>
          </w:tcPr>
          <w:p>
            <w:r/>
            <w:r>
              <w:t>Tasa de crecimiento verificada manualmente con el ACFR</w:t>
            </w:r>
          </w:p>
        </w:tc>
      </w:tr>
      <w:tr>
        <w:tc>
          <w:tcPr>
            <w:tcW w:type="dxa" w:w="1728"/>
          </w:tcPr>
          <w:p>
            <w:r/>
            <w:r>
              <w:t>NE</w:t>
            </w:r>
          </w:p>
        </w:tc>
        <w:tc>
          <w:tcPr>
            <w:tcW w:type="dxa" w:w="1728"/>
          </w:tcPr>
          <w:p>
            <w:r/>
            <w:r>
              <w:t>NIFA</w:t>
            </w:r>
          </w:p>
        </w:tc>
        <w:tc>
          <w:tcPr>
            <w:tcW w:type="dxa" w:w="1728"/>
          </w:tcPr>
          <w:p>
            <w:r/>
            <w:r>
              <w:t>Descargado</w:t>
            </w:r>
          </w:p>
        </w:tc>
        <w:tc>
          <w:tcPr>
            <w:tcW w:type="dxa" w:w="1728"/>
          </w:tcPr>
          <w:p>
            <w:r/>
            <w:r>
              <w:t>NE_NIFA_FY2025_ACFR.pdf</w:t>
            </w:r>
          </w:p>
        </w:tc>
        <w:tc>
          <w:tcPr>
            <w:tcW w:type="dxa" w:w="1728"/>
          </w:tcPr>
          <w:p>
            <w:r/>
            <w:r>
              <w:t>Tasa de crecimiento verificada manualmente con el ACFR</w:t>
            </w:r>
          </w:p>
        </w:tc>
      </w:tr>
      <w:tr>
        <w:tc>
          <w:tcPr>
            <w:tcW w:type="dxa" w:w="1728"/>
          </w:tcPr>
          <w:p>
            <w:r/>
            <w:r>
              <w:t>NH</w:t>
            </w:r>
          </w:p>
        </w:tc>
        <w:tc>
          <w:tcPr>
            <w:tcW w:type="dxa" w:w="1728"/>
          </w:tcPr>
          <w:p>
            <w:r/>
            <w:r>
              <w:t>NHHousing</w:t>
            </w:r>
          </w:p>
        </w:tc>
        <w:tc>
          <w:tcPr>
            <w:tcW w:type="dxa" w:w="1728"/>
          </w:tcPr>
          <w:p>
            <w:r/>
            <w:r>
              <w:t>Descargado</w:t>
            </w:r>
          </w:p>
        </w:tc>
        <w:tc>
          <w:tcPr>
            <w:tcW w:type="dxa" w:w="1728"/>
          </w:tcPr>
          <w:p>
            <w:r/>
            <w:r>
              <w:t>NH-Housing-Finance-Authority-Audited-Financial-Statements-FY-2025.pdf</w:t>
            </w:r>
          </w:p>
        </w:tc>
        <w:tc>
          <w:tcPr>
            <w:tcW w:type="dxa" w:w="1728"/>
          </w:tcPr>
          <w:p>
            <w:r/>
            <w:r>
              <w:t>Indicadores clave verificados manualmente con el MD&amp;A del FY2025 de NH Housing (información financiera condensada — estado de activo neto, 30 de junio de 2025/2024)</w:t>
            </w:r>
          </w:p>
        </w:tc>
      </w:tr>
      <w:tr>
        <w:tc>
          <w:tcPr>
            <w:tcW w:type="dxa" w:w="1728"/>
          </w:tcPr>
          <w:p>
            <w:r/>
            <w:r>
              <w:t>NJ</w:t>
            </w:r>
          </w:p>
        </w:tc>
        <w:tc>
          <w:tcPr>
            <w:tcW w:type="dxa" w:w="1728"/>
          </w:tcPr>
          <w:p>
            <w:r/>
            <w:r>
              <w:t>NJHMFA</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NM</w:t>
            </w:r>
          </w:p>
        </w:tc>
        <w:tc>
          <w:tcPr>
            <w:tcW w:type="dxa" w:w="1728"/>
          </w:tcPr>
          <w:p>
            <w:r/>
            <w:r>
              <w:t>MFA</w:t>
            </w:r>
          </w:p>
        </w:tc>
        <w:tc>
          <w:tcPr>
            <w:tcW w:type="dxa" w:w="1728"/>
          </w:tcPr>
          <w:p>
            <w:r/>
            <w:r>
              <w:t>Descargado</w:t>
            </w:r>
          </w:p>
        </w:tc>
        <w:tc>
          <w:tcPr>
            <w:tcW w:type="dxa" w:w="1728"/>
          </w:tcPr>
          <w:p>
            <w:r/>
            <w:r>
              <w:t>NM_MFA_FY2025_ACFR.pdf</w:t>
            </w:r>
          </w:p>
        </w:tc>
        <w:tc>
          <w:tcPr>
            <w:tcW w:type="dxa" w:w="1728"/>
          </w:tcPr>
          <w:p>
            <w:r/>
            <w:r>
              <w:t>Indicadores completados a partir de los estados financieros auditados (PDF escaneado), sección MD&amp;A</w:t>
            </w:r>
          </w:p>
        </w:tc>
      </w:tr>
      <w:tr>
        <w:tc>
          <w:tcPr>
            <w:tcW w:type="dxa" w:w="1728"/>
          </w:tcPr>
          <w:p>
            <w:r/>
            <w:r>
              <w:t>NV</w:t>
            </w:r>
          </w:p>
        </w:tc>
        <w:tc>
          <w:tcPr>
            <w:tcW w:type="dxa" w:w="1728"/>
          </w:tcPr>
          <w:p>
            <w:r/>
            <w:r>
              <w:t>NHD</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NY</w:t>
            </w:r>
          </w:p>
        </w:tc>
        <w:tc>
          <w:tcPr>
            <w:tcW w:type="dxa" w:w="1728"/>
          </w:tcPr>
          <w:p>
            <w:r/>
            <w:r>
              <w:t>NYSHFA</w:t>
            </w:r>
          </w:p>
        </w:tc>
        <w:tc>
          <w:tcPr>
            <w:tcW w:type="dxa" w:w="1728"/>
          </w:tcPr>
          <w:p>
            <w:r/>
            <w:r>
              <w:t>Descargado</w:t>
            </w:r>
          </w:p>
        </w:tc>
        <w:tc>
          <w:tcPr>
            <w:tcW w:type="dxa" w:w="1728"/>
          </w:tcPr>
          <w:p>
            <w:r/>
            <w:r>
              <w:t>NY_NYHFA.pdf</w:t>
            </w:r>
          </w:p>
        </w:tc>
        <w:tc>
          <w:tcPr>
            <w:tcW w:type="dxa" w:w="1728"/>
          </w:tcPr>
          <w:p>
            <w:r/>
            <w:r>
              <w:t>Indicadores clave verificados manualmente con el MD&amp;A del FY2025 de NYS HFA (información financiera condensada — estados de activo neto, 31 de octubre de 2025/2024)</w:t>
            </w:r>
          </w:p>
        </w:tc>
      </w:tr>
      <w:tr>
        <w:tc>
          <w:tcPr>
            <w:tcW w:type="dxa" w:w="1728"/>
          </w:tcPr>
          <w:p>
            <w:r/>
            <w:r>
              <w:t>OH</w:t>
            </w:r>
          </w:p>
        </w:tc>
        <w:tc>
          <w:tcPr>
            <w:tcW w:type="dxa" w:w="1728"/>
          </w:tcPr>
          <w:p>
            <w:r/>
            <w:r>
              <w:t>OHFA</w:t>
            </w:r>
          </w:p>
        </w:tc>
        <w:tc>
          <w:tcPr>
            <w:tcW w:type="dxa" w:w="1728"/>
          </w:tcPr>
          <w:p>
            <w:r/>
            <w:r>
              <w:t>Descargado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Descargado</w:t>
            </w:r>
          </w:p>
        </w:tc>
        <w:tc>
          <w:tcPr>
            <w:tcW w:type="dxa" w:w="1728"/>
          </w:tcPr>
          <w:p>
            <w:r/>
            <w:r>
              <w:t>OK_OHFA_OK_FY2025_ACFR.pdf</w:t>
            </w:r>
          </w:p>
        </w:tc>
        <w:tc>
          <w:tcPr>
            <w:tcW w:type="dxa" w:w="1728"/>
          </w:tcPr>
          <w:p>
            <w:r/>
            <w:r>
              <w:t>Indicadores completados a partir del ACFR/estados financieros de la agencia</w:t>
            </w:r>
          </w:p>
        </w:tc>
      </w:tr>
      <w:tr>
        <w:tc>
          <w:tcPr>
            <w:tcW w:type="dxa" w:w="1728"/>
          </w:tcPr>
          <w:p>
            <w:r/>
            <w:r>
              <w:t>OR</w:t>
            </w:r>
          </w:p>
        </w:tc>
        <w:tc>
          <w:tcPr>
            <w:tcW w:type="dxa" w:w="1728"/>
          </w:tcPr>
          <w:p>
            <w:r/>
            <w:r>
              <w:t>OHCS</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PA</w:t>
            </w:r>
          </w:p>
        </w:tc>
        <w:tc>
          <w:tcPr>
            <w:tcW w:type="dxa" w:w="1728"/>
          </w:tcPr>
          <w:p>
            <w:r/>
            <w:r>
              <w:t>PHFA</w:t>
            </w:r>
          </w:p>
        </w:tc>
        <w:tc>
          <w:tcPr>
            <w:tcW w:type="dxa" w:w="1728"/>
          </w:tcPr>
          <w:p>
            <w:r/>
            <w:r>
              <w:t>Descargado</w:t>
            </w:r>
          </w:p>
        </w:tc>
        <w:tc>
          <w:tcPr>
            <w:tcW w:type="dxa" w:w="1728"/>
          </w:tcPr>
          <w:p>
            <w:r/>
            <w:r>
              <w:t>PA_PHFA_FY2025_ACFR.pdf</w:t>
            </w:r>
          </w:p>
        </w:tc>
        <w:tc>
          <w:tcPr>
            <w:tcW w:type="dxa" w:w="1728"/>
          </w:tcPr>
          <w:p>
            <w:r/>
            <w:r>
              <w:t>Indicadores clave verificados manualmente con el MD&amp;A del FY2025 de PHFA (balance general resumido, 30 de junio de 2025/2024); las cifras corresponden a las partidas de «Activo total»/«Pasivo total», sin incluir salidas/entradas diferidas de recursos</w:t>
            </w:r>
          </w:p>
        </w:tc>
      </w:tr>
      <w:tr>
        <w:tc>
          <w:tcPr>
            <w:tcW w:type="dxa" w:w="1728"/>
          </w:tcPr>
          <w:p>
            <w:r/>
            <w:r>
              <w:t>RI</w:t>
            </w:r>
          </w:p>
        </w:tc>
        <w:tc>
          <w:tcPr>
            <w:tcW w:type="dxa" w:w="1728"/>
          </w:tcPr>
          <w:p>
            <w:r/>
            <w:r>
              <w:t>RIHousing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SC</w:t>
            </w:r>
          </w:p>
        </w:tc>
        <w:tc>
          <w:tcPr>
            <w:tcW w:type="dxa" w:w="1728"/>
          </w:tcPr>
          <w:p>
            <w:r/>
            <w:r>
              <w:t>SCHFDA</w:t>
            </w:r>
          </w:p>
        </w:tc>
        <w:tc>
          <w:tcPr>
            <w:tcW w:type="dxa" w:w="1728"/>
          </w:tcPr>
          <w:p>
            <w:r/>
            <w:r>
              <w:t>Descargado</w:t>
            </w:r>
          </w:p>
        </w:tc>
        <w:tc>
          <w:tcPr>
            <w:tcW w:type="dxa" w:w="1728"/>
          </w:tcPr>
          <w:p>
            <w:r/>
            <w:r>
              <w:t>SC_SCHFDA_FY2025_ACFR.pdf</w:t>
            </w:r>
          </w:p>
        </w:tc>
        <w:tc>
          <w:tcPr>
            <w:tcW w:type="dxa" w:w="1728"/>
          </w:tcPr>
          <w:p>
            <w:r/>
            <w:r>
              <w:t>Indicadores completados a partir del ACFR/estados financieros de la agencia</w:t>
            </w:r>
          </w:p>
        </w:tc>
      </w:tr>
      <w:tr>
        <w:tc>
          <w:tcPr>
            <w:tcW w:type="dxa" w:w="1728"/>
          </w:tcPr>
          <w:p>
            <w:r/>
            <w:r>
              <w:t>SD</w:t>
            </w:r>
          </w:p>
        </w:tc>
        <w:tc>
          <w:tcPr>
            <w:tcW w:type="dxa" w:w="1728"/>
          </w:tcPr>
          <w:p>
            <w:r/>
            <w:r>
              <w:t>SDHDA</w:t>
            </w:r>
          </w:p>
        </w:tc>
        <w:tc>
          <w:tcPr>
            <w:tcW w:type="dxa" w:w="1728"/>
          </w:tcPr>
          <w:p>
            <w:r/>
            <w:r>
              <w:t>Descargado</w:t>
            </w:r>
          </w:p>
        </w:tc>
        <w:tc>
          <w:tcPr>
            <w:tcW w:type="dxa" w:w="1728"/>
          </w:tcPr>
          <w:p>
            <w:r/>
            <w:r>
              <w:t>SD_SDHDA_FY2025_ACFR.pdf</w:t>
            </w:r>
          </w:p>
        </w:tc>
        <w:tc>
          <w:tcPr>
            <w:tcW w:type="dxa" w:w="1728"/>
          </w:tcPr>
          <w:p>
            <w:r/>
            <w:r>
              <w:t>Activo total y pasivo total incorporados a partir del MD&amp;A del FY2025 de SDHDA (variación de activo/pasivo/activo neto, en millones, ejercicio cerrado el 30 de junio de 2025/2024)</w:t>
            </w:r>
          </w:p>
        </w:tc>
      </w:tr>
      <w:tr>
        <w:tc>
          <w:tcPr>
            <w:tcW w:type="dxa" w:w="1728"/>
          </w:tcPr>
          <w:p>
            <w:r/>
            <w:r>
              <w:t>TN</w:t>
            </w:r>
          </w:p>
        </w:tc>
        <w:tc>
          <w:tcPr>
            <w:tcW w:type="dxa" w:w="1728"/>
          </w:tcPr>
          <w:p>
            <w:r/>
            <w:r>
              <w:t>THDA</w:t>
            </w:r>
          </w:p>
        </w:tc>
        <w:tc>
          <w:tcPr>
            <w:tcW w:type="dxa" w:w="1728"/>
          </w:tcPr>
          <w:p>
            <w:r/>
            <w:r>
              <w:t>Descargado</w:t>
            </w:r>
          </w:p>
        </w:tc>
        <w:tc>
          <w:tcPr>
            <w:tcW w:type="dxa" w:w="1728"/>
          </w:tcPr>
          <w:p>
            <w:r/>
            <w:r>
              <w:t>TN_THDA_FY2025_ACFR.pdf</w:t>
            </w:r>
          </w:p>
        </w:tc>
        <w:tc>
          <w:tcPr>
            <w:tcW w:type="dxa" w:w="1728"/>
          </w:tcPr>
          <w:p>
            <w:r/>
            <w:r>
              <w:t>El activo neto del FY2024 refleja la cifra comparativa reexpresada del informe del FY2025</w:t>
            </w:r>
          </w:p>
        </w:tc>
      </w:tr>
      <w:tr>
        <w:tc>
          <w:tcPr>
            <w:tcW w:type="dxa" w:w="1728"/>
          </w:tcPr>
          <w:p>
            <w:r/>
            <w:r>
              <w:t>TX</w:t>
            </w:r>
          </w:p>
        </w:tc>
        <w:tc>
          <w:tcPr>
            <w:tcW w:type="dxa" w:w="1728"/>
          </w:tcPr>
          <w:p>
            <w:r/>
            <w:r>
              <w:t>TDHCA</w:t>
            </w:r>
          </w:p>
        </w:tc>
        <w:tc>
          <w:tcPr>
            <w:tcW w:type="dxa" w:w="1728"/>
          </w:tcPr>
          <w:p>
            <w:r/>
            <w:r>
              <w:t>Descargado</w:t>
            </w:r>
          </w:p>
        </w:tc>
        <w:tc>
          <w:tcPr>
            <w:tcW w:type="dxa" w:w="1728"/>
          </w:tcPr>
          <w:p>
            <w:r/>
            <w:r>
              <w:t>TX_TDHCA_FY2025_ACFR.pdf</w:t>
            </w:r>
          </w:p>
        </w:tc>
        <w:tc>
          <w:tcPr>
            <w:tcW w:type="dxa" w:w="1728"/>
          </w:tcPr>
          <w:p>
            <w:r/>
            <w:r>
              <w:t>Los indicadores clave no se extrajeron automáticamente; se recomienda revisión manual del PDF</w:t>
            </w:r>
          </w:p>
        </w:tc>
      </w:tr>
      <w:tr>
        <w:tc>
          <w:tcPr>
            <w:tcW w:type="dxa" w:w="1728"/>
          </w:tcPr>
          <w:p>
            <w:r/>
            <w:r>
              <w:t>UT</w:t>
            </w:r>
          </w:p>
        </w:tc>
        <w:tc>
          <w:tcPr>
            <w:tcW w:type="dxa" w:w="1728"/>
          </w:tcPr>
          <w:p>
            <w:r/>
            <w:r>
              <w:t>UtahHousing</w:t>
            </w:r>
          </w:p>
        </w:tc>
        <w:tc>
          <w:tcPr>
            <w:tcW w:type="dxa" w:w="1728"/>
          </w:tcPr>
          <w:p>
            <w:r/>
            <w:r>
              <w:t>Descargado</w:t>
            </w:r>
          </w:p>
        </w:tc>
        <w:tc>
          <w:tcPr>
            <w:tcW w:type="dxa" w:w="1728"/>
          </w:tcPr>
          <w:p>
            <w:r/>
            <w:r>
              <w:t>UT_UtahHousing_FY2025_ACFR.pdf</w:t>
            </w:r>
          </w:p>
        </w:tc>
        <w:tc>
          <w:tcPr>
            <w:tcW w:type="dxa" w:w="1728"/>
          </w:tcPr>
          <w:p>
            <w:r/>
            <w:r>
              <w:t>Tasa de crecimiento verificada manualmente con el ACFR</w:t>
            </w:r>
          </w:p>
        </w:tc>
      </w:tr>
      <w:tr>
        <w:tc>
          <w:tcPr>
            <w:tcW w:type="dxa" w:w="1728"/>
          </w:tcPr>
          <w:p>
            <w:r/>
            <w:r>
              <w:t>VA</w:t>
            </w:r>
          </w:p>
        </w:tc>
        <w:tc>
          <w:tcPr>
            <w:tcW w:type="dxa" w:w="1728"/>
          </w:tcPr>
          <w:p>
            <w:r/>
            <w:r>
              <w:t>VirginiaHousing</w:t>
            </w:r>
          </w:p>
        </w:tc>
        <w:tc>
          <w:tcPr>
            <w:tcW w:type="dxa" w:w="1728"/>
          </w:tcPr>
          <w:p>
            <w:r/>
            <w:r>
              <w:t>Descargado</w:t>
            </w:r>
          </w:p>
        </w:tc>
        <w:tc>
          <w:tcPr>
            <w:tcW w:type="dxa" w:w="1728"/>
          </w:tcPr>
          <w:p>
            <w:r/>
            <w:r>
              <w:t>VA_VirginiaHousing_FY2025_ACFR.pdf</w:t>
            </w:r>
          </w:p>
        </w:tc>
        <w:tc>
          <w:tcPr>
            <w:tcW w:type="dxa" w:w="1728"/>
          </w:tcPr>
          <w:p>
            <w:r/>
            <w:r>
              <w:t>Los indicadores clave no se extrajeron automáticamente; se recomienda revisión manual del PDF</w:t>
            </w:r>
          </w:p>
        </w:tc>
      </w:tr>
      <w:tr>
        <w:tc>
          <w:tcPr>
            <w:tcW w:type="dxa" w:w="1728"/>
          </w:tcPr>
          <w:p>
            <w:r/>
            <w:r>
              <w:t>VT</w:t>
            </w:r>
          </w:p>
        </w:tc>
        <w:tc>
          <w:tcPr>
            <w:tcW w:type="dxa" w:w="1728"/>
          </w:tcPr>
          <w:p>
            <w:r/>
            <w:r>
              <w:t>VHFA</w:t>
            </w:r>
          </w:p>
        </w:tc>
        <w:tc>
          <w:tcPr>
            <w:tcW w:type="dxa" w:w="1728"/>
          </w:tcPr>
          <w:p>
            <w:r/>
            <w:r>
              <w:t>Descargado</w:t>
            </w:r>
          </w:p>
        </w:tc>
        <w:tc>
          <w:tcPr>
            <w:tcW w:type="dxa" w:w="1728"/>
          </w:tcPr>
          <w:p>
            <w:r/>
            <w:r>
              <w:t>VT_VHFA_FY2025_ACFR.pdf</w:t>
            </w:r>
          </w:p>
        </w:tc>
        <w:tc>
          <w:tcPr>
            <w:tcW w:type="dxa" w:w="1728"/>
          </w:tcPr>
          <w:p>
            <w:r/>
            <w:r>
              <w:t>Indicadores completados a partir del ACFR/estados financieros de la agencia</w:t>
            </w:r>
          </w:p>
        </w:tc>
      </w:tr>
      <w:tr>
        <w:tc>
          <w:tcPr>
            <w:tcW w:type="dxa" w:w="1728"/>
          </w:tcPr>
          <w:p>
            <w:r/>
            <w:r>
              <w:t>WA</w:t>
            </w:r>
          </w:p>
        </w:tc>
        <w:tc>
          <w:tcPr>
            <w:tcW w:type="dxa" w:w="1728"/>
          </w:tcPr>
          <w:p>
            <w:r/>
            <w:r>
              <w:t>WSHFC</w:t>
            </w:r>
          </w:p>
        </w:tc>
        <w:tc>
          <w:tcPr>
            <w:tcW w:type="dxa" w:w="1728"/>
          </w:tcPr>
          <w:p>
            <w:r/>
            <w:r>
              <w:t>Descargado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Descargado</w:t>
            </w:r>
          </w:p>
        </w:tc>
        <w:tc>
          <w:tcPr>
            <w:tcW w:type="dxa" w:w="1728"/>
          </w:tcPr>
          <w:p>
            <w:r/>
            <w:r>
              <w:t>WI_WHEDA_FY2025_ACFR.pdf</w:t>
            </w:r>
          </w:p>
        </w:tc>
        <w:tc>
          <w:tcPr>
            <w:tcW w:type="dxa" w:w="1728"/>
          </w:tcPr>
          <w:p>
            <w:r/>
            <w:r>
              <w:t>Los indicadores clave no se extrajeron automáticamente; se recomienda revisión manual del PDF</w:t>
            </w:r>
          </w:p>
        </w:tc>
      </w:tr>
      <w:tr>
        <w:tc>
          <w:tcPr>
            <w:tcW w:type="dxa" w:w="1728"/>
          </w:tcPr>
          <w:p>
            <w:r/>
            <w:r>
              <w:t>WV</w:t>
            </w:r>
          </w:p>
        </w:tc>
        <w:tc>
          <w:tcPr>
            <w:tcW w:type="dxa" w:w="1728"/>
          </w:tcPr>
          <w:p>
            <w:r/>
            <w:r>
              <w:t>WVHDF</w:t>
            </w:r>
          </w:p>
        </w:tc>
        <w:tc>
          <w:tcPr>
            <w:tcW w:type="dxa" w:w="1728"/>
          </w:tcPr>
          <w:p>
            <w:r/>
            <w:r>
              <w:t>Descargado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Descargado</w:t>
            </w:r>
          </w:p>
        </w:tc>
        <w:tc>
          <w:tcPr>
            <w:tcW w:type="dxa" w:w="1728"/>
          </w:tcPr>
          <w:p>
            <w:r/>
            <w:r>
              <w:t>WY_WCDA_FY2025_ACFR.pdf</w:t>
            </w:r>
          </w:p>
        </w:tc>
        <w:tc>
          <w:tcPr>
            <w:tcW w:type="dxa" w:w="1728"/>
          </w:tcPr>
          <w:p>
            <w:r/>
            <w:r>
              <w:t>Los indicadores clave no se extrajeron automáticamente; se recomienda revisión manual del PDF</w:t>
            </w:r>
          </w:p>
        </w:tc>
      </w:tr>
    </w:tbl>
    <w:p/>
    <w:p>
      <w:pPr>
        <w:pStyle w:val="Heading1"/>
      </w:pPr>
      <w:r>
        <w:rPr>
          <w:b w:val="0"/>
          <w:i w:val="0"/>
        </w:rPr>
        <w:t>X. Estados sin informes del FY2025</w:t>
      </w:r>
    </w:p>
    <w:p>
      <w:r>
        <w:rPr>
          <w:b w:val="0"/>
          <w:i w:val="0"/>
        </w:rPr>
        <w:t>A la fecha de este informe, los siguientes 5 estados o territorios no contaban con un ACFR o estado financiero auditado del FY2025 localizable públicamente. Las causas más comunes incluyen auditorías incompletas, publicaciones limitadas al FY2024, o presentaciones alojadas en sitios no estándar.</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NJ - New Jersey Housing and Mortgage Finance Agency (NJHMFA)</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Apéndice: Metodología</w:t>
      </w:r>
    </w:p>
    <w:p>
      <w:r>
        <w:rPr>
          <w:b w:val="0"/>
          <w:i w:val="0"/>
        </w:rPr>
        <w:t>Las fuentes son los ACFR del FY2025 o los PDF de los estados financieros auditados publicados por las HFA estatales o por los auditores estatales. La extracción prioriza los datos financieros destacados del MD&amp;A y las partidas del Estado de Activo Neto correspondientes al activo total, el pasivo total y el activo neto total (con frecuencia reportados en miles de dólares). Las bases de revelación difieren entre actividades gubernamentales, actividades de tipo empresarial y presentaciones combinadas; las comparaciones entre estados deben interpretarse junto con las notas correspondientes.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Agencias Estatales de Financiamiento de Vivienda de EE. UU. — FY2025 Análisis del ACFR y de los Estados Financieros</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