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&amp; Financial Statements: Panoramic Analysis &amp; Strategic Insights</w:t>
      </w:r>
    </w:p>
    <w:p>
      <w:pPr>
        <w:jc w:val="center"/>
      </w:pPr>
      <w:r>
        <w:rPr>
          <w:i/>
        </w:rPr>
        <w:t>Prepared: August 07, 2026  |  Coverage: 51 states/territories  |  Reports obtained: 43 FY2025 filings</w:t>
      </w:r>
    </w:p>
    <w:p>
      <w:pPr>
        <w:pStyle w:val="Heading1"/>
      </w:pPr>
      <w:r>
        <w:t>I. Executive Summary: A Balance-Sheet Moment for Housing Finance</w:t>
      </w:r>
    </w:p>
    <w:p>
      <w:r>
        <w:t>FY2025 (year ended June 30, 2025; some agencies use a calendar year) was a pivotal financial year for State Housing Finance Agencies (HFAs) amid falling interest rates, intensifying LIHTC competition, and expanding first-time homebuyer programs. This report systematically collects and compares publicly disclosed ACFRs and audited financial statements across all 51 states and territories. As of the collection date, 43 FY2025 reports were obtained (84% coverage).</w:t>
      </w:r>
    </w:p>
    <w:p>
      <w:r>
        <w:t>Key finding: Among 29 agencies with extracted data, aggregate net position totals approximately $35.89B, and aggregate total assets approximately $111.18B. State HFAs operate as quasi-banks funded by bonds—mortgage and development loans on the asset side, housing bonds on the liability side. Net position ratio (Net Position / Total Assets) measures financial cushion and resilience.</w:t>
      </w:r>
    </w:p>
    <w:p>
      <w:r>
        <w:t>Growth leader: LA (LHC) posted net position growth of +31.9%, reaching $821.7M. This typically reflects rebounding bond issuance, portfolio expansion, or fair-value recovery—but should be cross-checked against housing units financed.</w:t>
      </w:r>
    </w:p>
    <w:p>
      <w:pPr>
        <w:pStyle w:val="Heading1"/>
      </w:pPr>
      <w:r>
        <w:t>II. Rankings: Who Is Getting Bigger, Stronger, and Faster</w:t>
      </w:r>
    </w:p>
    <w:p>
      <w:pPr>
        <w:pStyle w:val="Heading2"/>
      </w:pPr>
      <w:r>
        <w:t>2.1 Top 10 by Net Position (Financial Heavyweights)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7</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r>
        <w:tc>
          <w:tcPr>
            <w:tcW w:type="dxa" w:w="1440"/>
          </w:tcPr>
          <w:p>
            <w:r>
              <w:t>8</w:t>
            </w:r>
          </w:p>
        </w:tc>
        <w:tc>
          <w:tcPr>
            <w:tcW w:type="dxa" w:w="1440"/>
          </w:tcPr>
          <w:p>
            <w:r>
              <w:t>MI</w:t>
            </w:r>
          </w:p>
        </w:tc>
        <w:tc>
          <w:tcPr>
            <w:tcW w:type="dxa" w:w="1440"/>
          </w:tcPr>
          <w:p>
            <w:r>
              <w:t>MSHDA</w:t>
            </w:r>
          </w:p>
        </w:tc>
        <w:tc>
          <w:tcPr>
            <w:tcW w:type="dxa" w:w="1440"/>
          </w:tcPr>
          <w:p>
            <w:r>
              <w:t>$1,292.0M</w:t>
            </w:r>
          </w:p>
        </w:tc>
        <w:tc>
          <w:tcPr>
            <w:tcW w:type="dxa" w:w="1440"/>
          </w:tcPr>
          <w:p>
            <w:r>
              <w:t>$8,027.8M</w:t>
            </w:r>
          </w:p>
        </w:tc>
        <w:tc>
          <w:tcPr>
            <w:tcW w:type="dxa" w:w="1440"/>
          </w:tcPr>
          <w:p>
            <w:r>
              <w:t>+16.1%</w:t>
            </w:r>
          </w:p>
        </w:tc>
      </w:tr>
      <w:tr>
        <w:tc>
          <w:tcPr>
            <w:tcW w:type="dxa" w:w="1440"/>
          </w:tcPr>
          <w:p>
            <w:r>
              <w:t>9</w:t>
            </w:r>
          </w:p>
        </w:tc>
        <w:tc>
          <w:tcPr>
            <w:tcW w:type="dxa" w:w="1440"/>
          </w:tcPr>
          <w:p>
            <w:r>
              <w:t>WI</w:t>
            </w:r>
          </w:p>
        </w:tc>
        <w:tc>
          <w:tcPr>
            <w:tcW w:type="dxa" w:w="1440"/>
          </w:tcPr>
          <w:p>
            <w:r>
              <w:t>WHEDA</w:t>
            </w:r>
          </w:p>
        </w:tc>
        <w:tc>
          <w:tcPr>
            <w:tcW w:type="dxa" w:w="1440"/>
          </w:tcPr>
          <w:p>
            <w:r>
              <w:t>$1,134.1M</w:t>
            </w:r>
          </w:p>
        </w:tc>
        <w:tc>
          <w:tcPr>
            <w:tcW w:type="dxa" w:w="1440"/>
          </w:tcPr>
          <w:p>
            <w:r>
              <w:t>$4,467.4M</w:t>
            </w:r>
          </w:p>
        </w:tc>
        <w:tc>
          <w:tcPr>
            <w:tcW w:type="dxa" w:w="1440"/>
          </w:tcPr>
          <w:p>
            <w:r>
              <w:t>+25.4%</w:t>
            </w:r>
          </w:p>
        </w:tc>
      </w:tr>
      <w:tr>
        <w:tc>
          <w:tcPr>
            <w:tcW w:type="dxa" w:w="1440"/>
          </w:tcPr>
          <w:p>
            <w:r>
              <w:t>10</w:t>
            </w:r>
          </w:p>
        </w:tc>
        <w:tc>
          <w:tcPr>
            <w:tcW w:type="dxa" w:w="1440"/>
          </w:tcPr>
          <w:p>
            <w:r>
              <w:t>TX</w:t>
            </w:r>
          </w:p>
        </w:tc>
        <w:tc>
          <w:tcPr>
            <w:tcW w:type="dxa" w:w="1440"/>
          </w:tcPr>
          <w:p>
            <w:r>
              <w:t>TDHCA</w:t>
            </w:r>
          </w:p>
        </w:tc>
        <w:tc>
          <w:tcPr>
            <w:tcW w:type="dxa" w:w="1440"/>
          </w:tcPr>
          <w:p>
            <w:r>
              <w:t>$1,079.0M</w:t>
            </w:r>
          </w:p>
        </w:tc>
        <w:tc>
          <w:tcPr>
            <w:tcW w:type="dxa" w:w="1440"/>
          </w:tcPr>
          <w:p>
            <w:r>
              <w:t>$4,742.6M</w:t>
            </w:r>
          </w:p>
        </w:tc>
        <w:tc>
          <w:tcPr>
            <w:tcW w:type="dxa" w:w="1440"/>
          </w:tcPr>
          <w:p>
            <w:r>
              <w:t>+22.8%</w:t>
            </w:r>
          </w:p>
        </w:tc>
      </w:tr>
    </w:tbl>
    <w:p>
      <w:r>
        <w:t>Insight: The largest net-position agencies are often dual-engine players in multifamily housing revenue bonds (MHRB) and single-family mortgage programs. Scale alone does not equal performance, but it signals stronger bargaining power, lower marginal borrowing costs, and capacity to underwrite large affordable housing deals when federal policy shifts.</w:t>
      </w:r>
    </w:p>
    <w:p>
      <w:pPr>
        <w:pStyle w:val="Heading2"/>
      </w:pPr>
      <w:r>
        <w:t>2.2 Top 10 by Net Position Growth (Financial Acceleration)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LA</w:t>
            </w:r>
          </w:p>
        </w:tc>
        <w:tc>
          <w:tcPr>
            <w:tcW w:type="dxa" w:w="1440"/>
          </w:tcPr>
          <w:p>
            <w:r>
              <w:t>LHC</w:t>
            </w:r>
          </w:p>
        </w:tc>
        <w:tc>
          <w:tcPr>
            <w:tcW w:type="dxa" w:w="1440"/>
          </w:tcPr>
          <w:p>
            <w:r>
              <w:t>N/A</w:t>
            </w:r>
          </w:p>
        </w:tc>
        <w:tc>
          <w:tcPr>
            <w:tcW w:type="dxa" w:w="1440"/>
          </w:tcPr>
          <w:p>
            <w:r>
              <w:t>+31.9%</w:t>
            </w:r>
          </w:p>
        </w:tc>
        <w:tc>
          <w:tcPr>
            <w:tcW w:type="dxa" w:w="1440"/>
          </w:tcPr>
          <w:p>
            <w:r>
              <w:t>$821.7M</w:t>
            </w:r>
          </w:p>
        </w:tc>
      </w:tr>
      <w:tr>
        <w:tc>
          <w:tcPr>
            <w:tcW w:type="dxa" w:w="1440"/>
          </w:tcPr>
          <w:p>
            <w:r>
              <w:t>2</w:t>
            </w:r>
          </w:p>
        </w:tc>
        <w:tc>
          <w:tcPr>
            <w:tcW w:type="dxa" w:w="1440"/>
          </w:tcPr>
          <w:p>
            <w:r>
              <w:t>IN</w:t>
            </w:r>
          </w:p>
        </w:tc>
        <w:tc>
          <w:tcPr>
            <w:tcW w:type="dxa" w:w="1440"/>
          </w:tcPr>
          <w:p>
            <w:r>
              <w:t>IHCDA</w:t>
            </w:r>
          </w:p>
        </w:tc>
        <w:tc>
          <w:tcPr>
            <w:tcW w:type="dxa" w:w="1440"/>
          </w:tcPr>
          <w:p>
            <w:r>
              <w:t>N/A</w:t>
            </w:r>
          </w:p>
        </w:tc>
        <w:tc>
          <w:tcPr>
            <w:tcW w:type="dxa" w:w="1440"/>
          </w:tcPr>
          <w:p>
            <w:r>
              <w:t>+20.4%</w:t>
            </w:r>
          </w:p>
        </w:tc>
        <w:tc>
          <w:tcPr>
            <w:tcW w:type="dxa" w:w="1440"/>
          </w:tcPr>
          <w:p>
            <w:r>
              <w:t>$599.5M</w:t>
            </w:r>
          </w:p>
        </w:tc>
      </w:tr>
      <w:tr>
        <w:tc>
          <w:tcPr>
            <w:tcW w:type="dxa" w:w="1440"/>
          </w:tcPr>
          <w:p>
            <w:r>
              <w:t>3</w:t>
            </w:r>
          </w:p>
        </w:tc>
        <w:tc>
          <w:tcPr>
            <w:tcW w:type="dxa" w:w="1440"/>
          </w:tcPr>
          <w:p>
            <w:r>
              <w:t>OH</w:t>
            </w:r>
          </w:p>
        </w:tc>
        <w:tc>
          <w:tcPr>
            <w:tcW w:type="dxa" w:w="1440"/>
          </w:tcPr>
          <w:p>
            <w:r>
              <w:t>OHFA</w:t>
            </w:r>
          </w:p>
        </w:tc>
        <w:tc>
          <w:tcPr>
            <w:tcW w:type="dxa" w:w="1440"/>
          </w:tcPr>
          <w:p>
            <w:r>
              <w:t>$87.1M</w:t>
            </w:r>
          </w:p>
        </w:tc>
        <w:tc>
          <w:tcPr>
            <w:tcW w:type="dxa" w:w="1440"/>
          </w:tcPr>
          <w:p>
            <w:r>
              <w:t>+19.8%</w:t>
            </w:r>
          </w:p>
        </w:tc>
        <w:tc>
          <w:tcPr>
            <w:tcW w:type="dxa" w:w="1440"/>
          </w:tcPr>
          <w:p>
            <w:r>
              <w:t>$526.1M</w:t>
            </w:r>
          </w:p>
        </w:tc>
      </w:tr>
      <w:tr>
        <w:tc>
          <w:tcPr>
            <w:tcW w:type="dxa" w:w="1440"/>
          </w:tcPr>
          <w:p>
            <w:r>
              <w:t>4</w:t>
            </w:r>
          </w:p>
        </w:tc>
        <w:tc>
          <w:tcPr>
            <w:tcW w:type="dxa" w:w="1440"/>
          </w:tcPr>
          <w:p>
            <w:r>
              <w:t>WI</w:t>
            </w:r>
          </w:p>
        </w:tc>
        <w:tc>
          <w:tcPr>
            <w:tcW w:type="dxa" w:w="1440"/>
          </w:tcPr>
          <w:p>
            <w:r>
              <w:t>WHEDA</w:t>
            </w:r>
          </w:p>
        </w:tc>
        <w:tc>
          <w:tcPr>
            <w:tcW w:type="dxa" w:w="1440"/>
          </w:tcPr>
          <w:p>
            <w:r>
              <w:t>$169.9M</w:t>
            </w:r>
          </w:p>
        </w:tc>
        <w:tc>
          <w:tcPr>
            <w:tcW w:type="dxa" w:w="1440"/>
          </w:tcPr>
          <w:p>
            <w:r>
              <w:t>+17.6%</w:t>
            </w:r>
          </w:p>
        </w:tc>
        <w:tc>
          <w:tcPr>
            <w:tcW w:type="dxa" w:w="1440"/>
          </w:tcPr>
          <w:p>
            <w:r>
              <w:t>$1,134.1M</w:t>
            </w:r>
          </w:p>
        </w:tc>
      </w:tr>
      <w:tr>
        <w:tc>
          <w:tcPr>
            <w:tcW w:type="dxa" w:w="1440"/>
          </w:tcPr>
          <w:p>
            <w:r>
              <w:t>5</w:t>
            </w:r>
          </w:p>
        </w:tc>
        <w:tc>
          <w:tcPr>
            <w:tcW w:type="dxa" w:w="1440"/>
          </w:tcPr>
          <w:p>
            <w:r>
              <w:t>MA</w:t>
            </w:r>
          </w:p>
        </w:tc>
        <w:tc>
          <w:tcPr>
            <w:tcW w:type="dxa" w:w="1440"/>
          </w:tcPr>
          <w:p>
            <w:r>
              <w:t>MassHousing</w:t>
            </w:r>
          </w:p>
        </w:tc>
        <w:tc>
          <w:tcPr>
            <w:tcW w:type="dxa" w:w="1440"/>
          </w:tcPr>
          <w:p>
            <w:r>
              <w:t>N/A</w:t>
            </w:r>
          </w:p>
        </w:tc>
        <w:tc>
          <w:tcPr>
            <w:tcW w:type="dxa" w:w="1440"/>
          </w:tcPr>
          <w:p>
            <w:r>
              <w:t>+14.3%</w:t>
            </w:r>
          </w:p>
        </w:tc>
        <w:tc>
          <w:tcPr>
            <w:tcW w:type="dxa" w:w="1440"/>
          </w:tcPr>
          <w:p>
            <w:r>
              <w:t>$2,083.9M</w:t>
            </w:r>
          </w:p>
        </w:tc>
      </w:tr>
      <w:tr>
        <w:tc>
          <w:tcPr>
            <w:tcW w:type="dxa" w:w="1440"/>
          </w:tcPr>
          <w:p>
            <w:r>
              <w:t>6</w:t>
            </w:r>
          </w:p>
        </w:tc>
        <w:tc>
          <w:tcPr>
            <w:tcW w:type="dxa" w:w="1440"/>
          </w:tcPr>
          <w:p>
            <w:r>
              <w:t>NC</w:t>
            </w:r>
          </w:p>
        </w:tc>
        <w:tc>
          <w:tcPr>
            <w:tcW w:type="dxa" w:w="1440"/>
          </w:tcPr>
          <w:p>
            <w:r>
              <w:t>NCHFA</w:t>
            </w:r>
          </w:p>
        </w:tc>
        <w:tc>
          <w:tcPr>
            <w:tcW w:type="dxa" w:w="1440"/>
          </w:tcPr>
          <w:p>
            <w:r>
              <w:t>N/A</w:t>
            </w:r>
          </w:p>
        </w:tc>
        <w:tc>
          <w:tcPr>
            <w:tcW w:type="dxa" w:w="1440"/>
          </w:tcPr>
          <w:p>
            <w:r>
              <w:t>+14.3%</w:t>
            </w:r>
          </w:p>
        </w:tc>
        <w:tc>
          <w:tcPr>
            <w:tcW w:type="dxa" w:w="1440"/>
          </w:tcPr>
          <w:p>
            <w:r>
              <w:t>$979.8M</w:t>
            </w:r>
          </w:p>
        </w:tc>
      </w:tr>
      <w:tr>
        <w:tc>
          <w:tcPr>
            <w:tcW w:type="dxa" w:w="1440"/>
          </w:tcPr>
          <w:p>
            <w:r>
              <w:t>7</w:t>
            </w:r>
          </w:p>
        </w:tc>
        <w:tc>
          <w:tcPr>
            <w:tcW w:type="dxa" w:w="1440"/>
          </w:tcPr>
          <w:p>
            <w:r>
              <w:t>HI</w:t>
            </w:r>
          </w:p>
        </w:tc>
        <w:tc>
          <w:tcPr>
            <w:tcW w:type="dxa" w:w="1440"/>
          </w:tcPr>
          <w:p>
            <w:r>
              <w:t>HHFDC</w:t>
            </w:r>
          </w:p>
        </w:tc>
        <w:tc>
          <w:tcPr>
            <w:tcW w:type="dxa" w:w="1440"/>
          </w:tcPr>
          <w:p>
            <w:r>
              <w:t>N/A</w:t>
            </w:r>
          </w:p>
        </w:tc>
        <w:tc>
          <w:tcPr>
            <w:tcW w:type="dxa" w:w="1440"/>
          </w:tcPr>
          <w:p>
            <w:r>
              <w:t>+13.8%</w:t>
            </w:r>
          </w:p>
        </w:tc>
        <w:tc>
          <w:tcPr>
            <w:tcW w:type="dxa" w:w="1440"/>
          </w:tcPr>
          <w:p>
            <w:r>
              <w:t>$2,653.2M</w:t>
            </w:r>
          </w:p>
        </w:tc>
      </w:tr>
      <w:tr>
        <w:tc>
          <w:tcPr>
            <w:tcW w:type="dxa" w:w="1440"/>
          </w:tcPr>
          <w:p>
            <w:r>
              <w:t>8</w:t>
            </w:r>
          </w:p>
        </w:tc>
        <w:tc>
          <w:tcPr>
            <w:tcW w:type="dxa" w:w="1440"/>
          </w:tcPr>
          <w:p>
            <w:r>
              <w:t>WA</w:t>
            </w:r>
          </w:p>
        </w:tc>
        <w:tc>
          <w:tcPr>
            <w:tcW w:type="dxa" w:w="1440"/>
          </w:tcPr>
          <w:p>
            <w:r>
              <w:t>WSHFC</w:t>
            </w:r>
          </w:p>
        </w:tc>
        <w:tc>
          <w:tcPr>
            <w:tcW w:type="dxa" w:w="1440"/>
          </w:tcPr>
          <w:p>
            <w:r>
              <w:t>$128.5M</w:t>
            </w:r>
          </w:p>
        </w:tc>
        <w:tc>
          <w:tcPr>
            <w:tcW w:type="dxa" w:w="1440"/>
          </w:tcPr>
          <w:p>
            <w:r>
              <w:t>+13.7%</w:t>
            </w:r>
          </w:p>
        </w:tc>
        <w:tc>
          <w:tcPr>
            <w:tcW w:type="dxa" w:w="1440"/>
          </w:tcPr>
          <w:p>
            <w:r>
              <w:t>$1,064.1M</w:t>
            </w:r>
          </w:p>
        </w:tc>
      </w:tr>
      <w:tr>
        <w:tc>
          <w:tcPr>
            <w:tcW w:type="dxa" w:w="1440"/>
          </w:tcPr>
          <w:p>
            <w:r>
              <w:t>9</w:t>
            </w:r>
          </w:p>
        </w:tc>
        <w:tc>
          <w:tcPr>
            <w:tcW w:type="dxa" w:w="1440"/>
          </w:tcPr>
          <w:p>
            <w:r>
              <w:t>FL</w:t>
            </w:r>
          </w:p>
        </w:tc>
        <w:tc>
          <w:tcPr>
            <w:tcW w:type="dxa" w:w="1440"/>
          </w:tcPr>
          <w:p>
            <w:r>
              <w:t>FloridaHousing</w:t>
            </w:r>
          </w:p>
        </w:tc>
        <w:tc>
          <w:tcPr>
            <w:tcW w:type="dxa" w:w="1440"/>
          </w:tcPr>
          <w:p>
            <w:r>
              <w:t>$558.3M</w:t>
            </w:r>
          </w:p>
        </w:tc>
        <w:tc>
          <w:tcPr>
            <w:tcW w:type="dxa" w:w="1440"/>
          </w:tcPr>
          <w:p>
            <w:r>
              <w:t>+13.2%</w:t>
            </w:r>
          </w:p>
        </w:tc>
        <w:tc>
          <w:tcPr>
            <w:tcW w:type="dxa" w:w="1440"/>
          </w:tcPr>
          <w:p>
            <w:r>
              <w:t>$4,771.1M</w:t>
            </w:r>
          </w:p>
        </w:tc>
      </w:tr>
      <w:tr>
        <w:tc>
          <w:tcPr>
            <w:tcW w:type="dxa" w:w="1440"/>
          </w:tcPr>
          <w:p>
            <w:r>
              <w:t>10</w:t>
            </w:r>
          </w:p>
        </w:tc>
        <w:tc>
          <w:tcPr>
            <w:tcW w:type="dxa" w:w="1440"/>
          </w:tcPr>
          <w:p>
            <w:r>
              <w:t>IL</w:t>
            </w:r>
          </w:p>
        </w:tc>
        <w:tc>
          <w:tcPr>
            <w:tcW w:type="dxa" w:w="1440"/>
          </w:tcPr>
          <w:p>
            <w:r>
              <w:t>IHDA</w:t>
            </w:r>
          </w:p>
        </w:tc>
        <w:tc>
          <w:tcPr>
            <w:tcW w:type="dxa" w:w="1440"/>
          </w:tcPr>
          <w:p>
            <w:r>
              <w:t>$159.9M</w:t>
            </w:r>
          </w:p>
        </w:tc>
        <w:tc>
          <w:tcPr>
            <w:tcW w:type="dxa" w:w="1440"/>
          </w:tcPr>
          <w:p>
            <w:r>
              <w:t>+11.6%</w:t>
            </w:r>
          </w:p>
        </w:tc>
        <w:tc>
          <w:tcPr>
            <w:tcW w:type="dxa" w:w="1440"/>
          </w:tcPr>
          <w:p>
            <w:r>
              <w:t>$1,533.7M</w:t>
            </w:r>
          </w:p>
        </w:tc>
      </w:tr>
    </w:tbl>
    <w:p>
      <w:r>
        <w:t>Insight: High-growth states often fall into three scenarios: (1) bond issuance rebound; (2) loan-loss reserve releases or fair-value gains; (3) state down-payment/homeownership programs improving fees and spreads. Caution: growth driven by fair-value gains rather than operating surplus may be less sustainable.</w:t>
      </w:r>
    </w:p>
    <w:p>
      <w:pPr>
        <w:pStyle w:val="Heading2"/>
      </w:pPr>
      <w:r>
        <w:t>2.3 Top 10 by Total Assets (Market Anchors)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2</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3</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4</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5</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6</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7</w:t>
            </w:r>
          </w:p>
        </w:tc>
        <w:tc>
          <w:tcPr>
            <w:tcW w:type="dxa" w:w="1728"/>
          </w:tcPr>
          <w:p>
            <w:r>
              <w:t>FL</w:t>
            </w:r>
          </w:p>
        </w:tc>
        <w:tc>
          <w:tcPr>
            <w:tcW w:type="dxa" w:w="1728"/>
          </w:tcPr>
          <w:p>
            <w:r>
              <w:t>FloridaHousing</w:t>
            </w:r>
          </w:p>
        </w:tc>
        <w:tc>
          <w:tcPr>
            <w:tcW w:type="dxa" w:w="1728"/>
          </w:tcPr>
          <w:p>
            <w:r>
              <w:t>$7,722.4M</w:t>
            </w:r>
          </w:p>
        </w:tc>
        <w:tc>
          <w:tcPr>
            <w:tcW w:type="dxa" w:w="1728"/>
          </w:tcPr>
          <w:p>
            <w:r>
              <w:t>$4,771.1M</w:t>
            </w:r>
          </w:p>
        </w:tc>
      </w:tr>
      <w:tr>
        <w:tc>
          <w:tcPr>
            <w:tcW w:type="dxa" w:w="1728"/>
          </w:tcPr>
          <w:p>
            <w:r>
              <w:t>8</w:t>
            </w:r>
          </w:p>
        </w:tc>
        <w:tc>
          <w:tcPr>
            <w:tcW w:type="dxa" w:w="1728"/>
          </w:tcPr>
          <w:p>
            <w:r>
              <w:t>ID</w:t>
            </w:r>
          </w:p>
        </w:tc>
        <w:tc>
          <w:tcPr>
            <w:tcW w:type="dxa" w:w="1728"/>
          </w:tcPr>
          <w:p>
            <w:r>
              <w:t>IHFA</w:t>
            </w:r>
          </w:p>
        </w:tc>
        <w:tc>
          <w:tcPr>
            <w:tcW w:type="dxa" w:w="1728"/>
          </w:tcPr>
          <w:p>
            <w:r>
              <w:t>$6,026.2M</w:t>
            </w:r>
          </w:p>
        </w:tc>
        <w:tc>
          <w:tcPr>
            <w:tcW w:type="dxa" w:w="1728"/>
          </w:tcPr>
          <w:p>
            <w:r>
              <w:t>$716.0M</w:t>
            </w:r>
          </w:p>
        </w:tc>
      </w:tr>
      <w:tr>
        <w:tc>
          <w:tcPr>
            <w:tcW w:type="dxa" w:w="1728"/>
          </w:tcPr>
          <w:p>
            <w:r>
              <w:t>9</w:t>
            </w:r>
          </w:p>
        </w:tc>
        <w:tc>
          <w:tcPr>
            <w:tcW w:type="dxa" w:w="1728"/>
          </w:tcPr>
          <w:p>
            <w:r>
              <w:t>CA</w:t>
            </w:r>
          </w:p>
        </w:tc>
        <w:tc>
          <w:tcPr>
            <w:tcW w:type="dxa" w:w="1728"/>
          </w:tcPr>
          <w:p>
            <w:r>
              <w:t>CalHFA</w:t>
            </w:r>
          </w:p>
        </w:tc>
        <w:tc>
          <w:tcPr>
            <w:tcW w:type="dxa" w:w="1728"/>
          </w:tcPr>
          <w:p>
            <w:r>
              <w:t>$4,980.0M</w:t>
            </w:r>
          </w:p>
        </w:tc>
        <w:tc>
          <w:tcPr>
            <w:tcW w:type="dxa" w:w="1728"/>
          </w:tcPr>
          <w:p>
            <w:r>
              <w:t>$3,442.9M</w:t>
            </w:r>
          </w:p>
        </w:tc>
      </w:tr>
      <w:tr>
        <w:tc>
          <w:tcPr>
            <w:tcW w:type="dxa" w:w="1728"/>
          </w:tcPr>
          <w:p>
            <w:r>
              <w:t>10</w:t>
            </w:r>
          </w:p>
        </w:tc>
        <w:tc>
          <w:tcPr>
            <w:tcW w:type="dxa" w:w="1728"/>
          </w:tcPr>
          <w:p>
            <w:r>
              <w:t>NC</w:t>
            </w:r>
          </w:p>
        </w:tc>
        <w:tc>
          <w:tcPr>
            <w:tcW w:type="dxa" w:w="1728"/>
          </w:tcPr>
          <w:p>
            <w:r>
              <w:t>NCHFA</w:t>
            </w:r>
          </w:p>
        </w:tc>
        <w:tc>
          <w:tcPr>
            <w:tcW w:type="dxa" w:w="1728"/>
          </w:tcPr>
          <w:p>
            <w:r>
              <w:t>$4,815.9M</w:t>
            </w:r>
          </w:p>
        </w:tc>
        <w:tc>
          <w:tcPr>
            <w:tcW w:type="dxa" w:w="1728"/>
          </w:tcPr>
          <w:p>
            <w:r>
              <w:t>$979.8M</w:t>
            </w:r>
          </w:p>
        </w:tc>
      </w:tr>
    </w:tbl>
    <w:p>
      <w:pPr>
        <w:pStyle w:val="Heading2"/>
      </w:pPr>
      <w:r>
        <w:t>2.4 Top 10 by Net Position Ratio (Financial Cushion)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3</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4</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5</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6</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7</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r>
        <w:tc>
          <w:tcPr>
            <w:tcW w:type="dxa" w:w="1440"/>
          </w:tcPr>
          <w:p>
            <w:r>
              <w:t>8</w:t>
            </w:r>
          </w:p>
        </w:tc>
        <w:tc>
          <w:tcPr>
            <w:tcW w:type="dxa" w:w="1440"/>
          </w:tcPr>
          <w:p>
            <w:r>
              <w:t>VA</w:t>
            </w:r>
          </w:p>
        </w:tc>
        <w:tc>
          <w:tcPr>
            <w:tcW w:type="dxa" w:w="1440"/>
          </w:tcPr>
          <w:p>
            <w:r>
              <w:t>VirginiaHousing</w:t>
            </w:r>
          </w:p>
        </w:tc>
        <w:tc>
          <w:tcPr>
            <w:tcW w:type="dxa" w:w="1440"/>
          </w:tcPr>
          <w:p>
            <w:r>
              <w:t>+32.1%</w:t>
            </w:r>
          </w:p>
        </w:tc>
        <w:tc>
          <w:tcPr>
            <w:tcW w:type="dxa" w:w="1440"/>
          </w:tcPr>
          <w:p>
            <w:r>
              <w:t>$3,963.1M</w:t>
            </w:r>
          </w:p>
        </w:tc>
        <w:tc>
          <w:tcPr>
            <w:tcW w:type="dxa" w:w="1440"/>
          </w:tcPr>
          <w:p>
            <w:r>
              <w:t>$12,350.1M</w:t>
            </w:r>
          </w:p>
        </w:tc>
      </w:tr>
      <w:tr>
        <w:tc>
          <w:tcPr>
            <w:tcW w:type="dxa" w:w="1440"/>
          </w:tcPr>
          <w:p>
            <w:r>
              <w:t>9</w:t>
            </w:r>
          </w:p>
        </w:tc>
        <w:tc>
          <w:tcPr>
            <w:tcW w:type="dxa" w:w="1440"/>
          </w:tcPr>
          <w:p>
            <w:r>
              <w:t>WY</w:t>
            </w:r>
          </w:p>
        </w:tc>
        <w:tc>
          <w:tcPr>
            <w:tcW w:type="dxa" w:w="1440"/>
          </w:tcPr>
          <w:p>
            <w:r>
              <w:t>WCDA</w:t>
            </w:r>
          </w:p>
        </w:tc>
        <w:tc>
          <w:tcPr>
            <w:tcW w:type="dxa" w:w="1440"/>
          </w:tcPr>
          <w:p>
            <w:r>
              <w:t>+29.6%</w:t>
            </w:r>
          </w:p>
        </w:tc>
        <w:tc>
          <w:tcPr>
            <w:tcW w:type="dxa" w:w="1440"/>
          </w:tcPr>
          <w:p>
            <w:r>
              <w:t>$456.3M</w:t>
            </w:r>
          </w:p>
        </w:tc>
        <w:tc>
          <w:tcPr>
            <w:tcW w:type="dxa" w:w="1440"/>
          </w:tcPr>
          <w:p>
            <w:r>
              <w:t>$1,540.5M</w:t>
            </w:r>
          </w:p>
        </w:tc>
      </w:tr>
      <w:tr>
        <w:tc>
          <w:tcPr>
            <w:tcW w:type="dxa" w:w="1440"/>
          </w:tcPr>
          <w:p>
            <w:r>
              <w:t>10</w:t>
            </w:r>
          </w:p>
        </w:tc>
        <w:tc>
          <w:tcPr>
            <w:tcW w:type="dxa" w:w="1440"/>
          </w:tcPr>
          <w:p>
            <w:r>
              <w:t>MA</w:t>
            </w:r>
          </w:p>
        </w:tc>
        <w:tc>
          <w:tcPr>
            <w:tcW w:type="dxa" w:w="1440"/>
          </w:tcPr>
          <w:p>
            <w:r>
              <w:t>MassHousing</w:t>
            </w:r>
          </w:p>
        </w:tc>
        <w:tc>
          <w:tcPr>
            <w:tcW w:type="dxa" w:w="1440"/>
          </w:tcPr>
          <w:p>
            <w:r>
              <w:t>+25.8%</w:t>
            </w:r>
          </w:p>
        </w:tc>
        <w:tc>
          <w:tcPr>
            <w:tcW w:type="dxa" w:w="1440"/>
          </w:tcPr>
          <w:p>
            <w:r>
              <w:t>$2,083.9M</w:t>
            </w:r>
          </w:p>
        </w:tc>
        <w:tc>
          <w:tcPr>
            <w:tcW w:type="dxa" w:w="1440"/>
          </w:tcPr>
          <w:p>
            <w:r>
              <w:t>$8,079.7M</w:t>
            </w:r>
          </w:p>
        </w:tc>
      </w:tr>
    </w:tbl>
    <w:p>
      <w:r>
        <w:t>Insight: Agencies with higher net position ratios typically have more room to absorb asset impairments, rate shocks, or tighter refinancing windows. For policymakers, this is a hard measure of fiscal resilience—not a talking point.</w:t>
      </w:r>
    </w:p>
    <w:p>
      <w:pPr>
        <w:pStyle w:val="Heading1"/>
      </w:pPr>
      <w:r>
        <w:t>III. Regional &amp; Model Comparison: Five State HFA Archetypes</w:t>
      </w:r>
    </w:p>
    <w:p>
      <w:r>
        <w:t>FY2025 disclosures suggest five rough archetypes for cross-state benchmarking:</w:t>
      </w:r>
    </w:p>
    <w:p>
      <w:pPr>
        <w:pStyle w:val="ListBullet"/>
      </w:pPr>
      <w:r>
        <w:rPr>
          <w:b/>
        </w:rPr>
        <w:t xml:space="preserve">Bond-Driven Giants: </w:t>
      </w:r>
      <w:r>
        <w:t>e.g., MI, IL, MN—assets and liabilities expand together, heavily reliant on MHRB/SFR programs and GSE pipelines.</w:t>
      </w:r>
    </w:p>
    <w:p>
      <w:pPr>
        <w:pStyle w:val="ListBullet"/>
      </w:pPr>
      <w:r>
        <w:rPr>
          <w:b/>
        </w:rPr>
        <w:t xml:space="preserve">Lean High-Growth Players: </w:t>
      </w:r>
      <w:r>
        <w:t>e.g., NH, WV—mid-sized balance sheets but notable net position growth; useful models for how smaller states punch above their weight.</w:t>
      </w:r>
    </w:p>
    <w:p>
      <w:pPr>
        <w:pStyle w:val="ListBullet"/>
      </w:pPr>
      <w:r>
        <w:rPr>
          <w:b/>
        </w:rPr>
        <w:t xml:space="preserve">Integrated State-Department Models: </w:t>
      </w:r>
      <w:r>
        <w:t>e.g., TX TDHCA—governmental and business-type funds in parallel; disclosure basis requires careful reading.</w:t>
      </w:r>
    </w:p>
    <w:p>
      <w:pPr>
        <w:pStyle w:val="ListBullet"/>
      </w:pPr>
      <w:r>
        <w:rPr>
          <w:b/>
        </w:rPr>
        <w:t xml:space="preserve">High-Cost Coastal States: </w:t>
      </w:r>
      <w:r>
        <w:t>e.g., CA, NY, WA—financial results tightly linked to home prices, construction costs, and project pipelines. FY2025 CalHFA reported net position of ~$3.44B and total assets near $5.0B, with single-family TBA securitizations exceeding $3B—among the nation's largest state housing finance players.</w:t>
      </w:r>
    </w:p>
    <w:p>
      <w:pPr>
        <w:pStyle w:val="ListBullet"/>
      </w:pPr>
      <w:r>
        <w:rPr>
          <w:b/>
        </w:rPr>
        <w:t xml:space="preserve">Resource / Low-Density States: </w:t>
      </w:r>
      <w:r>
        <w:t>e.g., WY, ND, SD—issuance cycles are volatile; individual projects can move the financial statements materially.</w:t>
      </w:r>
    </w:p>
    <w:p>
      <w:pPr>
        <w:pStyle w:val="Heading1"/>
      </w:pPr>
      <w:r>
        <w:t>IV. Counter-Intuitive Insights Behind the Numbers</w:t>
      </w:r>
    </w:p>
    <w:p>
      <w:r>
        <w:rPr>
          <w:b/>
        </w:rPr>
        <w:t xml:space="preserve">Bigger is not always safer. </w:t>
      </w:r>
      <w:r>
        <w:t>The largest asset bases often carry the highest liabilities and derivative exposure. With FY2025 rate paths still uncertain, net position ratio and cash flow matter as much as asset rankings.</w:t>
      </w:r>
    </w:p>
    <w:p>
      <w:r>
        <w:rPr>
          <w:b/>
        </w:rPr>
        <w:t xml:space="preserve">Net position growth ≠ more housing built. </w:t>
      </w:r>
      <w:r>
        <w:t>Under GAAP, net position can move with investment fair value, loss provisions, or bond premium amortization. Housing output must be validated against project reports (units financed, bonds issued).</w:t>
      </w:r>
    </w:p>
    <w:p>
      <w:r>
        <w:rPr>
          <w:b/>
        </w:rPr>
        <w:t xml:space="preserve">Disclosure quality is a competitive advantage. </w:t>
      </w:r>
      <w:r>
        <w:t>Agencies earning the GFOA Certificate of Achievement (e.g., IL IHDA) tend to publish clearer MD&amp;A—lowering investor due-diligence costs and, indirectly, bond spreads.</w:t>
      </w:r>
    </w:p>
    <w:p>
      <w:pPr>
        <w:pStyle w:val="Heading1"/>
      </w:pPr>
      <w:r>
        <w:t>V. Constructive Recommendations: A Policy Toolkit for FY2026 and Beyond</w:t>
      </w:r>
    </w:p>
    <w:p>
      <w:pPr>
        <w:pStyle w:val="ListNumber"/>
      </w:pPr>
      <w:r>
        <w:rPr>
          <w:b/>
        </w:rPr>
        <w:t xml:space="preserve">Establish an HFA Financial Health Index. </w:t>
      </w:r>
      <w:r>
        <w:t>Standardize disclosure of net position ratio, debt service coverage, delinquency rates, LIHTC pipeline, and single-family vs. multifamily mix—replacing fragmented narratives with comparable metrics.</w:t>
      </w:r>
    </w:p>
    <w:p>
      <w:pPr>
        <w:pStyle w:val="ListNumber"/>
      </w:pPr>
      <w:r>
        <w:rPr>
          <w:b/>
        </w:rPr>
        <w:t xml:space="preserve">Embed affordability in the balance sheet. </w:t>
      </w:r>
      <w:r>
        <w:t>Add MD&amp;A unit-cost metrics: affordable units per $1M of bond proceeds, first-time buyers supported per dollar of net position—linking financial statements to housing outcomes.</w:t>
      </w:r>
    </w:p>
    <w:p>
      <w:pPr>
        <w:pStyle w:val="ListNumber"/>
      </w:pPr>
      <w:r>
        <w:rPr>
          <w:b/>
        </w:rPr>
        <w:t xml:space="preserve">Regional bond pooling and risk sharing. </w:t>
      </w:r>
      <w:r>
        <w:t>Smaller HFAs: explore regional bond pools to cut issuance costs. Larger HFAs: standardize hedging for disaster and interest-rate risk.</w:t>
      </w:r>
    </w:p>
    <w:p>
      <w:pPr>
        <w:pStyle w:val="ListNumber"/>
      </w:pPr>
      <w:r>
        <w:rPr>
          <w:b/>
        </w:rPr>
        <w:t xml:space="preserve">Digital disclosure and machine-readable data. </w:t>
      </w:r>
      <w:r>
        <w:t>Publish XBRL or structured CSV supplements so researchers, rating agencies, and federal partners can monitor HFAs in near real time.</w:t>
      </w:r>
    </w:p>
    <w:p>
      <w:pPr>
        <w:pStyle w:val="ListNumber"/>
      </w:pPr>
      <w:r>
        <w:rPr>
          <w:b/>
        </w:rPr>
        <w:t xml:space="preserve">Focus on the missing middle (80%–120% AMI). </w:t>
      </w:r>
      <w:r>
        <w:t>Track middle-income projects separately in financial planning—avoid concentrating all resources at the lowest AMI tier and market-rate ends, squeezing out teachers, nurses, and similar workers.</w:t>
      </w:r>
    </w:p>
    <w:p>
      <w:pPr>
        <w:pStyle w:val="Heading1"/>
      </w:pPr>
      <w:r>
        <w:t>VI. Data Coverage &amp; Download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Core metrics not auto-extracted; manual PDF review recommended</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not auto-extracted; manual PDF review recommended</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State-level ACFR/consolidated report; excluded from HFA-specific rankings</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State-level ACFR/consolidated report; excluded from HFA-specific rankings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Core metrics not auto-extracted; manual PDF review recommended</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Core metrics not auto-extracted; manual PDF review recommended</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w:t>
            </w:r>
          </w:p>
        </w:tc>
      </w:tr>
      <w:tr>
        <w:tc>
          <w:tcPr>
            <w:tcW w:type="dxa" w:w="1728"/>
          </w:tcPr>
          <w:p>
            <w:r>
              <w:t>MS</w:t>
            </w:r>
          </w:p>
        </w:tc>
        <w:tc>
          <w:tcPr>
            <w:tcW w:type="dxa" w:w="1728"/>
          </w:tcPr>
          <w:p>
            <w:r>
              <w:t>MHC</w:t>
            </w:r>
          </w:p>
        </w:tc>
        <w:tc>
          <w:tcPr>
            <w:tcW w:type="dxa" w:w="1728"/>
          </w:tcPr>
          <w:p>
            <w:r>
              <w:t>Not available</w:t>
            </w:r>
          </w:p>
        </w:tc>
        <w:tc>
          <w:tcPr>
            <w:tcW w:type="dxa" w:w="1728"/>
          </w:tcPr>
          <w:p>
            <w:r>
              <w:t>-</w:t>
            </w:r>
          </w:p>
        </w:tc>
        <w:tc>
          <w:tcPr>
            <w:tcW w:type="dxa" w:w="1728"/>
          </w:tcPr>
          <w:p>
            <w:r>
              <w:t>FY2025 PDF link not found</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w:t>
            </w:r>
          </w:p>
        </w:tc>
      </w:tr>
      <w:tr>
        <w:tc>
          <w:tcPr>
            <w:tcW w:type="dxa" w:w="1728"/>
          </w:tcPr>
          <w:p>
            <w:r>
              <w:t>NH</w:t>
            </w:r>
          </w:p>
        </w:tc>
        <w:tc>
          <w:tcPr>
            <w:tcW w:type="dxa" w:w="1728"/>
          </w:tcPr>
          <w:p>
            <w:r>
              <w:t>NHHousing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Core metrics not auto-extracted; manual PDF review recommended</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HCR</w:t>
            </w:r>
          </w:p>
        </w:tc>
        <w:tc>
          <w:tcPr>
            <w:tcW w:type="dxa" w:w="1728"/>
          </w:tcPr>
          <w:p>
            <w:r>
              <w:t>Not available</w:t>
            </w:r>
          </w:p>
        </w:tc>
        <w:tc>
          <w:tcPr>
            <w:tcW w:type="dxa" w:w="1728"/>
          </w:tcPr>
          <w:p>
            <w:r>
              <w:t>-</w:t>
            </w:r>
          </w:p>
        </w:tc>
        <w:tc>
          <w:tcPr>
            <w:tcW w:type="dxa" w:w="1728"/>
          </w:tcPr>
          <w:p>
            <w:r>
              <w:t>FY2025 PDF link not found</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Core metrics not auto-extracted; manual PDF review recommended</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not auto-extracted; manual PDF review recommended; State-level ACFR/consolidated report; excluded from HFA-specific rankings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Core metrics not auto-extracted; manual PDF review recommended</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Core metrics not auto-extracted; manual PDF review recommended</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Core metrics not auto-extracted; manual PDF review recommended</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Core metrics not auto-extracted; manual PDF review recommended</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 (Watch List)</w:t>
      </w:r>
    </w:p>
    <w:p>
      <w:r>
        <w:t>The following 8 states/territories had no locatable FY2025 ACFR/financial statement in public channels as of this report—often because audits were incomplete, only FY2024 was posted, or filings sit behind non-standard portals.</w:t>
      </w:r>
    </w:p>
    <w:p>
      <w:pPr>
        <w:pStyle w:val="ListBullet"/>
      </w:pPr>
      <w:r>
        <w:t>AZ - Arizona Department of Housing (ADOH)</w:t>
      </w:r>
    </w:p>
    <w:p>
      <w:pPr>
        <w:pStyle w:val="ListBullet"/>
      </w:pPr>
      <w:r>
        <w:t>MS - Mississippi Home Corporation (MHC)</w:t>
      </w:r>
    </w:p>
    <w:p>
      <w:pPr>
        <w:pStyle w:val="ListBullet"/>
      </w:pPr>
      <w:r>
        <w:t>NV - Nevada Housing Division (NHD)</w:t>
      </w:r>
    </w:p>
    <w:p>
      <w:pPr>
        <w:pStyle w:val="ListBullet"/>
      </w:pPr>
      <w:r>
        <w:t>NH - New Hampshire Housing Finance Authority (NHHousing)</w:t>
      </w:r>
    </w:p>
    <w:p>
      <w:pPr>
        <w:pStyle w:val="ListBullet"/>
      </w:pPr>
      <w:r>
        <w:t>NJ - New Jersey Housing and Mortgage Finance Agency (NJHMFA)</w:t>
      </w:r>
    </w:p>
    <w:p>
      <w:pPr>
        <w:pStyle w:val="ListBullet"/>
      </w:pPr>
      <w:r>
        <w:t>NY - New York State Homes and Community Renewal (HCR)</w:t>
      </w:r>
    </w:p>
    <w:p>
      <w:pPr>
        <w:pStyle w:val="ListBullet"/>
      </w:pPr>
      <w:r>
        <w:t>OR - Oregon Housing and Community Services (OHCS)</w:t>
      </w:r>
    </w:p>
    <w:p>
      <w:pPr>
        <w:pStyle w:val="ListBullet"/>
      </w:pPr>
      <w:r>
        <w:t>RI - Rhode Island Housing (RIHousing)</w:t>
      </w:r>
    </w:p>
    <w:p>
      <w:pPr>
        <w:pStyle w:val="Heading1"/>
      </w:pPr>
      <w:r>
        <w:t>Appendix: Methodology</w:t>
      </w:r>
    </w:p>
    <w:p>
      <w:r>
        <w:t>Data sources: FY2025 ACFRs or audited financial statement PDFs published on state HFA or state auditor websites. Metric extraction prioritizes MD&amp;A Financial Highlights and Statement of Net Position lines for Total assets, Total liabilities, and Total net position (typically in thousands of dollars). Limitation: disclosure bases differ (governmental vs. business-type vs. blended); cross-state comparisons should be read with footnotes.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