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FY2025 美国州级住房金融机构</w:t>
        <w:br/>
        <w:t>综合年报与财务报表分析</w:t>
      </w:r>
    </w:p>
    <w:p>
      <w:pPr>
        <w:jc w:val="center"/>
      </w:pPr>
      <w:r>
        <w:rPr>
          <w:i/>
        </w:rPr>
        <w:t>编制日期：2026年08月07日　｜　覆盖 51 个州／特区　｜　已取得 43 份 FY2025 报告</w:t>
      </w:r>
    </w:p>
    <w:p>
      <w:pPr>
        <w:pStyle w:val="Heading1"/>
      </w:pPr>
      <w:r>
        <w:t>一、执行摘要</w:t>
      </w:r>
    </w:p>
    <w:p>
      <w:r>
        <w:t>2025 财年（多数机构会计年度截至 2025 年 6 月 30 日，少数按自然年结算）对美国各州住房金融机构（State Housing Finance Agencies，以下简称 HFA）意义重大：市场利率有所回落，低收入住房税收抵免（LIHTC）竞争加剧，首套房支持计划继续扩大。本报告汇集并比较全美 50 个州及哥伦比亚特区 HFA 公开发布的综合年报（ACFR）与经审计财务报表。截至编制之日，共取得 43 份 FY2025 报告，覆盖率约 84%。</w:t>
      </w:r>
    </w:p>
    <w:p>
      <w:r>
        <w:t>在已提取到核心指标的 42 家机构中，净资产合计约 $42.76B，总资产合计约 $147.97B。上述合计仅反映行业规模量级；因各机构披露口径不尽相同，不宜与合并财务报表直接比照。州级 HFA 大体充当以债券融资为支撑的中介机构：资产端多为抵押贷款与开发贷款，负债端则以住房债券为主。净资产率（净资产÷总资产）是观察财务缓冲与抗风险能力的重要指标。</w:t>
      </w:r>
    </w:p>
    <w:p>
      <w:r>
        <w:t>净资产同比增幅最高的是 LA（LHC），达 +31.9%，期末净资产为 $821.7M。此类增长往往与债券发行增加、贷款组合扩张或公允价值回升相伴出现，解读时应结合住房产出指标（如融资套数）一并审视。</w:t>
      </w:r>
    </w:p>
    <w:p>
      <w:pPr>
        <w:pStyle w:val="Heading1"/>
      </w:pPr>
      <w:r>
        <w:t>二、排行榜</w:t>
      </w:r>
    </w:p>
    <w:p>
      <w:pPr>
        <w:pStyle w:val="Heading2"/>
      </w:pPr>
      <w:r>
        <w:t>2.1 净资产前十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FY2025 净资产</w:t>
            </w:r>
          </w:p>
        </w:tc>
        <w:tc>
          <w:tcPr>
            <w:tcW w:type="dxa" w:w="1440"/>
          </w:tcPr>
          <w:p>
            <w:r>
              <w:t>FY2025 总资产</w:t>
            </w:r>
          </w:p>
        </w:tc>
        <w:tc>
          <w:tcPr>
            <w:tcW w:type="dxa" w:w="1440"/>
          </w:tcPr>
          <w:p>
            <w:r>
              <w:t>净资产率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FL</w:t>
            </w:r>
          </w:p>
        </w:tc>
        <w:tc>
          <w:tcPr>
            <w:tcW w:type="dxa" w:w="1440"/>
          </w:tcPr>
          <w:p>
            <w:r>
              <w:t>FloridaHousing</w:t>
            </w:r>
          </w:p>
        </w:tc>
        <w:tc>
          <w:tcPr>
            <w:tcW w:type="dxa" w:w="1440"/>
          </w:tcPr>
          <w:p>
            <w:r>
              <w:t>$4,771.1M</w:t>
            </w:r>
          </w:p>
        </w:tc>
        <w:tc>
          <w:tcPr>
            <w:tcW w:type="dxa" w:w="1440"/>
          </w:tcPr>
          <w:p>
            <w:r>
              <w:t>$7,722.4M</w:t>
            </w:r>
          </w:p>
        </w:tc>
        <w:tc>
          <w:tcPr>
            <w:tcW w:type="dxa" w:w="1440"/>
          </w:tcPr>
          <w:p>
            <w:r>
              <w:t>+61.8%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VA</w:t>
            </w:r>
          </w:p>
        </w:tc>
        <w:tc>
          <w:tcPr>
            <w:tcW w:type="dxa" w:w="1440"/>
          </w:tcPr>
          <w:p>
            <w:r>
              <w:t>VirginiaHousing</w:t>
            </w:r>
          </w:p>
        </w:tc>
        <w:tc>
          <w:tcPr>
            <w:tcW w:type="dxa" w:w="1440"/>
          </w:tcPr>
          <w:p>
            <w:r>
              <w:t>$3,963.1M</w:t>
            </w:r>
          </w:p>
        </w:tc>
        <w:tc>
          <w:tcPr>
            <w:tcW w:type="dxa" w:w="1440"/>
          </w:tcPr>
          <w:p>
            <w:r>
              <w:t>$12,350.1M</w:t>
            </w:r>
          </w:p>
        </w:tc>
        <w:tc>
          <w:tcPr>
            <w:tcW w:type="dxa" w:w="1440"/>
          </w:tcPr>
          <w:p>
            <w:r>
              <w:t>+32.1%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</w:t>
            </w:r>
          </w:p>
        </w:tc>
        <w:tc>
          <w:tcPr>
            <w:tcW w:type="dxa" w:w="1440"/>
          </w:tcPr>
          <w:p>
            <w:r>
              <w:t>CalHFA</w:t>
            </w:r>
          </w:p>
        </w:tc>
        <w:tc>
          <w:tcPr>
            <w:tcW w:type="dxa" w:w="1440"/>
          </w:tcPr>
          <w:p>
            <w:r>
              <w:t>$3,442.9M</w:t>
            </w:r>
          </w:p>
        </w:tc>
        <w:tc>
          <w:tcPr>
            <w:tcW w:type="dxa" w:w="1440"/>
          </w:tcPr>
          <w:p>
            <w:r>
              <w:t>$4,980.0M</w:t>
            </w:r>
          </w:p>
        </w:tc>
        <w:tc>
          <w:tcPr>
            <w:tcW w:type="dxa" w:w="1440"/>
          </w:tcPr>
          <w:p>
            <w:r>
              <w:t>+69.1%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HI</w:t>
            </w:r>
          </w:p>
        </w:tc>
        <w:tc>
          <w:tcPr>
            <w:tcW w:type="dxa" w:w="1440"/>
          </w:tcPr>
          <w:p>
            <w:r>
              <w:t>HHFDC</w:t>
            </w:r>
          </w:p>
        </w:tc>
        <w:tc>
          <w:tcPr>
            <w:tcW w:type="dxa" w:w="1440"/>
          </w:tcPr>
          <w:p>
            <w:r>
              <w:t>$2,653.2M</w:t>
            </w:r>
          </w:p>
        </w:tc>
        <w:tc>
          <w:tcPr>
            <w:tcW w:type="dxa" w:w="1440"/>
          </w:tcPr>
          <w:p>
            <w:r>
              <w:t>$2,708.7M</w:t>
            </w:r>
          </w:p>
        </w:tc>
        <w:tc>
          <w:tcPr>
            <w:tcW w:type="dxa" w:w="1440"/>
          </w:tcPr>
          <w:p>
            <w:r>
              <w:t>+98.0%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</w:t>
            </w:r>
          </w:p>
        </w:tc>
        <w:tc>
          <w:tcPr>
            <w:tcW w:type="dxa" w:w="1440"/>
          </w:tcPr>
          <w:p>
            <w:r>
              <w:t>MassHousing</w:t>
            </w:r>
          </w:p>
        </w:tc>
        <w:tc>
          <w:tcPr>
            <w:tcW w:type="dxa" w:w="1440"/>
          </w:tcPr>
          <w:p>
            <w:r>
              <w:t>$2,083.9M</w:t>
            </w:r>
          </w:p>
        </w:tc>
        <w:tc>
          <w:tcPr>
            <w:tcW w:type="dxa" w:w="1440"/>
          </w:tcPr>
          <w:p>
            <w:r>
              <w:t>$8,079.7M</w:t>
            </w:r>
          </w:p>
        </w:tc>
        <w:tc>
          <w:tcPr>
            <w:tcW w:type="dxa" w:w="1440"/>
          </w:tcPr>
          <w:p>
            <w:r>
              <w:t>+25.8%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IA</w:t>
            </w:r>
          </w:p>
        </w:tc>
        <w:tc>
          <w:tcPr>
            <w:tcW w:type="dxa" w:w="1440"/>
          </w:tcPr>
          <w:p>
            <w:r>
              <w:t>IFA</w:t>
            </w:r>
          </w:p>
        </w:tc>
        <w:tc>
          <w:tcPr>
            <w:tcW w:type="dxa" w:w="1440"/>
          </w:tcPr>
          <w:p>
            <w:r>
              <w:t>$1,664.6M</w:t>
            </w:r>
          </w:p>
        </w:tc>
        <w:tc>
          <w:tcPr>
            <w:tcW w:type="dxa" w:w="1440"/>
          </w:tcPr>
          <w:p>
            <w:r>
              <w:t>$6,173.2M</w:t>
            </w:r>
          </w:p>
        </w:tc>
        <w:tc>
          <w:tcPr>
            <w:tcW w:type="dxa" w:w="1440"/>
          </w:tcPr>
          <w:p>
            <w:r>
              <w:t>+27.0%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MN</w:t>
            </w:r>
          </w:p>
        </w:tc>
        <w:tc>
          <w:tcPr>
            <w:tcW w:type="dxa" w:w="1440"/>
          </w:tcPr>
          <w:p>
            <w:r>
              <w:t>MNHousing</w:t>
            </w:r>
          </w:p>
        </w:tc>
        <w:tc>
          <w:tcPr>
            <w:tcW w:type="dxa" w:w="1440"/>
          </w:tcPr>
          <w:p>
            <w:r>
              <w:t>$1,649.4M</w:t>
            </w:r>
          </w:p>
        </w:tc>
        <w:tc>
          <w:tcPr>
            <w:tcW w:type="dxa" w:w="1440"/>
          </w:tcPr>
          <w:p>
            <w:r>
              <w:t>$8,543.3M</w:t>
            </w:r>
          </w:p>
        </w:tc>
        <w:tc>
          <w:tcPr>
            <w:tcW w:type="dxa" w:w="1440"/>
          </w:tcPr>
          <w:p>
            <w:r>
              <w:t>+19.3%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IL</w:t>
            </w:r>
          </w:p>
        </w:tc>
        <w:tc>
          <w:tcPr>
            <w:tcW w:type="dxa" w:w="1440"/>
          </w:tcPr>
          <w:p>
            <w:r>
              <w:t>IHDA</w:t>
            </w:r>
          </w:p>
        </w:tc>
        <w:tc>
          <w:tcPr>
            <w:tcW w:type="dxa" w:w="1440"/>
          </w:tcPr>
          <w:p>
            <w:r>
              <w:t>$1,533.7M</w:t>
            </w:r>
          </w:p>
        </w:tc>
        <w:tc>
          <w:tcPr>
            <w:tcW w:type="dxa" w:w="1440"/>
          </w:tcPr>
          <w:p>
            <w:r>
              <w:t>$7,846.5M</w:t>
            </w:r>
          </w:p>
        </w:tc>
        <w:tc>
          <w:tcPr>
            <w:tcW w:type="dxa" w:w="1440"/>
          </w:tcPr>
          <w:p>
            <w:r>
              <w:t>+19.5%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MI</w:t>
            </w:r>
          </w:p>
        </w:tc>
        <w:tc>
          <w:tcPr>
            <w:tcW w:type="dxa" w:w="1440"/>
          </w:tcPr>
          <w:p>
            <w:r>
              <w:t>MSHDA</w:t>
            </w:r>
          </w:p>
        </w:tc>
        <w:tc>
          <w:tcPr>
            <w:tcW w:type="dxa" w:w="1440"/>
          </w:tcPr>
          <w:p>
            <w:r>
              <w:t>$1,292.0M</w:t>
            </w:r>
          </w:p>
        </w:tc>
        <w:tc>
          <w:tcPr>
            <w:tcW w:type="dxa" w:w="1440"/>
          </w:tcPr>
          <w:p>
            <w:r>
              <w:t>$8,027.8M</w:t>
            </w:r>
          </w:p>
        </w:tc>
        <w:tc>
          <w:tcPr>
            <w:tcW w:type="dxa" w:w="1440"/>
          </w:tcPr>
          <w:p>
            <w:r>
              <w:t>+16.1%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WI</w:t>
            </w:r>
          </w:p>
        </w:tc>
        <w:tc>
          <w:tcPr>
            <w:tcW w:type="dxa" w:w="1440"/>
          </w:tcPr>
          <w:p>
            <w:r>
              <w:t>WHEDA</w:t>
            </w:r>
          </w:p>
        </w:tc>
        <w:tc>
          <w:tcPr>
            <w:tcW w:type="dxa" w:w="1440"/>
          </w:tcPr>
          <w:p>
            <w:r>
              <w:t>$1,134.1M</w:t>
            </w:r>
          </w:p>
        </w:tc>
        <w:tc>
          <w:tcPr>
            <w:tcW w:type="dxa" w:w="1440"/>
          </w:tcPr>
          <w:p>
            <w:r>
              <w:t>$4,467.4M</w:t>
            </w:r>
          </w:p>
        </w:tc>
        <w:tc>
          <w:tcPr>
            <w:tcW w:type="dxa" w:w="1440"/>
          </w:tcPr>
          <w:p>
            <w:r>
              <w:t>+25.4%</w:t>
            </w:r>
          </w:p>
        </w:tc>
      </w:tr>
    </w:tbl>
    <w:p>
      <w:r>
        <w:t>按净资产计，佛罗里达、弗吉尼亚与加利福尼亚居前，其后为夏威夷与马萨诸塞。大型机构通常同时开展多户住房收入债券与单户抵押贷款业务。规模本身并非绩效打分，但往往对应更强的市场融资能力、更低的边际资金成本，以及在联邦政策调整时承接大型可负担住房交易的更大空间。</w:t>
      </w:r>
    </w:p>
    <w:p>
      <w:pPr>
        <w:pStyle w:val="Heading2"/>
      </w:pPr>
      <w:r>
        <w:t>2.2 净资产增速前十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净资产变动</w:t>
            </w:r>
          </w:p>
        </w:tc>
        <w:tc>
          <w:tcPr>
            <w:tcW w:type="dxa" w:w="1440"/>
          </w:tcPr>
          <w:p>
            <w:r>
              <w:t>增长率</w:t>
            </w:r>
          </w:p>
        </w:tc>
        <w:tc>
          <w:tcPr>
            <w:tcW w:type="dxa" w:w="1440"/>
          </w:tcPr>
          <w:p>
            <w:r>
              <w:t>FY2025 净资产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</w:t>
            </w:r>
          </w:p>
        </w:tc>
        <w:tc>
          <w:tcPr>
            <w:tcW w:type="dxa" w:w="1440"/>
          </w:tcPr>
          <w:p>
            <w:r>
              <w:t>LHC</w:t>
            </w:r>
          </w:p>
        </w:tc>
        <w:tc>
          <w:tcPr>
            <w:tcW w:type="dxa" w:w="1440"/>
          </w:tcPr>
          <w:p>
            <w:r>
              <w:t>$198.7M</w:t>
            </w:r>
          </w:p>
        </w:tc>
        <w:tc>
          <w:tcPr>
            <w:tcW w:type="dxa" w:w="1440"/>
          </w:tcPr>
          <w:p>
            <w:r>
              <w:t>+31.9%</w:t>
            </w:r>
          </w:p>
        </w:tc>
        <w:tc>
          <w:tcPr>
            <w:tcW w:type="dxa" w:w="1440"/>
          </w:tcPr>
          <w:p>
            <w:r>
              <w:t>$821.7M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CT</w:t>
            </w:r>
          </w:p>
        </w:tc>
        <w:tc>
          <w:tcPr>
            <w:tcW w:type="dxa" w:w="1440"/>
          </w:tcPr>
          <w:p>
            <w:r>
              <w:t>CHFA</w:t>
            </w:r>
          </w:p>
        </w:tc>
        <w:tc>
          <w:tcPr>
            <w:tcW w:type="dxa" w:w="1440"/>
          </w:tcPr>
          <w:p>
            <w:r>
              <w:t>$192.6M</w:t>
            </w:r>
          </w:p>
        </w:tc>
        <w:tc>
          <w:tcPr>
            <w:tcW w:type="dxa" w:w="1440"/>
          </w:tcPr>
          <w:p>
            <w:r>
              <w:t>+25.2%</w:t>
            </w:r>
          </w:p>
        </w:tc>
        <w:tc>
          <w:tcPr>
            <w:tcW w:type="dxa" w:w="1440"/>
          </w:tcPr>
          <w:p>
            <w:r>
              <w:t>$957.0M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IHCDA</w:t>
            </w:r>
          </w:p>
        </w:tc>
        <w:tc>
          <w:tcPr>
            <w:tcW w:type="dxa" w:w="1440"/>
          </w:tcPr>
          <w:p>
            <w:r>
              <w:t>$101.6M</w:t>
            </w:r>
          </w:p>
        </w:tc>
        <w:tc>
          <w:tcPr>
            <w:tcW w:type="dxa" w:w="1440"/>
          </w:tcPr>
          <w:p>
            <w:r>
              <w:t>+20.4%</w:t>
            </w:r>
          </w:p>
        </w:tc>
        <w:tc>
          <w:tcPr>
            <w:tcW w:type="dxa" w:w="1440"/>
          </w:tcPr>
          <w:p>
            <w:r>
              <w:t>$599.5M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OH</w:t>
            </w:r>
          </w:p>
        </w:tc>
        <w:tc>
          <w:tcPr>
            <w:tcW w:type="dxa" w:w="1440"/>
          </w:tcPr>
          <w:p>
            <w:r>
              <w:t>OHFA</w:t>
            </w:r>
          </w:p>
        </w:tc>
        <w:tc>
          <w:tcPr>
            <w:tcW w:type="dxa" w:w="1440"/>
          </w:tcPr>
          <w:p>
            <w:r>
              <w:t>$86.9M</w:t>
            </w:r>
          </w:p>
        </w:tc>
        <w:tc>
          <w:tcPr>
            <w:tcW w:type="dxa" w:w="1440"/>
          </w:tcPr>
          <w:p>
            <w:r>
              <w:t>+19.8%</w:t>
            </w:r>
          </w:p>
        </w:tc>
        <w:tc>
          <w:tcPr>
            <w:tcW w:type="dxa" w:w="1440"/>
          </w:tcPr>
          <w:p>
            <w:r>
              <w:t>$526.1M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MN</w:t>
            </w:r>
          </w:p>
        </w:tc>
        <w:tc>
          <w:tcPr>
            <w:tcW w:type="dxa" w:w="1440"/>
          </w:tcPr>
          <w:p>
            <w:r>
              <w:t>MNHousing</w:t>
            </w:r>
          </w:p>
        </w:tc>
        <w:tc>
          <w:tcPr>
            <w:tcW w:type="dxa" w:w="1440"/>
          </w:tcPr>
          <w:p>
            <w:r>
              <w:t>$259.9M</w:t>
            </w:r>
          </w:p>
        </w:tc>
        <w:tc>
          <w:tcPr>
            <w:tcW w:type="dxa" w:w="1440"/>
          </w:tcPr>
          <w:p>
            <w:r>
              <w:t>+18.7%</w:t>
            </w:r>
          </w:p>
        </w:tc>
        <w:tc>
          <w:tcPr>
            <w:tcW w:type="dxa" w:w="1440"/>
          </w:tcPr>
          <w:p>
            <w:r>
              <w:t>$1,649.4M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UT</w:t>
            </w:r>
          </w:p>
        </w:tc>
        <w:tc>
          <w:tcPr>
            <w:tcW w:type="dxa" w:w="1440"/>
          </w:tcPr>
          <w:p>
            <w:r>
              <w:t>UtahHousing</w:t>
            </w:r>
          </w:p>
        </w:tc>
        <w:tc>
          <w:tcPr>
            <w:tcW w:type="dxa" w:w="1440"/>
          </w:tcPr>
          <w:p>
            <w:r>
              <w:t>$96.2M</w:t>
            </w:r>
          </w:p>
        </w:tc>
        <w:tc>
          <w:tcPr>
            <w:tcW w:type="dxa" w:w="1440"/>
          </w:tcPr>
          <w:p>
            <w:r>
              <w:t>+18.7%</w:t>
            </w:r>
          </w:p>
        </w:tc>
        <w:tc>
          <w:tcPr>
            <w:tcW w:type="dxa" w:w="1440"/>
          </w:tcPr>
          <w:p>
            <w:r>
              <w:t>$610.6M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WI</w:t>
            </w:r>
          </w:p>
        </w:tc>
        <w:tc>
          <w:tcPr>
            <w:tcW w:type="dxa" w:w="1440"/>
          </w:tcPr>
          <w:p>
            <w:r>
              <w:t>WHEDA</w:t>
            </w:r>
          </w:p>
        </w:tc>
        <w:tc>
          <w:tcPr>
            <w:tcW w:type="dxa" w:w="1440"/>
          </w:tcPr>
          <w:p>
            <w:r>
              <w:t>$169.7M</w:t>
            </w:r>
          </w:p>
        </w:tc>
        <w:tc>
          <w:tcPr>
            <w:tcW w:type="dxa" w:w="1440"/>
          </w:tcPr>
          <w:p>
            <w:r>
              <w:t>+17.6%</w:t>
            </w:r>
          </w:p>
        </w:tc>
        <w:tc>
          <w:tcPr>
            <w:tcW w:type="dxa" w:w="1440"/>
          </w:tcPr>
          <w:p>
            <w:r>
              <w:t>$1,134.1M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</w:t>
            </w:r>
          </w:p>
        </w:tc>
        <w:tc>
          <w:tcPr>
            <w:tcW w:type="dxa" w:w="1440"/>
          </w:tcPr>
          <w:p>
            <w:r>
              <w:t>CHFA</w:t>
            </w:r>
          </w:p>
        </w:tc>
        <w:tc>
          <w:tcPr>
            <w:tcW w:type="dxa" w:w="1440"/>
          </w:tcPr>
          <w:p>
            <w:r>
              <w:t>$143.3M</w:t>
            </w:r>
          </w:p>
        </w:tc>
        <w:tc>
          <w:tcPr>
            <w:tcW w:type="dxa" w:w="1440"/>
          </w:tcPr>
          <w:p>
            <w:r>
              <w:t>+17.3%</w:t>
            </w:r>
          </w:p>
        </w:tc>
        <w:tc>
          <w:tcPr>
            <w:tcW w:type="dxa" w:w="1440"/>
          </w:tcPr>
          <w:p>
            <w:r>
              <w:t>$971.7M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</w:t>
            </w:r>
          </w:p>
        </w:tc>
        <w:tc>
          <w:tcPr>
            <w:tcW w:type="dxa" w:w="1440"/>
          </w:tcPr>
          <w:p>
            <w:r>
              <w:t>MassHousing</w:t>
            </w:r>
          </w:p>
        </w:tc>
        <w:tc>
          <w:tcPr>
            <w:tcW w:type="dxa" w:w="1440"/>
          </w:tcPr>
          <w:p>
            <w:r>
              <w:t>$260.7M</w:t>
            </w:r>
          </w:p>
        </w:tc>
        <w:tc>
          <w:tcPr>
            <w:tcW w:type="dxa" w:w="1440"/>
          </w:tcPr>
          <w:p>
            <w:r>
              <w:t>+14.3%</w:t>
            </w:r>
          </w:p>
        </w:tc>
        <w:tc>
          <w:tcPr>
            <w:tcW w:type="dxa" w:w="1440"/>
          </w:tcPr>
          <w:p>
            <w:r>
              <w:t>$2,083.9M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NCHFA</w:t>
            </w:r>
          </w:p>
        </w:tc>
        <w:tc>
          <w:tcPr>
            <w:tcW w:type="dxa" w:w="1440"/>
          </w:tcPr>
          <w:p>
            <w:r>
              <w:t>$122.6M</w:t>
            </w:r>
          </w:p>
        </w:tc>
        <w:tc>
          <w:tcPr>
            <w:tcW w:type="dxa" w:w="1440"/>
          </w:tcPr>
          <w:p>
            <w:r>
              <w:t>+14.3%</w:t>
            </w:r>
          </w:p>
        </w:tc>
        <w:tc>
          <w:tcPr>
            <w:tcW w:type="dxa" w:w="1440"/>
          </w:tcPr>
          <w:p>
            <w:r>
              <w:t>$979.8M</w:t>
            </w:r>
          </w:p>
        </w:tc>
      </w:tr>
    </w:tbl>
    <w:p>
      <w:r>
        <w:t>净资产同比增速以路易斯安那最高；康涅狄格、印第安纳、俄亥俄、明尼苏达与犹他亦录得约百分之十五至二十五的增幅。较快增长常见于债券发行回升、贷款损失准备转回或公允价值收益，以及州级购房支持计划带来的手续费与利差改善。若增幅主要来自公允价值变动而非经营成果，持续性可能较弱。</w:t>
      </w:r>
    </w:p>
    <w:p>
      <w:pPr>
        <w:pStyle w:val="Heading2"/>
      </w:pPr>
      <w:r>
        <w:t>2.3 总资产前十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州</w:t>
            </w:r>
          </w:p>
        </w:tc>
        <w:tc>
          <w:tcPr>
            <w:tcW w:type="dxa" w:w="1728"/>
          </w:tcPr>
          <w:p>
            <w:r>
              <w:t>机构</w:t>
            </w:r>
          </w:p>
        </w:tc>
        <w:tc>
          <w:tcPr>
            <w:tcW w:type="dxa" w:w="1728"/>
          </w:tcPr>
          <w:p>
            <w:r>
              <w:t>FY2025 总资产</w:t>
            </w:r>
          </w:p>
        </w:tc>
        <w:tc>
          <w:tcPr>
            <w:tcW w:type="dxa" w:w="1728"/>
          </w:tcPr>
          <w:p>
            <w:r>
              <w:t>FY2025 净资产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VirginiaHousing</w:t>
            </w:r>
          </w:p>
        </w:tc>
        <w:tc>
          <w:tcPr>
            <w:tcW w:type="dxa" w:w="1728"/>
          </w:tcPr>
          <w:p>
            <w:r>
              <w:t>$12,350.1M</w:t>
            </w:r>
          </w:p>
        </w:tc>
        <w:tc>
          <w:tcPr>
            <w:tcW w:type="dxa" w:w="1728"/>
          </w:tcPr>
          <w:p>
            <w:r>
              <w:t>$3,963.1M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MN</w:t>
            </w:r>
          </w:p>
        </w:tc>
        <w:tc>
          <w:tcPr>
            <w:tcW w:type="dxa" w:w="1728"/>
          </w:tcPr>
          <w:p>
            <w:r>
              <w:t>MNHousing</w:t>
            </w:r>
          </w:p>
        </w:tc>
        <w:tc>
          <w:tcPr>
            <w:tcW w:type="dxa" w:w="1728"/>
          </w:tcPr>
          <w:p>
            <w:r>
              <w:t>$8,543.3M</w:t>
            </w:r>
          </w:p>
        </w:tc>
        <w:tc>
          <w:tcPr>
            <w:tcW w:type="dxa" w:w="1728"/>
          </w:tcPr>
          <w:p>
            <w:r>
              <w:t>$1,649.4M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$8,385.3M</w:t>
            </w:r>
          </w:p>
        </w:tc>
        <w:tc>
          <w:tcPr>
            <w:tcW w:type="dxa" w:w="1728"/>
          </w:tcPr>
          <w:p>
            <w:r>
              <w:t>$971.7M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CT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$8,122.4M</w:t>
            </w:r>
          </w:p>
        </w:tc>
        <w:tc>
          <w:tcPr>
            <w:tcW w:type="dxa" w:w="1728"/>
          </w:tcPr>
          <w:p>
            <w:r>
              <w:t>$957.0M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</w:t>
            </w:r>
          </w:p>
        </w:tc>
        <w:tc>
          <w:tcPr>
            <w:tcW w:type="dxa" w:w="1728"/>
          </w:tcPr>
          <w:p>
            <w:r>
              <w:t>MassHousing</w:t>
            </w:r>
          </w:p>
        </w:tc>
        <w:tc>
          <w:tcPr>
            <w:tcW w:type="dxa" w:w="1728"/>
          </w:tcPr>
          <w:p>
            <w:r>
              <w:t>$8,079.7M</w:t>
            </w:r>
          </w:p>
        </w:tc>
        <w:tc>
          <w:tcPr>
            <w:tcW w:type="dxa" w:w="1728"/>
          </w:tcPr>
          <w:p>
            <w:r>
              <w:t>$2,083.9M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MI</w:t>
            </w:r>
          </w:p>
        </w:tc>
        <w:tc>
          <w:tcPr>
            <w:tcW w:type="dxa" w:w="1728"/>
          </w:tcPr>
          <w:p>
            <w:r>
              <w:t>MSHDA</w:t>
            </w:r>
          </w:p>
        </w:tc>
        <w:tc>
          <w:tcPr>
            <w:tcW w:type="dxa" w:w="1728"/>
          </w:tcPr>
          <w:p>
            <w:r>
              <w:t>$8,027.8M</w:t>
            </w:r>
          </w:p>
        </w:tc>
        <w:tc>
          <w:tcPr>
            <w:tcW w:type="dxa" w:w="1728"/>
          </w:tcPr>
          <w:p>
            <w:r>
              <w:t>$1,292.0M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IHDA</w:t>
            </w:r>
          </w:p>
        </w:tc>
        <w:tc>
          <w:tcPr>
            <w:tcW w:type="dxa" w:w="1728"/>
          </w:tcPr>
          <w:p>
            <w:r>
              <w:t>$7,846.5M</w:t>
            </w:r>
          </w:p>
        </w:tc>
        <w:tc>
          <w:tcPr>
            <w:tcW w:type="dxa" w:w="1728"/>
          </w:tcPr>
          <w:p>
            <w:r>
              <w:t>$1,533.7M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FloridaHousing</w:t>
            </w:r>
          </w:p>
        </w:tc>
        <w:tc>
          <w:tcPr>
            <w:tcW w:type="dxa" w:w="1728"/>
          </w:tcPr>
          <w:p>
            <w:r>
              <w:t>$7,722.4M</w:t>
            </w:r>
          </w:p>
        </w:tc>
        <w:tc>
          <w:tcPr>
            <w:tcW w:type="dxa" w:w="1728"/>
          </w:tcPr>
          <w:p>
            <w:r>
              <w:t>$4,771.1M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IFA</w:t>
            </w:r>
          </w:p>
        </w:tc>
        <w:tc>
          <w:tcPr>
            <w:tcW w:type="dxa" w:w="1728"/>
          </w:tcPr>
          <w:p>
            <w:r>
              <w:t>$6,173.2M</w:t>
            </w:r>
          </w:p>
        </w:tc>
        <w:tc>
          <w:tcPr>
            <w:tcW w:type="dxa" w:w="1728"/>
          </w:tcPr>
          <w:p>
            <w:r>
              <w:t>$1,664.6M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IHFA</w:t>
            </w:r>
          </w:p>
        </w:tc>
        <w:tc>
          <w:tcPr>
            <w:tcW w:type="dxa" w:w="1728"/>
          </w:tcPr>
          <w:p>
            <w:r>
              <w:t>$6,026.2M</w:t>
            </w:r>
          </w:p>
        </w:tc>
        <w:tc>
          <w:tcPr>
            <w:tcW w:type="dxa" w:w="1728"/>
          </w:tcPr>
          <w:p>
            <w:r>
              <w:t>$716.0M</w:t>
            </w:r>
          </w:p>
        </w:tc>
      </w:tr>
    </w:tbl>
    <w:p>
      <w:pPr>
        <w:pStyle w:val="Heading2"/>
      </w:pPr>
      <w:r>
        <w:t>2.4 净资产率前十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州</w:t>
            </w:r>
          </w:p>
        </w:tc>
        <w:tc>
          <w:tcPr>
            <w:tcW w:type="dxa" w:w="1440"/>
          </w:tcPr>
          <w:p>
            <w:r>
              <w:t>机构</w:t>
            </w:r>
          </w:p>
        </w:tc>
        <w:tc>
          <w:tcPr>
            <w:tcW w:type="dxa" w:w="1440"/>
          </w:tcPr>
          <w:p>
            <w:r>
              <w:t>净资产率</w:t>
            </w:r>
          </w:p>
        </w:tc>
        <w:tc>
          <w:tcPr>
            <w:tcW w:type="dxa" w:w="1440"/>
          </w:tcPr>
          <w:p>
            <w:r>
              <w:t>FY2025 净资产</w:t>
            </w:r>
          </w:p>
        </w:tc>
        <w:tc>
          <w:tcPr>
            <w:tcW w:type="dxa" w:w="1440"/>
          </w:tcPr>
          <w:p>
            <w:r>
              <w:t>FY2025 总资产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HI</w:t>
            </w:r>
          </w:p>
        </w:tc>
        <w:tc>
          <w:tcPr>
            <w:tcW w:type="dxa" w:w="1440"/>
          </w:tcPr>
          <w:p>
            <w:r>
              <w:t>HHFDC</w:t>
            </w:r>
          </w:p>
        </w:tc>
        <w:tc>
          <w:tcPr>
            <w:tcW w:type="dxa" w:w="1440"/>
          </w:tcPr>
          <w:p>
            <w:r>
              <w:t>+98.0%</w:t>
            </w:r>
          </w:p>
        </w:tc>
        <w:tc>
          <w:tcPr>
            <w:tcW w:type="dxa" w:w="1440"/>
          </w:tcPr>
          <w:p>
            <w:r>
              <w:t>$2,653.2M</w:t>
            </w:r>
          </w:p>
        </w:tc>
        <w:tc>
          <w:tcPr>
            <w:tcW w:type="dxa" w:w="1440"/>
          </w:tcPr>
          <w:p>
            <w:r>
              <w:t>$2,708.7M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KS</w:t>
            </w:r>
          </w:p>
        </w:tc>
        <w:tc>
          <w:tcPr>
            <w:tcW w:type="dxa" w:w="1440"/>
          </w:tcPr>
          <w:p>
            <w:r>
              <w:t>KHRC</w:t>
            </w:r>
          </w:p>
        </w:tc>
        <w:tc>
          <w:tcPr>
            <w:tcW w:type="dxa" w:w="1440"/>
          </w:tcPr>
          <w:p>
            <w:r>
              <w:t>+81.2%</w:t>
            </w:r>
          </w:p>
        </w:tc>
        <w:tc>
          <w:tcPr>
            <w:tcW w:type="dxa" w:w="1440"/>
          </w:tcPr>
          <w:p>
            <w:r>
              <w:t>$78.7M</w:t>
            </w:r>
          </w:p>
        </w:tc>
        <w:tc>
          <w:tcPr>
            <w:tcW w:type="dxa" w:w="1440"/>
          </w:tcPr>
          <w:p>
            <w:r>
              <w:t>$96.9M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</w:t>
            </w:r>
          </w:p>
        </w:tc>
        <w:tc>
          <w:tcPr>
            <w:tcW w:type="dxa" w:w="1440"/>
          </w:tcPr>
          <w:p>
            <w:r>
              <w:t>CalHFA</w:t>
            </w:r>
          </w:p>
        </w:tc>
        <w:tc>
          <w:tcPr>
            <w:tcW w:type="dxa" w:w="1440"/>
          </w:tcPr>
          <w:p>
            <w:r>
              <w:t>+69.1%</w:t>
            </w:r>
          </w:p>
        </w:tc>
        <w:tc>
          <w:tcPr>
            <w:tcW w:type="dxa" w:w="1440"/>
          </w:tcPr>
          <w:p>
            <w:r>
              <w:t>$3,442.9M</w:t>
            </w:r>
          </w:p>
        </w:tc>
        <w:tc>
          <w:tcPr>
            <w:tcW w:type="dxa" w:w="1440"/>
          </w:tcPr>
          <w:p>
            <w:r>
              <w:t>$4,980.0M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FL</w:t>
            </w:r>
          </w:p>
        </w:tc>
        <w:tc>
          <w:tcPr>
            <w:tcW w:type="dxa" w:w="1440"/>
          </w:tcPr>
          <w:p>
            <w:r>
              <w:t>FloridaHousing</w:t>
            </w:r>
          </w:p>
        </w:tc>
        <w:tc>
          <w:tcPr>
            <w:tcW w:type="dxa" w:w="1440"/>
          </w:tcPr>
          <w:p>
            <w:r>
              <w:t>+61.8%</w:t>
            </w:r>
          </w:p>
        </w:tc>
        <w:tc>
          <w:tcPr>
            <w:tcW w:type="dxa" w:w="1440"/>
          </w:tcPr>
          <w:p>
            <w:r>
              <w:t>$4,771.1M</w:t>
            </w:r>
          </w:p>
        </w:tc>
        <w:tc>
          <w:tcPr>
            <w:tcW w:type="dxa" w:w="1440"/>
          </w:tcPr>
          <w:p>
            <w:r>
              <w:t>$7,722.4M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LA</w:t>
            </w:r>
          </w:p>
        </w:tc>
        <w:tc>
          <w:tcPr>
            <w:tcW w:type="dxa" w:w="1440"/>
          </w:tcPr>
          <w:p>
            <w:r>
              <w:t>LHC</w:t>
            </w:r>
          </w:p>
        </w:tc>
        <w:tc>
          <w:tcPr>
            <w:tcW w:type="dxa" w:w="1440"/>
          </w:tcPr>
          <w:p>
            <w:r>
              <w:t>+53.2%</w:t>
            </w:r>
          </w:p>
        </w:tc>
        <w:tc>
          <w:tcPr>
            <w:tcW w:type="dxa" w:w="1440"/>
          </w:tcPr>
          <w:p>
            <w:r>
              <w:t>$821.7M</w:t>
            </w:r>
          </w:p>
        </w:tc>
        <w:tc>
          <w:tcPr>
            <w:tcW w:type="dxa" w:w="1440"/>
          </w:tcPr>
          <w:p>
            <w:r>
              <w:t>$1,545.0M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DSHA</w:t>
            </w:r>
          </w:p>
        </w:tc>
        <w:tc>
          <w:tcPr>
            <w:tcW w:type="dxa" w:w="1440"/>
          </w:tcPr>
          <w:p>
            <w:r>
              <w:t>+46.8%</w:t>
            </w:r>
          </w:p>
        </w:tc>
        <w:tc>
          <w:tcPr>
            <w:tcW w:type="dxa" w:w="1440"/>
          </w:tcPr>
          <w:p>
            <w:r>
              <w:t>$732.5M</w:t>
            </w:r>
          </w:p>
        </w:tc>
        <w:tc>
          <w:tcPr>
            <w:tcW w:type="dxa" w:w="1440"/>
          </w:tcPr>
          <w:p>
            <w:r>
              <w:t>$1,564.9M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ADFA</w:t>
            </w:r>
          </w:p>
        </w:tc>
        <w:tc>
          <w:tcPr>
            <w:tcW w:type="dxa" w:w="1440"/>
          </w:tcPr>
          <w:p>
            <w:r>
              <w:t>+46.5%</w:t>
            </w:r>
          </w:p>
        </w:tc>
        <w:tc>
          <w:tcPr>
            <w:tcW w:type="dxa" w:w="1440"/>
          </w:tcPr>
          <w:p>
            <w:r>
              <w:t>$530.8M</w:t>
            </w:r>
          </w:p>
        </w:tc>
        <w:tc>
          <w:tcPr>
            <w:tcW w:type="dxa" w:w="1440"/>
          </w:tcPr>
          <w:p>
            <w:r>
              <w:t>$1,142.2M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WA</w:t>
            </w:r>
          </w:p>
        </w:tc>
        <w:tc>
          <w:tcPr>
            <w:tcW w:type="dxa" w:w="1440"/>
          </w:tcPr>
          <w:p>
            <w:r>
              <w:t>WSHFC</w:t>
            </w:r>
          </w:p>
        </w:tc>
        <w:tc>
          <w:tcPr>
            <w:tcW w:type="dxa" w:w="1440"/>
          </w:tcPr>
          <w:p>
            <w:r>
              <w:t>+42.1%</w:t>
            </w:r>
          </w:p>
        </w:tc>
        <w:tc>
          <w:tcPr>
            <w:tcW w:type="dxa" w:w="1440"/>
          </w:tcPr>
          <w:p>
            <w:r>
              <w:t>$1,064.1M</w:t>
            </w:r>
          </w:p>
        </w:tc>
        <w:tc>
          <w:tcPr>
            <w:tcW w:type="dxa" w:w="1440"/>
          </w:tcPr>
          <w:p>
            <w:r>
              <w:t>$2,525.7M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WV</w:t>
            </w:r>
          </w:p>
        </w:tc>
        <w:tc>
          <w:tcPr>
            <w:tcW w:type="dxa" w:w="1440"/>
          </w:tcPr>
          <w:p>
            <w:r>
              <w:t>WVHDF</w:t>
            </w:r>
          </w:p>
        </w:tc>
        <w:tc>
          <w:tcPr>
            <w:tcW w:type="dxa" w:w="1440"/>
          </w:tcPr>
          <w:p>
            <w:r>
              <w:t>+39.8%</w:t>
            </w:r>
          </w:p>
        </w:tc>
        <w:tc>
          <w:tcPr>
            <w:tcW w:type="dxa" w:w="1440"/>
          </w:tcPr>
          <w:p>
            <w:r>
              <w:t>$640.0M</w:t>
            </w:r>
          </w:p>
        </w:tc>
        <w:tc>
          <w:tcPr>
            <w:tcW w:type="dxa" w:w="1440"/>
          </w:tcPr>
          <w:p>
            <w:r>
              <w:t>$1,607.0M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AL</w:t>
            </w:r>
          </w:p>
        </w:tc>
        <w:tc>
          <w:tcPr>
            <w:tcW w:type="dxa" w:w="1440"/>
          </w:tcPr>
          <w:p>
            <w:r>
              <w:t>AHFA</w:t>
            </w:r>
          </w:p>
        </w:tc>
        <w:tc>
          <w:tcPr>
            <w:tcW w:type="dxa" w:w="1440"/>
          </w:tcPr>
          <w:p>
            <w:r>
              <w:t>+37.8%</w:t>
            </w:r>
          </w:p>
        </w:tc>
        <w:tc>
          <w:tcPr>
            <w:tcW w:type="dxa" w:w="1440"/>
          </w:tcPr>
          <w:p>
            <w:r>
              <w:t>$516.0M</w:t>
            </w:r>
          </w:p>
        </w:tc>
        <w:tc>
          <w:tcPr>
            <w:tcW w:type="dxa" w:w="1440"/>
          </w:tcPr>
          <w:p>
            <w:r>
              <w:t>$1,364.9M</w:t>
            </w:r>
          </w:p>
        </w:tc>
      </w:tr>
    </w:tbl>
    <w:p>
      <w:r>
        <w:t>在较大型机构中，夏威夷与加利福尼亚的净资产率最高；佛罗里达与路易斯安那亦明显高于同业常见水平。体量较小的 HFA 因资产负债表结构更简单，比率也可能偏高，故宜将规模与比率一并阅读。缓冲较厚者在面临资产减值、利率压力或再融资窗口收窄时，通常更具回旋余地。</w:t>
      </w:r>
    </w:p>
    <w:p>
      <w:pPr>
        <w:pStyle w:val="Heading1"/>
      </w:pPr>
      <w:r>
        <w:t>三、经营模式：五类原型</w:t>
      </w:r>
    </w:p>
    <w:p>
      <w:r>
        <w:t>依据 FY2025 披露信息，可将州级 HFA 大致归纳为五类经营模式，便于跨州比较：</w:t>
      </w:r>
    </w:p>
    <w:p>
      <w:pPr>
        <w:pStyle w:val="ListBullet"/>
      </w:pPr>
      <w:r>
        <w:rPr>
          <w:b/>
        </w:rPr>
        <w:t xml:space="preserve">债券融资型大型机构: </w:t>
      </w:r>
      <w:r>
        <w:t>以弗吉尼亚、明尼苏达、科罗拉多、康涅狄格、密歇根、伊利诺伊等为代表：资产规模较大，负债大体同步扩张，高度依赖多户／单户债券计划及政府支持企业（GSE）渠道。</w:t>
      </w:r>
    </w:p>
    <w:p>
      <w:pPr>
        <w:pStyle w:val="ListBullet"/>
      </w:pPr>
      <w:r>
        <w:rPr>
          <w:b/>
        </w:rPr>
        <w:t xml:space="preserve">增速较快的中大型机构: </w:t>
      </w:r>
      <w:r>
        <w:t>以路易斯安那、康涅狄格、印第安纳、俄亥俄、犹他等为代表：在中大型资产负债表上实现净资产两位数增长，可见发债周期与业务结构如何增强权益缓冲。</w:t>
      </w:r>
    </w:p>
    <w:p>
      <w:pPr>
        <w:pStyle w:val="ListBullet"/>
      </w:pPr>
      <w:r>
        <w:rPr>
          <w:b/>
        </w:rPr>
        <w:t xml:space="preserve">州行政部门综合型: </w:t>
      </w:r>
      <w:r>
        <w:t>得州住房与社区事务部（TDHCA）较具代表性：政府活动基金与企业型基金并行，披露口径与合并范围需仔细甄别。</w:t>
      </w:r>
    </w:p>
    <w:p>
      <w:pPr>
        <w:pStyle w:val="ListBullet"/>
      </w:pPr>
      <w:r>
        <w:rPr>
          <w:b/>
        </w:rPr>
        <w:t xml:space="preserve">高成本沿海市场: </w:t>
      </w:r>
      <w:r>
        <w:t>加利福尼亚与华盛顿较具代表性（纽约州机构层面专项披露仍较有限）。财务结果与房价、营造成本及项目储备联系紧密。FY2025，加州住房金融局（CalHFA）净资产约 34.4 亿美元、总资产近 50 亿美元，仍属全美规模最大的州级住房金融机构之列。</w:t>
      </w:r>
    </w:p>
    <w:p>
      <w:pPr>
        <w:pStyle w:val="ListBullet"/>
      </w:pPr>
      <w:r>
        <w:rPr>
          <w:b/>
        </w:rPr>
        <w:t xml:space="preserve">资源型与低密度州: </w:t>
      </w:r>
      <w:r>
        <w:t>怀俄明、北达科他、南达科他、新墨西哥等州发债节奏波动往往更大；单个项目即可对财务报表产生显著影响。</w:t>
      </w:r>
    </w:p>
    <w:p>
      <w:pPr>
        <w:pStyle w:val="Heading1"/>
      </w:pPr>
      <w:r>
        <w:t>四、如何理解这些数字</w:t>
      </w:r>
    </w:p>
    <w:p>
      <w:r>
        <w:rPr>
          <w:b/>
        </w:rPr>
        <w:t xml:space="preserve">规模并不等于安全. </w:t>
      </w:r>
      <w:r>
        <w:t>资产规模最大的机构，往往也承担更高负债与衍生品敞口。在利率路径仍不确定的背景下，净资产率与现金流能力应与资产排名同等重视。</w:t>
      </w:r>
    </w:p>
    <w:p>
      <w:r>
        <w:rPr>
          <w:b/>
        </w:rPr>
        <w:t xml:space="preserve">净资产增长不等于住房增产. </w:t>
      </w:r>
      <w:r>
        <w:t>按通行会计准则（GAAP），净资产可因投资公允价值、损失准备或债券溢价摊销而变动，并不必然对应新建住房。住房产出宜对照项目绩效报告（融资套数、发债规模等）加以核验。</w:t>
      </w:r>
    </w:p>
    <w:p>
      <w:r>
        <w:rPr>
          <w:b/>
        </w:rPr>
        <w:t xml:space="preserve">披露质量具有市场价值. </w:t>
      </w:r>
      <w:r>
        <w:t>获得美国政府财政官员协会（GFOA）“卓越成就证书”的机构（如伊利诺伊 IHDA）通常发布更清晰的管理层讨论与分析（MD&amp;A），有助于降低投资者尽职调查成本，并可能间接支撑更紧的债券利差。</w:t>
      </w:r>
    </w:p>
    <w:p>
      <w:pPr>
        <w:pStyle w:val="Heading1"/>
      </w:pPr>
      <w:r>
        <w:t>五、面向 2026 财年及以后的建议</w:t>
      </w:r>
    </w:p>
    <w:p>
      <w:pPr>
        <w:pStyle w:val="ListNumber"/>
      </w:pPr>
      <w:r>
        <w:rPr>
          <w:b/>
        </w:rPr>
        <w:t xml:space="preserve">建立统一的 HFA 财务健康框架. </w:t>
      </w:r>
      <w:r>
        <w:t>统一披露净资产率、偿债覆盖率、贷款逾期率、LIHTC 项目储备，以及单户与多户业务占比，以可比较指标替代零散叙述。</w:t>
      </w:r>
    </w:p>
    <w:p>
      <w:pPr>
        <w:pStyle w:val="ListNumber"/>
      </w:pPr>
      <w:r>
        <w:rPr>
          <w:b/>
        </w:rPr>
        <w:t xml:space="preserve">将可负担住房成效与财务报表衔接. </w:t>
      </w:r>
      <w:r>
        <w:t>建议在管理层讨论中增加单位成本指标：每百万美元债券融资对应的可负担住房套数，以及单位净资产所支持的首购家庭数，使账面财务与住房成效相互对应。</w:t>
      </w:r>
    </w:p>
    <w:p>
      <w:pPr>
        <w:pStyle w:val="ListNumber"/>
      </w:pPr>
      <w:r>
        <w:rPr>
          <w:b/>
        </w:rPr>
        <w:t xml:space="preserve">扩大区域联合发债与风险分担. </w:t>
      </w:r>
      <w:r>
        <w:t>小型 HFA 可通过区域联合债券池降低发行成本；大型 HFA 则可推进灾害与利率风险对冲安排的标准化。</w:t>
      </w:r>
    </w:p>
    <w:p>
      <w:pPr>
        <w:pStyle w:val="ListNumber"/>
      </w:pPr>
      <w:r>
        <w:rPr>
          <w:b/>
        </w:rPr>
        <w:t xml:space="preserve">发布机器可读披露数据. </w:t>
      </w:r>
      <w:r>
        <w:t>以 XBRL 或结构化 CSV 附件发布关键指标，有助于研究者、评级机构与联邦合作方更及时地跟踪各州 HFA。</w:t>
      </w:r>
    </w:p>
    <w:p>
      <w:pPr>
        <w:pStyle w:val="ListNumber"/>
      </w:pPr>
      <w:r>
        <w:rPr>
          <w:b/>
        </w:rPr>
        <w:t xml:space="preserve">单独跟踪“中间层”住房（地区中位数收入的 80%—120%）. </w:t>
      </w:r>
      <w:r>
        <w:t>将中间收入项目作为独立规划类别，避免资源仅集中于极低收入端与完全市场化两端，致使教师、护士等群体住房需求持续得不到满足。</w:t>
      </w:r>
    </w:p>
    <w:p>
      <w:pPr>
        <w:pStyle w:val="Heading1"/>
      </w:pPr>
      <w:r>
        <w:t>六、数据覆盖与文件清单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州</w:t>
            </w:r>
          </w:p>
        </w:tc>
        <w:tc>
          <w:tcPr>
            <w:tcW w:type="dxa" w:w="1728"/>
          </w:tcPr>
          <w:p>
            <w:r>
              <w:t>机构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AK</w:t>
            </w:r>
          </w:p>
        </w:tc>
        <w:tc>
          <w:tcPr>
            <w:tcW w:type="dxa" w:w="1728"/>
          </w:tcPr>
          <w:p>
            <w:r>
              <w:t>AHFC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AK_AHFC_FY2025_ACFR.pdf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AL</w:t>
            </w:r>
          </w:p>
        </w:tc>
        <w:tc>
          <w:tcPr>
            <w:tcW w:type="dxa" w:w="1728"/>
          </w:tcPr>
          <w:p>
            <w:r>
              <w:t>AHFA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AL_AHFA_FY2025_ACFR.pdf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AR</w:t>
            </w:r>
          </w:p>
        </w:tc>
        <w:tc>
          <w:tcPr>
            <w:tcW w:type="dxa" w:w="1728"/>
          </w:tcPr>
          <w:p>
            <w:r>
              <w:t>ADFA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AR_ADFA_FY2025_ACFR.pdf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AZ</w:t>
            </w:r>
          </w:p>
        </w:tc>
        <w:tc>
          <w:tcPr>
            <w:tcW w:type="dxa" w:w="1728"/>
          </w:tcPr>
          <w:p>
            <w:r>
              <w:t>ADOH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CA</w:t>
            </w:r>
          </w:p>
        </w:tc>
        <w:tc>
          <w:tcPr>
            <w:tcW w:type="dxa" w:w="1728"/>
          </w:tcPr>
          <w:p>
            <w:r>
              <w:t>CalHFA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CA_CalHFA_FY2025_ACFR.pdf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CO_CHFA_FY2025_ACFR.pdf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CT</w:t>
            </w:r>
          </w:p>
        </w:tc>
        <w:tc>
          <w:tcPr>
            <w:tcW w:type="dxa" w:w="1728"/>
          </w:tcPr>
          <w:p>
            <w:r>
              <w:t>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CT_CHFA_FY2025_ACFR.pdf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DCHFA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DC_DCHFA_FY2025_ACFR.pdf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DSHA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DE_DSHA_FY2025_ACFR.pdf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FloridaHousing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FL_FloridaHousing_FY2025_ACFR.pdf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GA</w:t>
            </w:r>
          </w:p>
        </w:tc>
        <w:tc>
          <w:tcPr>
            <w:tcW w:type="dxa" w:w="1728"/>
          </w:tcPr>
          <w:p>
            <w:r>
              <w:t>GHFA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GA_GHFA_FY2025_ACFR.pdf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HI</w:t>
            </w:r>
          </w:p>
        </w:tc>
        <w:tc>
          <w:tcPr>
            <w:tcW w:type="dxa" w:w="1728"/>
          </w:tcPr>
          <w:p>
            <w:r>
              <w:t>HHFDC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HI_HHFDC_FY2025_ACFR.pdf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IFA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IA_IFA_FY2025_ACFR.pdf</w:t>
            </w:r>
          </w:p>
        </w:tc>
        <w:tc>
          <w:tcPr>
            <w:tcW w:type="dxa" w:w="1728"/>
          </w:tcPr>
          <w:p>
            <w:r>
              <w:t>原报告以千美元列示，金额已相应调整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ID_IHFA_FY2025_ACFR.pdf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IHDA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IL_IHDA_FY2025_ACFR.pdf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>
              <w:t>IHCDA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IN_IHCDA_FY2025_ACFR.pdf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KS</w:t>
            </w:r>
          </w:p>
        </w:tc>
        <w:tc>
          <w:tcPr>
            <w:tcW w:type="dxa" w:w="1728"/>
          </w:tcPr>
          <w:p>
            <w:r>
              <w:t>KHRC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KS_KHRC_FY2025_ACFR.pdf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KY</w:t>
            </w:r>
          </w:p>
        </w:tc>
        <w:tc>
          <w:tcPr>
            <w:tcW w:type="dxa" w:w="1728"/>
          </w:tcPr>
          <w:p>
            <w:r>
              <w:t>KHC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KY_KHC_FY2025_ACFR.pdf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>
              <w:t>LHC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LA_LHC_FY2025_ACFR.pdf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MA</w:t>
            </w:r>
          </w:p>
        </w:tc>
        <w:tc>
          <w:tcPr>
            <w:tcW w:type="dxa" w:w="1728"/>
          </w:tcPr>
          <w:p>
            <w:r>
              <w:t>MassHousing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MA_MassHousing_FY2025_ACFR.pdf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MD</w:t>
            </w:r>
          </w:p>
        </w:tc>
        <w:tc>
          <w:tcPr>
            <w:tcW w:type="dxa" w:w="1728"/>
          </w:tcPr>
          <w:p>
            <w:r>
              <w:t>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MD_CDA_FY2025_ACFR.pdf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t>MaineHousing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ME_MaineHousing_FY2025_ACFR.pdf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MI</w:t>
            </w:r>
          </w:p>
        </w:tc>
        <w:tc>
          <w:tcPr>
            <w:tcW w:type="dxa" w:w="1728"/>
          </w:tcPr>
          <w:p>
            <w:r>
              <w:t>MSHDA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MI_MSHDA_FY2025_ACFR.pdf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MN</w:t>
            </w:r>
          </w:p>
        </w:tc>
        <w:tc>
          <w:tcPr>
            <w:tcW w:type="dxa" w:w="1728"/>
          </w:tcPr>
          <w:p>
            <w:r>
              <w:t>MNHousing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MN_MNHousing_FY2025_ACFR.pdf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</w:t>
            </w:r>
          </w:p>
        </w:tc>
        <w:tc>
          <w:tcPr>
            <w:tcW w:type="dxa" w:w="1728"/>
          </w:tcPr>
          <w:p>
            <w:r>
              <w:t>MHDC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MO_MHDC_FY2025_ACFR.pdf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MS</w:t>
            </w:r>
          </w:p>
        </w:tc>
        <w:tc>
          <w:tcPr>
            <w:tcW w:type="dxa" w:w="1728"/>
          </w:tcPr>
          <w:p>
            <w:r>
              <w:t>MHC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MT</w:t>
            </w:r>
          </w:p>
        </w:tc>
        <w:tc>
          <w:tcPr>
            <w:tcW w:type="dxa" w:w="1728"/>
          </w:tcPr>
          <w:p>
            <w:r>
              <w:t>MTHousing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MT_MTHousing_FY2025_ACFR.pdf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NCHFA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NC_NCHFA_FY2025_ACFR.pdf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ND</w:t>
            </w:r>
          </w:p>
        </w:tc>
        <w:tc>
          <w:tcPr>
            <w:tcW w:type="dxa" w:w="1728"/>
          </w:tcPr>
          <w:p>
            <w:r>
              <w:t>NDHFA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ND_NDHFA_FY2025_ACFR.pdf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NE</w:t>
            </w:r>
          </w:p>
        </w:tc>
        <w:tc>
          <w:tcPr>
            <w:tcW w:type="dxa" w:w="1728"/>
          </w:tcPr>
          <w:p>
            <w:r>
              <w:t>NIFA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NE_NIFA_FY2025_ACFR.pdf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NH</w:t>
            </w:r>
          </w:p>
        </w:tc>
        <w:tc>
          <w:tcPr>
            <w:tcW w:type="dxa" w:w="1728"/>
          </w:tcPr>
          <w:p>
            <w:r>
              <w:t>NHHousing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NJ</w:t>
            </w:r>
          </w:p>
        </w:tc>
        <w:tc>
          <w:tcPr>
            <w:tcW w:type="dxa" w:w="1728"/>
          </w:tcPr>
          <w:p>
            <w:r>
              <w:t>NJHMFA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MFA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NM_MFA_FY2025_ACFR.pdf</w:t>
            </w:r>
          </w:p>
        </w:tc>
        <w:tc>
          <w:tcPr>
            <w:tcW w:type="dxa" w:w="1728"/>
          </w:tcPr>
          <w:p>
            <w:r>
              <w:t>指标已据经审计财务报表（扫描件）管理层讨论补全</w:t>
            </w:r>
          </w:p>
        </w:tc>
      </w:tr>
      <w:tr>
        <w:tc>
          <w:tcPr>
            <w:tcW w:type="dxa" w:w="1728"/>
          </w:tcPr>
          <w:p>
            <w:r>
              <w:t>NV</w:t>
            </w:r>
          </w:p>
        </w:tc>
        <w:tc>
          <w:tcPr>
            <w:tcW w:type="dxa" w:w="1728"/>
          </w:tcPr>
          <w:p>
            <w:r>
              <w:t>NHD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NY</w:t>
            </w:r>
          </w:p>
        </w:tc>
        <w:tc>
          <w:tcPr>
            <w:tcW w:type="dxa" w:w="1728"/>
          </w:tcPr>
          <w:p>
            <w:r>
              <w:t>HCR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OH</w:t>
            </w:r>
          </w:p>
        </w:tc>
        <w:tc>
          <w:tcPr>
            <w:tcW w:type="dxa" w:w="1728"/>
          </w:tcPr>
          <w:p>
            <w:r>
              <w:t>OHFA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OH_OHFA_FY2025_ACFR.pdf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OHFA_OK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OK_OHFA_OK_FY2025_ACFR.pdf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OHCS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PHFA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PA_PHFA_FY2025_ACFR.pdf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PDF; 系州级综合年报／合并报表，未纳入 HFA 专项排名</w:t>
            </w:r>
          </w:p>
        </w:tc>
      </w:tr>
      <w:tr>
        <w:tc>
          <w:tcPr>
            <w:tcW w:type="dxa" w:w="1728"/>
          </w:tcPr>
          <w:p>
            <w:r>
              <w:t>RI</w:t>
            </w:r>
          </w:p>
        </w:tc>
        <w:tc>
          <w:tcPr>
            <w:tcW w:type="dxa" w:w="1728"/>
          </w:tcPr>
          <w:p>
            <w:r>
              <w:t>RIHousing</w:t>
            </w:r>
          </w:p>
        </w:tc>
        <w:tc>
          <w:tcPr>
            <w:tcW w:type="dxa" w:w="1728"/>
          </w:tcPr>
          <w:p>
            <w:r>
              <w:t>未获取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未找到 FY2025 PDF 链接</w:t>
            </w:r>
          </w:p>
        </w:tc>
      </w:tr>
      <w:tr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SCHFDA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SC_SCHFDA_FY2025_ACFR.pdf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SDHDA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SD_SDHDA_FY2025_ACFR.pdf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THDA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TN_THDA_FY2025_ACFR.pdf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TX</w:t>
            </w:r>
          </w:p>
        </w:tc>
        <w:tc>
          <w:tcPr>
            <w:tcW w:type="dxa" w:w="1728"/>
          </w:tcPr>
          <w:p>
            <w:r>
              <w:t>TDHCA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TX_TDHCA_FY2025_ACFR.pdf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UT</w:t>
            </w:r>
          </w:p>
        </w:tc>
        <w:tc>
          <w:tcPr>
            <w:tcW w:type="dxa" w:w="1728"/>
          </w:tcPr>
          <w:p>
            <w:r>
              <w:t>UtahHousing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UT_UtahHousing_FY2025_ACFR.pdf</w:t>
            </w:r>
          </w:p>
        </w:tc>
        <w:tc>
          <w:tcPr>
            <w:tcW w:type="dxa" w:w="1728"/>
          </w:tcPr>
          <w:p>
            <w:r>
              <w:t>增速已对照综合年报人工核验</w:t>
            </w:r>
          </w:p>
        </w:tc>
      </w:tr>
      <w:tr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VirginiaHousing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VA_VirginiaHousing_FY2025_ACFR.pdf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VT</w:t>
            </w:r>
          </w:p>
        </w:tc>
        <w:tc>
          <w:tcPr>
            <w:tcW w:type="dxa" w:w="1728"/>
          </w:tcPr>
          <w:p>
            <w:r>
              <w:t>VHFA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VT_VHFA_FY2025_ACFR.pdf</w:t>
            </w:r>
          </w:p>
        </w:tc>
        <w:tc>
          <w:tcPr>
            <w:tcW w:type="dxa" w:w="1728"/>
          </w:tcPr>
          <w:p>
            <w:r>
              <w:t>指标已据机构综合年报／财务报表补全</w:t>
            </w:r>
          </w:p>
        </w:tc>
      </w:tr>
      <w:tr>
        <w:tc>
          <w:tcPr>
            <w:tcW w:type="dxa" w:w="1728"/>
          </w:tcPr>
          <w:p>
            <w:r>
              <w:t>WA</w:t>
            </w:r>
          </w:p>
        </w:tc>
        <w:tc>
          <w:tcPr>
            <w:tcW w:type="dxa" w:w="1728"/>
          </w:tcPr>
          <w:p>
            <w:r>
              <w:t>WSHFC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WA_WSHFC_FY2025_ACFR.pdf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WI</w:t>
            </w:r>
          </w:p>
        </w:tc>
        <w:tc>
          <w:tcPr>
            <w:tcW w:type="dxa" w:w="1728"/>
          </w:tcPr>
          <w:p>
            <w:r>
              <w:t>WHEDA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WI_WHEDA_FY2025_ACFR.pdf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  <w:tr>
        <w:tc>
          <w:tcPr>
            <w:tcW w:type="dxa" w:w="1728"/>
          </w:tcPr>
          <w:p>
            <w:r>
              <w:t>WV</w:t>
            </w:r>
          </w:p>
        </w:tc>
        <w:tc>
          <w:tcPr>
            <w:tcW w:type="dxa" w:w="1728"/>
          </w:tcPr>
          <w:p>
            <w:r>
              <w:t>WVHDF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WV_WVHDF_FY2025_ACFR.pdf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WY</w:t>
            </w:r>
          </w:p>
        </w:tc>
        <w:tc>
          <w:tcPr>
            <w:tcW w:type="dxa" w:w="1728"/>
          </w:tcPr>
          <w:p>
            <w:r>
              <w:t>WCDA</w:t>
            </w:r>
          </w:p>
        </w:tc>
        <w:tc>
          <w:tcPr>
            <w:tcW w:type="dxa" w:w="1728"/>
          </w:tcPr>
          <w:p>
            <w:r>
              <w:t>已获取</w:t>
            </w:r>
          </w:p>
        </w:tc>
        <w:tc>
          <w:tcPr>
            <w:tcW w:type="dxa" w:w="1728"/>
          </w:tcPr>
          <w:p>
            <w:r>
              <w:t>WY_WCDA_FY2025_ACFR.pdf</w:t>
            </w:r>
          </w:p>
        </w:tc>
        <w:tc>
          <w:tcPr>
            <w:tcW w:type="dxa" w:w="1728"/>
          </w:tcPr>
          <w:p>
            <w:r>
              <w:t>核心指标未能自动提取，建议人工核对 PDF</w:t>
            </w:r>
          </w:p>
        </w:tc>
      </w:tr>
    </w:tbl>
    <w:p>
      <w:pPr>
        <w:pStyle w:val="Heading1"/>
      </w:pPr>
      <w:r>
        <w:t>七、尚未取得 FY2025 报告的州</w:t>
      </w:r>
    </w:p>
    <w:p>
      <w:r>
        <w:t>截至本报告编制时，下列 8 个州或特区尚未在公开渠道查得 FY2025 综合年报或经审计财务报表。常见原因包括：审计尚未完成、仅发布了 FY2024 报告，或文件托管于非常规网站。</w:t>
      </w:r>
    </w:p>
    <w:p>
      <w:pPr>
        <w:pStyle w:val="ListBullet"/>
      </w:pPr>
      <w:r>
        <w:t>AZ - Arizona Department of Housing (ADOH)</w:t>
      </w:r>
    </w:p>
    <w:p>
      <w:pPr>
        <w:pStyle w:val="ListBullet"/>
      </w:pPr>
      <w:r>
        <w:t>MS - Mississippi Home Corporation (MHC)</w:t>
      </w:r>
    </w:p>
    <w:p>
      <w:pPr>
        <w:pStyle w:val="ListBullet"/>
      </w:pPr>
      <w:r>
        <w:t>NV - Nevada Housing Division (NHD)</w:t>
      </w:r>
    </w:p>
    <w:p>
      <w:pPr>
        <w:pStyle w:val="ListBullet"/>
      </w:pPr>
      <w:r>
        <w:t>NH - New Hampshire Housing Finance Authority (NHHousing)</w:t>
      </w:r>
    </w:p>
    <w:p>
      <w:pPr>
        <w:pStyle w:val="ListBullet"/>
      </w:pPr>
      <w:r>
        <w:t>NJ - New Jersey Housing and Mortgage Finance Agency (NJHMFA)</w:t>
      </w:r>
    </w:p>
    <w:p>
      <w:pPr>
        <w:pStyle w:val="ListBullet"/>
      </w:pPr>
      <w:r>
        <w:t>NY - New York State Homes and Community Renewal (HCR)</w:t>
      </w:r>
    </w:p>
    <w:p>
      <w:pPr>
        <w:pStyle w:val="ListBullet"/>
      </w:pPr>
      <w:r>
        <w:t>OR - Oregon Housing and Community Services (OHCS)</w:t>
      </w:r>
    </w:p>
    <w:p>
      <w:pPr>
        <w:pStyle w:val="ListBullet"/>
      </w:pPr>
      <w:r>
        <w:t>RI - Rhode Island Housing (RIHousing)</w:t>
      </w:r>
    </w:p>
    <w:p>
      <w:pPr>
        <w:pStyle w:val="Heading1"/>
      </w:pPr>
      <w:r>
        <w:t>附录：方法说明</w:t>
      </w:r>
    </w:p>
    <w:p>
      <w:r>
        <w:t>数据来源为各州 HFA 或州审计机构公开发布的 FY2025 综合年报／经审计财务报表 PDF。指标提取优先取自管理层讨论中的财务摘要，以及净资产表中的总资产、总负债与净资产（金额单位多为千美元）。各州披露口径不尽相同（政府活动、企业活动或合并列报），跨州比较宜结合附注阅读。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