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A3C6E"/>
          <w:sz w:val="72"/>
          <w:szCs w:val="72"/>
        </w:rPr>
        <w:t xml:space="preserve">LASER TECHNOLOGY</w:t>
      </w:r>
    </w:p>
    <w:p>
      <w:pPr>
        <w:spacing w:after="400"/>
        <w:jc w:val="center"/>
      </w:pPr>
      <w:r>
        <w:rPr>
          <w:rFonts w:ascii="Arial" w:cs="Arial" w:eastAsia="Arial" w:hAnsi="Arial"/>
          <w:color w:val="C0392B"/>
          <w:sz w:val="48"/>
          <w:szCs w:val="48"/>
        </w:rPr>
        <w:t xml:space="preserve">&amp; Its Applications</w:t>
      </w:r>
    </w:p>
    <w:p>
      <w:pPr>
        <w:pBdr>
          <w:bottom w:val="single" w:color="1A3C6E" w:sz="16"/>
        </w:pBdr>
        <w:spacing w:after="400"/>
      </w:pPr>
    </w:p>
    <w:p>
      <w:pPr>
        <w:spacing w:after="160"/>
        <w:jc w:val="center"/>
      </w:pPr>
      <w:r>
        <w:rPr>
          <w:rFonts w:ascii="Arial" w:cs="Arial" w:eastAsia="Arial" w:hAnsi="Arial"/>
          <w:b/>
          <w:bCs/>
          <w:color w:val="5A5A5A"/>
          <w:sz w:val="28"/>
          <w:szCs w:val="28"/>
        </w:rPr>
        <w:t xml:space="preserve">A Comprehensive Research Paper</w:t>
      </w:r>
    </w:p>
    <w:p>
      <w:pPr>
        <w:spacing w:after="500"/>
        <w:jc w:val="center"/>
      </w:pPr>
      <w:r>
        <w:rPr>
          <w:rFonts w:ascii="Arial" w:cs="Arial" w:eastAsia="Arial" w:hAnsi="Arial"/>
          <w:color w:val="5A5A5A"/>
          <w:sz w:val="24"/>
          <w:szCs w:val="24"/>
        </w:rPr>
        <w:t xml:space="preserve">Covering Physics, Classification, Technology, and Cross-Industry Applications</w:t>
      </w:r>
    </w:p>
    <w:p>
      <w:pPr>
        <w:spacing w:after="80"/>
        <w:jc w:val="center"/>
      </w:pPr>
      <w:r>
        <w:rPr>
          <w:rFonts w:ascii="Arial" w:cs="Arial" w:eastAsia="Arial" w:hAnsi="Arial"/>
          <w:color w:val="5A5A5A"/>
          <w:sz w:val="22"/>
          <w:szCs w:val="22"/>
        </w:rPr>
        <w:t xml:space="preserve">Prepared: March 2025</w:t>
      </w:r>
    </w:p>
    <w:p>
      <w:pPr>
        <w:spacing w:after="80"/>
        <w:jc w:val="center"/>
      </w:pPr>
      <w:r>
        <w:rPr>
          <w:rFonts w:ascii="Arial" w:cs="Arial" w:eastAsia="Arial" w:hAnsi="Arial"/>
          <w:color w:val="5A5A5A"/>
          <w:sz w:val="22"/>
          <w:szCs w:val="22"/>
        </w:rPr>
        <w:t xml:space="preserve">Field: Photonics, Applied Physics &amp; Engineering</w:t>
      </w:r>
    </w:p>
    <w:p>
      <w:pPr>
        <w:spacing w:after="0"/>
        <w:jc w:val="center"/>
      </w:pPr>
      <w:r>
        <w:rPr>
          <w:rFonts w:ascii="Arial" w:cs="Arial" w:eastAsia="Arial" w:hAnsi="Arial"/>
          <w:color w:val="5A5A5A"/>
          <w:sz w:val="22"/>
          <w:szCs w:val="22"/>
        </w:rPr>
        <w:t xml:space="preserve">Classification: Academic / Technical Reference</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Abstract</w:t>
      </w:r>
    </w:p>
    <w:p>
      <w:pPr>
        <w:spacing w:after="160"/>
        <w:jc w:val="both"/>
      </w:pPr>
      <w:r>
        <w:rPr>
          <w:rFonts w:ascii="Arial" w:cs="Arial" w:eastAsia="Arial" w:hAnsi="Arial"/>
          <w:sz w:val="22"/>
          <w:szCs w:val="22"/>
        </w:rPr>
        <w:t xml:space="preserve">The laser — an acronym for Light Amplification by Stimulated Emission of Radiation — stands as one of the most transformative inventions of the twentieth century. Since Theodore Maiman demonstrated the first operational device in 1960 using a synthetic ruby crystal, laser technology has evolved from a laboratory curiosity into a cornerstone of modern civilization. Today, lasers span output powers from microwatts to petawatts, wavelengths from the deep ultraviolet to the far infrared, and pulse durations from continuous-wave operation down to attosecond flashes.</w:t>
      </w:r>
    </w:p>
    <w:p>
      <w:pPr>
        <w:spacing w:after="160"/>
        <w:jc w:val="both"/>
      </w:pPr>
      <w:r>
        <w:rPr>
          <w:rFonts w:ascii="Arial" w:cs="Arial" w:eastAsia="Arial" w:hAnsi="Arial"/>
          <w:sz w:val="22"/>
          <w:szCs w:val="22"/>
        </w:rPr>
        <w:t xml:space="preserve">This paper offers a systematic examination of laser science and engineering. It opens with the quantum-mechanical foundations of stimulated emission, population inversion, and optical resonator design, then surveys the principal laser families — gas, solid-state, semiconductor, fiber, dye, and free-electron — alongside their key performance parameters. The second half addresses real-world impact across manufacturing, medicine, telecommunications, sensing, and defense. Safety classification, environmental considerations, and an outlook on emerging frontiers — from attosecond science and quantum photonics to AI-optimized systems — complete the discussion.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E" w:sz="1"/>
              <w:left w:val="single" w:color="1A3C6E" w:sz="1"/>
              <w:bottom w:val="single" w:color="1A3C6E" w:sz="1"/>
              <w:right w:val="single" w:color="1A3C6E" w:sz="1"/>
            </w:tcBorders>
            <w:shd w:fill="D6E4F7" w:val="clear"/>
            <w:tcMar>
              <w:top w:type="dxa" w:w="120"/>
              <w:left w:type="dxa" w:w="180"/>
              <w:bottom w:type="dxa" w:w="120"/>
              <w:right w:type="dxa" w:w="180"/>
            </w:tcMar>
          </w:tcPr>
          <w:p>
            <w:pPr>
              <w:spacing w:after="0"/>
            </w:pPr>
            <w:r>
              <w:rPr>
                <w:rFonts w:ascii="Arial" w:cs="Arial" w:eastAsia="Arial" w:hAnsi="Arial"/>
                <w:b/>
                <w:bCs/>
                <w:color w:val="1A3C6E"/>
                <w:sz w:val="22"/>
                <w:szCs w:val="22"/>
              </w:rPr>
              <w:t xml:space="preserve">Keywords: </w:t>
            </w:r>
            <w:r>
              <w:rPr>
                <w:rFonts w:ascii="Arial" w:cs="Arial" w:eastAsia="Arial" w:hAnsi="Arial"/>
                <w:sz w:val="22"/>
                <w:szCs w:val="22"/>
              </w:rPr>
              <w:t xml:space="preserve">laser, stimulated emission, population inversion, photonics, coherent light, optical cavity, semiconductor laser, fiber laser, laser-material interaction, LIDAR, optical communications, laser safety, attosecond science</w:t>
            </w:r>
          </w:p>
        </w:tc>
      </w:tr>
    </w:tbl>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Table of Contents</w:t>
      </w:r>
    </w:p>
    <w:p>
      <w:pPr>
        <w:spacing w:after="80"/>
      </w:pPr>
      <w:r>
        <w:rPr>
          <w:rFonts w:ascii="Arial" w:cs="Arial" w:eastAsia="Arial" w:hAnsi="Arial"/>
          <w:color w:val="1A3C6E"/>
          <w:sz w:val="22"/>
          <w:szCs w:val="22"/>
        </w:rPr>
        <w:t xml:space="preserve">1. Physical Principles of Laser Operation</w:t>
      </w:r>
    </w:p>
    <w:p>
      <w:pPr>
        <w:spacing w:after="80"/>
      </w:pPr>
      <w:r>
        <w:rPr>
          <w:rFonts w:ascii="Arial" w:cs="Arial" w:eastAsia="Arial" w:hAnsi="Arial"/>
          <w:color w:val="1A3C6E"/>
          <w:sz w:val="22"/>
          <w:szCs w:val="22"/>
        </w:rPr>
        <w:t xml:space="preserve">2. Laser Classifications by Gain Medium</w:t>
      </w:r>
    </w:p>
    <w:p>
      <w:pPr>
        <w:spacing w:after="80"/>
      </w:pPr>
      <w:r>
        <w:rPr>
          <w:rFonts w:ascii="Arial" w:cs="Arial" w:eastAsia="Arial" w:hAnsi="Arial"/>
          <w:color w:val="1A3C6E"/>
          <w:sz w:val="22"/>
          <w:szCs w:val="22"/>
        </w:rPr>
        <w:t xml:space="preserve">3. Laser–Material Interaction</w:t>
      </w:r>
    </w:p>
    <w:p>
      <w:pPr>
        <w:spacing w:after="80"/>
      </w:pPr>
      <w:r>
        <w:rPr>
          <w:rFonts w:ascii="Arial" w:cs="Arial" w:eastAsia="Arial" w:hAnsi="Arial"/>
          <w:color w:val="1A3C6E"/>
          <w:sz w:val="22"/>
          <w:szCs w:val="22"/>
        </w:rPr>
        <w:t xml:space="preserve">4. Cross-Industry Applications</w:t>
      </w:r>
    </w:p>
    <w:p>
      <w:pPr>
        <w:spacing w:after="80"/>
      </w:pPr>
      <w:r>
        <w:rPr>
          <w:rFonts w:ascii="Arial" w:cs="Arial" w:eastAsia="Arial" w:hAnsi="Arial"/>
          <w:color w:val="1A3C6E"/>
          <w:sz w:val="22"/>
          <w:szCs w:val="22"/>
        </w:rPr>
        <w:t xml:space="preserve">5. Safety and Hazard Classification</w:t>
      </w:r>
    </w:p>
    <w:p>
      <w:pPr>
        <w:spacing w:after="80"/>
      </w:pPr>
      <w:r>
        <w:rPr>
          <w:rFonts w:ascii="Arial" w:cs="Arial" w:eastAsia="Arial" w:hAnsi="Arial"/>
          <w:color w:val="1A3C6E"/>
          <w:sz w:val="22"/>
          <w:szCs w:val="22"/>
        </w:rPr>
        <w:t xml:space="preserve">6. Emerging Trends and Future Directions</w:t>
      </w:r>
    </w:p>
    <w:p>
      <w:pPr>
        <w:spacing w:after="80"/>
      </w:pPr>
      <w:r>
        <w:rPr>
          <w:rFonts w:ascii="Arial" w:cs="Arial" w:eastAsia="Arial" w:hAnsi="Arial"/>
          <w:color w:val="1A3C6E"/>
          <w:sz w:val="22"/>
          <w:szCs w:val="22"/>
        </w:rPr>
        <w:t xml:space="preserve">7. Environmental and Economic Considerations</w:t>
      </w:r>
    </w:p>
    <w:p>
      <w:pPr>
        <w:spacing w:after="80"/>
      </w:pPr>
      <w:r>
        <w:rPr>
          <w:rFonts w:ascii="Arial" w:cs="Arial" w:eastAsia="Arial" w:hAnsi="Arial"/>
          <w:color w:val="1A3C6E"/>
          <w:sz w:val="22"/>
          <w:szCs w:val="22"/>
        </w:rPr>
        <w:t xml:space="preserve">8. Conclusion</w:t>
      </w:r>
    </w:p>
    <w:p>
      <w:pPr>
        <w:spacing w:after="0"/>
      </w:pPr>
      <w:r>
        <w:rPr>
          <w:rFonts w:ascii="Arial" w:cs="Arial" w:eastAsia="Arial" w:hAnsi="Arial"/>
          <w:color w:val="1A3C6E"/>
          <w:sz w:val="22"/>
          <w:szCs w:val="22"/>
        </w:rPr>
        <w:t xml:space="preserve">9. References</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1. Physical Principles of Laser Operation</w:t>
      </w:r>
    </w:p>
    <w:p>
      <w:pPr>
        <w:spacing w:after="160"/>
        <w:jc w:val="both"/>
      </w:pPr>
      <w:r>
        <w:rPr>
          <w:rFonts w:ascii="Arial" w:cs="Arial" w:eastAsia="Arial" w:hAnsi="Arial"/>
          <w:sz w:val="22"/>
          <w:szCs w:val="22"/>
        </w:rPr>
        <w:t xml:space="preserve">Laser operation rests on three quantum-mechanical pillars: stimulated emission, population inversion, and optical feedback. Understanding these principles — together with resonator design and beam properties — is prerequisite to appreciating every subsequent topic in this paper.</w:t>
      </w:r>
    </w:p>
    <w:p>
      <w:pPr>
        <w:pStyle w:val="Heading2"/>
        <w:spacing w:after="120" w:before="280"/>
      </w:pPr>
      <w:r>
        <w:rPr>
          <w:rFonts w:ascii="Arial" w:cs="Arial" w:eastAsia="Arial" w:hAnsi="Arial"/>
          <w:b/>
          <w:bCs/>
          <w:color w:val="1A3C6E"/>
          <w:sz w:val="28"/>
          <w:szCs w:val="28"/>
        </w:rPr>
        <w:t xml:space="preserve">1.1 Atomic Energy Levels and Photon Interactions</w:t>
      </w:r>
    </w:p>
    <w:p>
      <w:pPr>
        <w:spacing w:after="160"/>
        <w:jc w:val="both"/>
      </w:pPr>
      <w:r>
        <w:rPr>
          <w:rFonts w:ascii="Arial" w:cs="Arial" w:eastAsia="Arial" w:hAnsi="Arial"/>
          <w:sz w:val="22"/>
          <w:szCs w:val="22"/>
        </w:rPr>
        <w:t xml:space="preserve">Electrons occupy discrete energy levels. In spontaneous emission, an electron decays from an excited state E₂ to E₁, emitting a photon of frequency ν = (E₂ − E₁)/h, where Planck’s constant h = 6.626 × 10⁻³⁴ J·s. This process is incoherent and isotropic. Einstein (1917) predicted that a passing photon of identical energy could trigger stimulated emission, generating a second photon matched in phase, polarization, and direction. The Einstein A and B coefficients quantify the relative rates of spontaneous and stimulated processes; in the optical regime, stimulated emission dominates spontaneous emission only when a population inversion is established. Selection rules further constrain which transitions are allowed.</w:t>
      </w:r>
    </w:p>
    <w:p>
      <w:pPr>
        <w:pStyle w:val="Heading2"/>
        <w:spacing w:after="120" w:before="280"/>
      </w:pPr>
      <w:r>
        <w:rPr>
          <w:rFonts w:ascii="Arial" w:cs="Arial" w:eastAsia="Arial" w:hAnsi="Arial"/>
          <w:b/>
          <w:bCs/>
          <w:color w:val="1A3C6E"/>
          <w:sz w:val="28"/>
          <w:szCs w:val="28"/>
        </w:rPr>
        <w:t xml:space="preserve">1.2 Population Inversion and Pumping</w:t>
      </w:r>
    </w:p>
    <w:p>
      <w:pPr>
        <w:spacing w:after="160"/>
        <w:jc w:val="both"/>
      </w:pPr>
      <w:r>
        <w:rPr>
          <w:rFonts w:ascii="Arial" w:cs="Arial" w:eastAsia="Arial" w:hAnsi="Arial"/>
          <w:sz w:val="22"/>
          <w:szCs w:val="22"/>
        </w:rPr>
        <w:t xml:space="preserve">Under thermal equilibrium, the Boltzmann distribution ensures that higher-energy levels are less populated. Achieving net gain requires a population inversion — more atoms in the upper laser level than the lower. Three-level systems (e.g., ruby) demand intense pumping because the lower laser level is the ground state; four-level systems (e.g., Nd:YAG) are inherently more efficient because the lower level lies above ground state and remains nearly empty at room temperature. Pumping may be optical (flashlamp, diode), electrical (gas discharge, semiconductor junction), or chemical. Metastable states with long radiative lifetimes — typically microseconds to milliseconds — facilitate the accumulation of inversion necessary for sustained gain (Svelto, 2010).</w:t>
      </w:r>
    </w:p>
    <w:p>
      <w:pPr>
        <w:pStyle w:val="Heading2"/>
        <w:spacing w:after="120" w:before="280"/>
      </w:pPr>
      <w:r>
        <w:rPr>
          <w:rFonts w:ascii="Arial" w:cs="Arial" w:eastAsia="Arial" w:hAnsi="Arial"/>
          <w:b/>
          <w:bCs/>
          <w:color w:val="1A3C6E"/>
          <w:sz w:val="28"/>
          <w:szCs w:val="28"/>
        </w:rPr>
        <w:t xml:space="preserve">1.3 Optical Resonators</w:t>
      </w:r>
    </w:p>
    <w:p>
      <w:pPr>
        <w:spacing w:after="160"/>
        <w:jc w:val="both"/>
      </w:pPr>
      <w:r>
        <w:rPr>
          <w:rFonts w:ascii="Arial" w:cs="Arial" w:eastAsia="Arial" w:hAnsi="Arial"/>
          <w:sz w:val="22"/>
          <w:szCs w:val="22"/>
        </w:rPr>
        <w:t xml:space="preserve">An optical cavity confines photons between a high reflector and a partially transmitting output coupler. Only longitudinal modes satisfying the round-trip phase condition 2nL = mλ oscillate stably. The threshold condition G²R₁R₂(1−α)² = 1 relates single-pass gain G, mirror reflectivities R, and internal losses α (Saleh &amp; Teich, 2019). The cavity geometry also selects transverse modes; the fundamental Gaussian mode (TEM₀₀) yields the smallest beam divergence and highest focusability. Q-switching and mode-locking modify the temporal output to produce giant nanosecond pulses or ultrashort femtosecond trains, respectively.</w:t>
      </w:r>
    </w:p>
    <w:p>
      <w:pPr>
        <w:pStyle w:val="Heading2"/>
        <w:spacing w:after="120" w:before="280"/>
      </w:pPr>
      <w:r>
        <w:rPr>
          <w:rFonts w:ascii="Arial" w:cs="Arial" w:eastAsia="Arial" w:hAnsi="Arial"/>
          <w:b/>
          <w:bCs/>
          <w:color w:val="1A3C6E"/>
          <w:sz w:val="28"/>
          <w:szCs w:val="28"/>
        </w:rPr>
        <w:t xml:space="preserve">1.4 Coherence, Beam Quality, and Gain Dynamics</w:t>
      </w:r>
    </w:p>
    <w:p>
      <w:pPr>
        <w:spacing w:after="160"/>
        <w:jc w:val="both"/>
      </w:pPr>
      <w:r>
        <w:rPr>
          <w:rFonts w:ascii="Arial" w:cs="Arial" w:eastAsia="Arial" w:hAnsi="Arial"/>
          <w:sz w:val="22"/>
          <w:szCs w:val="22"/>
        </w:rPr>
        <w:t xml:space="preserve">Temporal coherence length L⁣ = λ²/Δλ can reach hundreds of metres in single-frequency lasers, enabling long-path interferometry. Spatial coherence allows diffraction-limited focusing to spot sizes of order λ. The beam quality factor M² compares a real beam to an ideal Gaussian; M² = 1 is the diffraction limit, and industrial fiber lasers routinely achieve M² &lt; 1.5 (Paschotta, 2008). Gain saturation sets the steady-state intracavity power, while homogeneous and inhomogeneous linewidth broadening mechanisms determine the spectral width and tuning range of the output.</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2. Laser Classifications by Gain Medium</w:t>
      </w:r>
    </w:p>
    <w:p>
      <w:pPr>
        <w:spacing w:after="160"/>
        <w:jc w:val="both"/>
      </w:pPr>
      <w:r>
        <w:rPr>
          <w:rFonts w:ascii="Arial" w:cs="Arial" w:eastAsia="Arial" w:hAnsi="Arial"/>
          <w:sz w:val="22"/>
          <w:szCs w:val="22"/>
        </w:rPr>
        <w:t xml:space="preserve">Lasers are most usefully categorised by the physical state of their gain medium, which determines wavelength, power, efficiency, and cost. The principal families are gas, solid-state, semiconductor, fiber, liquid dye, and free-electron lasers.</w:t>
      </w:r>
    </w:p>
    <w:p>
      <w:pPr>
        <w:pStyle w:val="Heading2"/>
        <w:spacing w:after="120" w:before="280"/>
      </w:pPr>
      <w:r>
        <w:rPr>
          <w:rFonts w:ascii="Arial" w:cs="Arial" w:eastAsia="Arial" w:hAnsi="Arial"/>
          <w:b/>
          <w:bCs/>
          <w:color w:val="1A3C6E"/>
          <w:sz w:val="28"/>
          <w:szCs w:val="28"/>
        </w:rPr>
        <w:t xml:space="preserve">2.1 Gas Lasers</w:t>
      </w:r>
    </w:p>
    <w:p>
      <w:pPr>
        <w:spacing w:after="160"/>
        <w:jc w:val="both"/>
      </w:pPr>
      <w:r>
        <w:rPr>
          <w:rFonts w:ascii="Arial" w:cs="Arial" w:eastAsia="Arial" w:hAnsi="Arial"/>
          <w:sz w:val="22"/>
          <w:szCs w:val="22"/>
        </w:rPr>
        <w:t xml:space="preserve">Gas lasers are pumped by electrical discharge through a low-pressure gas mixture. The helium-neon (He-Ne) laser at 632.8 nm offers exceptional coherence for metrology and alignment at milliwatt power levels. CO₂ lasers (10.6 µm) achieve kilowatt-to-tens-of-kilowatt output at 10–20% wall-plug efficiency, making them the historical workhorse of industrial cutting and welding. Excimer lasers (ArF at 193 nm, KrF at 248 nm) produce nanosecond UV pulses essential for photolithography and refractive eye surgery; high beam quality and precise photon energy make them uniquely suited to direct bond-breaking in biological tissue.</w:t>
      </w:r>
    </w:p>
    <w:p>
      <w:pPr>
        <w:pStyle w:val="Heading2"/>
        <w:spacing w:after="120" w:before="280"/>
      </w:pPr>
      <w:r>
        <w:rPr>
          <w:rFonts w:ascii="Arial" w:cs="Arial" w:eastAsia="Arial" w:hAnsi="Arial"/>
          <w:b/>
          <w:bCs/>
          <w:color w:val="1A3C6E"/>
          <w:sz w:val="28"/>
          <w:szCs w:val="28"/>
        </w:rPr>
        <w:t xml:space="preserve">2.2 Solid-State Lasers</w:t>
      </w:r>
    </w:p>
    <w:p>
      <w:pPr>
        <w:spacing w:after="160"/>
        <w:jc w:val="both"/>
      </w:pPr>
      <w:r>
        <w:rPr>
          <w:rFonts w:ascii="Arial" w:cs="Arial" w:eastAsia="Arial" w:hAnsi="Arial"/>
          <w:sz w:val="22"/>
          <w:szCs w:val="22"/>
        </w:rPr>
        <w:t xml:space="preserve">Solid-state lasers embed optically active ions in a crystalline or glass host. Nd:YAG (1064 nm), lamp- or diode-pumped, is widely used in marking, welding, and ophthalmology, and can be frequency-doubled to 532 nm. Titanium-sapphire (650–1100 nm) provides ultra-broad gain bandwidth, enabling femtosecond pulses via chirped-pulse amplification (CPA); Strickland and Mourou’s 1985 CPA invention, recognised by the 2018 Nobel Prize, now underpins petawatt-class research facilities worldwide. Yb:YAG and Yb:glass hosts offer a smaller quantum defect, yielding 25–30% efficiency and dominating modern high-power industrial platforms.</w:t>
      </w:r>
    </w:p>
    <w:p>
      <w:pPr>
        <w:pStyle w:val="Heading2"/>
        <w:spacing w:after="120" w:before="280"/>
      </w:pPr>
      <w:r>
        <w:rPr>
          <w:rFonts w:ascii="Arial" w:cs="Arial" w:eastAsia="Arial" w:hAnsi="Arial"/>
          <w:b/>
          <w:bCs/>
          <w:color w:val="1A3C6E"/>
          <w:sz w:val="28"/>
          <w:szCs w:val="28"/>
        </w:rPr>
        <w:t xml:space="preserve">2.3 Semiconductor (Diode) Lasers</w:t>
      </w:r>
    </w:p>
    <w:p>
      <w:pPr>
        <w:spacing w:after="160"/>
        <w:jc w:val="both"/>
      </w:pPr>
      <w:r>
        <w:rPr>
          <w:rFonts w:ascii="Arial" w:cs="Arial" w:eastAsia="Arial" w:hAnsi="Arial"/>
          <w:sz w:val="22"/>
          <w:szCs w:val="22"/>
        </w:rPr>
        <w:t xml:space="preserve">Semiconductor lasers are the highest-volume photonic device on the planet, manufactured in the billions annually. Direct electrical injection across a p-n heterojunction achieves wall-plug efficiencies exceeding 75%. The emitted wavelength is set by the semiconductor bandgap: InGaAsP alloys cover the 1200–1700 nm telecom window; InGaN devices span 360–530 nm. Vertical-cavity surface-emitting lasers (VCSELs) enable wafer-scale testing, compact 2-D arrays for structured light, and high-speed modulation for datacenter interconnects. Quantum cascade lasers (QCLs) exploit engineered intersubband transitions to access the 3–20 µm mid-infrared for molecular spectroscopy and breath diagnostics.</w:t>
      </w:r>
    </w:p>
    <w:p>
      <w:pPr>
        <w:pStyle w:val="Heading2"/>
        <w:spacing w:after="120" w:before="280"/>
      </w:pPr>
      <w:r>
        <w:rPr>
          <w:rFonts w:ascii="Arial" w:cs="Arial" w:eastAsia="Arial" w:hAnsi="Arial"/>
          <w:b/>
          <w:bCs/>
          <w:color w:val="1A3C6E"/>
          <w:sz w:val="28"/>
          <w:szCs w:val="28"/>
        </w:rPr>
        <w:t xml:space="preserve">2.4 Fiber Lasers</w:t>
      </w:r>
    </w:p>
    <w:p>
      <w:pPr>
        <w:spacing w:after="160"/>
        <w:jc w:val="both"/>
      </w:pPr>
      <w:r>
        <w:rPr>
          <w:rFonts w:ascii="Arial" w:cs="Arial" w:eastAsia="Arial" w:hAnsi="Arial"/>
          <w:sz w:val="22"/>
          <w:szCs w:val="22"/>
        </w:rPr>
        <w:t xml:space="preserve">Rare-earth-doped double-clad fibers (Yb, Er, Tm, Ho) confine pump and signal light over metres of waveguide, producing high gain with excellent thermal management. Single-mode Yb fiber lasers deliver up to 20 kW near-diffraction-limited output at 30–35% efficiency, displacing CO₂ lasers in sheet-metal cutting. Erbium-doped fiber amplifiers (EDFAs), first demonstrated by Mears et al. in 1987, enabled transoceanic optical communications by amplifying the 1530–1570 nm band without electrical conversion — arguably the single most important enabling technology of the modern internet.</w:t>
      </w:r>
    </w:p>
    <w:p>
      <w:pPr>
        <w:pStyle w:val="Heading2"/>
        <w:spacing w:after="120" w:before="280"/>
      </w:pPr>
      <w:r>
        <w:rPr>
          <w:rFonts w:ascii="Arial" w:cs="Arial" w:eastAsia="Arial" w:hAnsi="Arial"/>
          <w:b/>
          <w:bCs/>
          <w:color w:val="1A3C6E"/>
          <w:sz w:val="28"/>
          <w:szCs w:val="28"/>
        </w:rPr>
        <w:t xml:space="preserve">2.5 Dye Lasers and Free-Electron Lasers</w:t>
      </w:r>
    </w:p>
    <w:p>
      <w:pPr>
        <w:spacing w:after="160"/>
        <w:jc w:val="both"/>
      </w:pPr>
      <w:r>
        <w:rPr>
          <w:rFonts w:ascii="Arial" w:cs="Arial" w:eastAsia="Arial" w:hAnsi="Arial"/>
          <w:sz w:val="22"/>
          <w:szCs w:val="22"/>
        </w:rPr>
        <w:t xml:space="preserve">Liquid dye lasers offer continuous tunability across 50–100 nm per dye, covering the entire visible spectrum. They have been largely superseded by Ti:sapphire and tunable diode sources for most applications. Free-electron lasers (FELs) operate on an entirely different principle: a relativistic electron beam traversing a periodic undulator magnet array generates coherent radiation tunable from the terahertz to the hard X-ray regime. The European XFEL produces femtosecond X-ray pulses that are transforming structural biology by enabling single-particle diffractive imaging of proteins that resist crystallisation (Bass et al., 2010).</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3. Laser–Material Interaction</w:t>
      </w:r>
    </w:p>
    <w:p>
      <w:pPr>
        <w:spacing w:after="160"/>
        <w:jc w:val="both"/>
      </w:pPr>
      <w:r>
        <w:rPr>
          <w:rFonts w:ascii="Arial" w:cs="Arial" w:eastAsia="Arial" w:hAnsi="Arial"/>
          <w:sz w:val="22"/>
          <w:szCs w:val="22"/>
        </w:rPr>
        <w:t xml:space="preserve">The outcome of laser irradiation depends on absorbed irradiance, pulse duration, and the optical and thermal properties of the target material. Four regimes are distinguished: thermal, ultrashort-pulse, photochemical, and nonlinear.</w:t>
      </w:r>
    </w:p>
    <w:p>
      <w:pPr>
        <w:pStyle w:val="Heading2"/>
        <w:spacing w:after="120" w:before="280"/>
      </w:pPr>
      <w:r>
        <w:rPr>
          <w:rFonts w:ascii="Arial" w:cs="Arial" w:eastAsia="Arial" w:hAnsi="Arial"/>
          <w:b/>
          <w:bCs/>
          <w:color w:val="1A3C6E"/>
          <w:sz w:val="28"/>
          <w:szCs w:val="28"/>
        </w:rPr>
        <w:t xml:space="preserve">3.1 Thermal Processing</w:t>
      </w:r>
    </w:p>
    <w:p>
      <w:pPr>
        <w:spacing w:after="160"/>
        <w:jc w:val="both"/>
      </w:pPr>
      <w:r>
        <w:rPr>
          <w:rFonts w:ascii="Arial" w:cs="Arial" w:eastAsia="Arial" w:hAnsi="Arial"/>
          <w:sz w:val="22"/>
          <w:szCs w:val="22"/>
        </w:rPr>
        <w:t xml:space="preserve">When the pulse duration exceeds the thermal diffusion time, heat conducts into the bulk material, creating a heat-affected zone (HAZ) that can extend hundreds of microns from the irradiated spot. Absorption follows the Beer-Lambert law: I(z) = I₀ exp(−αz), with metals exhibiting a skin depth of 10–30 nm at visible wavelengths. Melt depth scales as the square root of pulse duration. Above the vaporisation threshold, recoil pressure drives keyhole formation — exploited in deep-penetration laser welding to achieve aspect ratios impossible with arc processes. Recast layer formation and residual stress are engineering challenges that drive process optimisation.</w:t>
      </w:r>
    </w:p>
    <w:p>
      <w:pPr>
        <w:pStyle w:val="Heading2"/>
        <w:spacing w:after="120" w:before="280"/>
      </w:pPr>
      <w:r>
        <w:rPr>
          <w:rFonts w:ascii="Arial" w:cs="Arial" w:eastAsia="Arial" w:hAnsi="Arial"/>
          <w:b/>
          <w:bCs/>
          <w:color w:val="1A3C6E"/>
          <w:sz w:val="28"/>
          <w:szCs w:val="28"/>
        </w:rPr>
        <w:t xml:space="preserve">3.2 Ultrashort-Pulse (“Cold”) Ablation</w:t>
      </w:r>
    </w:p>
    <w:p>
      <w:pPr>
        <w:spacing w:after="160"/>
        <w:jc w:val="both"/>
      </w:pPr>
      <w:r>
        <w:rPr>
          <w:rFonts w:ascii="Arial" w:cs="Arial" w:eastAsia="Arial" w:hAnsi="Arial"/>
          <w:sz w:val="22"/>
          <w:szCs w:val="22"/>
        </w:rPr>
        <w:t xml:space="preserve">For pulse durations shorter than the electron-phonon coupling time (~1–10 ps in metals), energy is deposited into the electron subsystem before it can transfer to the lattice. Material is ejected in a non-equilibrium superheated state, with a HAZ below 1 µm. This “cold” ablation, described by the two-temperature model (TTM), enables precision micromachining of glass, ceramics, and biological tissue with negligible collateral damage — critical for corneal surgery and semiconductor via drilling (Svelto, 2010).</w:t>
      </w:r>
    </w:p>
    <w:p>
      <w:pPr>
        <w:pStyle w:val="Heading2"/>
        <w:spacing w:after="120" w:before="280"/>
      </w:pPr>
      <w:r>
        <w:rPr>
          <w:rFonts w:ascii="Arial" w:cs="Arial" w:eastAsia="Arial" w:hAnsi="Arial"/>
          <w:b/>
          <w:bCs/>
          <w:color w:val="1A3C6E"/>
          <w:sz w:val="28"/>
          <w:szCs w:val="28"/>
        </w:rPr>
        <w:t xml:space="preserve">3.3 Photochemical, Nonlinear, and Plasma Effects</w:t>
      </w:r>
    </w:p>
    <w:p>
      <w:pPr>
        <w:spacing w:after="160"/>
        <w:jc w:val="both"/>
      </w:pPr>
      <w:r>
        <w:rPr>
          <w:rFonts w:ascii="Arial" w:cs="Arial" w:eastAsia="Arial" w:hAnsi="Arial"/>
          <w:sz w:val="22"/>
          <w:szCs w:val="22"/>
        </w:rPr>
        <w:t xml:space="preserve">UV photons from excimer lasers (6.4 eV at 193 nm) carry sufficient energy to directly cleave molecular bonds — the operating principle of both LASIK refractive surgery and deep-UV photolithography. At moderate intensities, two-photon polymerisation enables sub-diffraction 3-D nanofabrication. At irradiances exceeding ~10¹³ W/cm², multiphoton ionisation generates a plasma that can shield the workpiece from deeper energy deposition, a phenomenon critical to laser-driven fusion experiments and high-harmonic generation (HHG) sources.</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4. Cross-Industry Applications</w:t>
      </w:r>
    </w:p>
    <w:p>
      <w:pPr>
        <w:spacing w:after="160"/>
        <w:jc w:val="both"/>
      </w:pPr>
      <w:r>
        <w:rPr>
          <w:rFonts w:ascii="Arial" w:cs="Arial" w:eastAsia="Arial" w:hAnsi="Arial"/>
          <w:sz w:val="22"/>
          <w:szCs w:val="22"/>
        </w:rPr>
        <w:t xml:space="preserve">Lasers are ubiquitous across manufacturing, medicine, telecommunications, sensing, defence, and consumer products. The following subsections survey the most economically and technologically significant deployments.</w:t>
      </w:r>
    </w:p>
    <w:p>
      <w:pPr>
        <w:pStyle w:val="Heading2"/>
        <w:spacing w:after="120" w:before="280"/>
      </w:pPr>
      <w:r>
        <w:rPr>
          <w:rFonts w:ascii="Arial" w:cs="Arial" w:eastAsia="Arial" w:hAnsi="Arial"/>
          <w:b/>
          <w:bCs/>
          <w:color w:val="1A3C6E"/>
          <w:sz w:val="28"/>
          <w:szCs w:val="28"/>
        </w:rPr>
        <w:t xml:space="preserve">4.1 Industrial Manufacturing</w:t>
      </w:r>
    </w:p>
    <w:p>
      <w:pPr>
        <w:spacing w:after="160"/>
        <w:jc w:val="both"/>
      </w:pPr>
      <w:r>
        <w:rPr>
          <w:rFonts w:ascii="Arial" w:cs="Arial" w:eastAsia="Arial" w:hAnsi="Arial"/>
          <w:sz w:val="22"/>
          <w:szCs w:val="22"/>
        </w:rPr>
        <w:t xml:space="preserve">Fiber lasers rated at 1–20 kW cut 25 mm steel at speeds exceeding 2 m/min with a ±0.05 mm tolerance and a narrow HAZ — performance unattainable by plasma or waterjet methods. Remote laser welding, using dynamic beam deflection over a ~1 m working distance, enables cycle times of 20 m/min in automotive body-in-white assembly. Laser powder bed fusion (L-PBF) and directed energy deposition (DED) are additive manufacturing processes that produce patient-specific orthopaedic implants and turbine blades with internal cooling channels that subtractive machining cannot replicate. Nanosecond lasers mark permanent traceability codes on metals; femtosecond lasers machine microfluidic channels in glass.</w:t>
      </w:r>
    </w:p>
    <w:p>
      <w:pPr>
        <w:pStyle w:val="Heading2"/>
        <w:spacing w:after="120" w:before="280"/>
      </w:pPr>
      <w:r>
        <w:rPr>
          <w:rFonts w:ascii="Arial" w:cs="Arial" w:eastAsia="Arial" w:hAnsi="Arial"/>
          <w:b/>
          <w:bCs/>
          <w:color w:val="1A3C6E"/>
          <w:sz w:val="28"/>
          <w:szCs w:val="28"/>
        </w:rPr>
        <w:t xml:space="preserve">4.2 Medicine and Biomedical Science</w:t>
      </w:r>
    </w:p>
    <w:p>
      <w:pPr>
        <w:spacing w:after="160"/>
        <w:jc w:val="both"/>
      </w:pPr>
      <w:r>
        <w:rPr>
          <w:rFonts w:ascii="Arial" w:cs="Arial" w:eastAsia="Arial" w:hAnsi="Arial"/>
          <w:sz w:val="22"/>
          <w:szCs w:val="22"/>
        </w:rPr>
        <w:t xml:space="preserve">Excimer LASIK at 193 nm has corrected refractive errors in more than 40 million patients worldwide by precisely ablating corneal stroma. Nd:YAG (1064 nm) treats posterior capsule opacification after cataract surgery without incision. In dermatology, Q-switched Nd:YAG removes tattoo pigment via selective photothermolysis; pulsed dye lasers (585–595 nm) treat vascular lesions; fractional CO₂ lasers resurface photodamaged skin. Photodynamic therapy (PDT) leverages photosensitisers activated by low-power laser light to generate cytotoxic singlet oxygen in oncology. Diagnostically, optical coherence tomography (OCT) provides micron-resolution retinal cross-sections non-invasively, and confocal and two-photon microscopy enable deep-tissue fluorescence imaging.</w:t>
      </w:r>
    </w:p>
    <w:p>
      <w:pPr>
        <w:pStyle w:val="Heading2"/>
        <w:spacing w:after="120" w:before="280"/>
      </w:pPr>
      <w:r>
        <w:rPr>
          <w:rFonts w:ascii="Arial" w:cs="Arial" w:eastAsia="Arial" w:hAnsi="Arial"/>
          <w:b/>
          <w:bCs/>
          <w:color w:val="1A3C6E"/>
          <w:sz w:val="28"/>
          <w:szCs w:val="28"/>
        </w:rPr>
        <w:t xml:space="preserve">4.3 Telecommunications</w:t>
      </w:r>
    </w:p>
    <w:p>
      <w:pPr>
        <w:spacing w:after="160"/>
        <w:jc w:val="both"/>
      </w:pPr>
      <w:r>
        <w:rPr>
          <w:rFonts w:ascii="Arial" w:cs="Arial" w:eastAsia="Arial" w:hAnsi="Arial"/>
          <w:sz w:val="22"/>
          <w:szCs w:val="22"/>
        </w:rPr>
        <w:t xml:space="preserve">Over 99% of intercontinental data traffic travels as modulated infrared laser light in optical fibre. Wavelength-division multiplexing (WDM) deploys 80–100 distributed-feedback (DFB) diode lasers per fibre pair, each carrying 400 Gbit/s, for aggregate capacities exceeding 40 Tbit/s. EDFAs regenerate signals every ~80 km across transoceanic spans without optical-to-electrical conversion. Coherent detection with narrow-linewidth tunable lasers enables polarisation-multiplexed higher-order QAM formats, further multiplying spectral efficiency (Saleh &amp; Teich, 2019). Silicon photonics now integrates lasers, modulators, and receivers on CMOS-compatible chips for energy-efficient intra-datacenter interconnects.</w:t>
      </w:r>
    </w:p>
    <w:p>
      <w:pPr>
        <w:pStyle w:val="Heading2"/>
        <w:spacing w:after="120" w:before="280"/>
      </w:pPr>
      <w:r>
        <w:rPr>
          <w:rFonts w:ascii="Arial" w:cs="Arial" w:eastAsia="Arial" w:hAnsi="Arial"/>
          <w:b/>
          <w:bCs/>
          <w:color w:val="1A3C6E"/>
          <w:sz w:val="28"/>
          <w:szCs w:val="28"/>
        </w:rPr>
        <w:t xml:space="preserve">4.4 LIDAR, Sensing, and Metrology</w:t>
      </w:r>
    </w:p>
    <w:p>
      <w:pPr>
        <w:spacing w:after="160"/>
        <w:jc w:val="both"/>
      </w:pPr>
      <w:r>
        <w:rPr>
          <w:rFonts w:ascii="Arial" w:cs="Arial" w:eastAsia="Arial" w:hAnsi="Arial"/>
          <w:sz w:val="22"/>
          <w:szCs w:val="22"/>
        </w:rPr>
        <w:t xml:space="preserve">Time-of-flight LIDAR at 905 nm or 1550 nm maps environments with centimetre accuracy at ranges beyond 200 m, forming the cornerstone of autonomous vehicle perception stacks. Airborne LIDAR penetrates vegetation canopy to reveal archaeological features and quantify forest biomass. Laser interferometry in LIGO detects mirror displacements of 10⁻¹⁸ m — one ten-thousandth of a proton diameter — enabling the observation of gravitational waves from merging compact objects. Frequency-modulated continuous-wave (FMCW) LIDAR and laser absorption spectroscopy extend sensing to atmospheric trace gases, industrial process monitoring, and standoff explosive detection.</w:t>
      </w:r>
    </w:p>
    <w:p>
      <w:pPr>
        <w:pStyle w:val="Heading2"/>
        <w:spacing w:after="120" w:before="280"/>
      </w:pPr>
      <w:r>
        <w:rPr>
          <w:rFonts w:ascii="Arial" w:cs="Arial" w:eastAsia="Arial" w:hAnsi="Arial"/>
          <w:b/>
          <w:bCs/>
          <w:color w:val="1A3C6E"/>
          <w:sz w:val="28"/>
          <w:szCs w:val="28"/>
        </w:rPr>
        <w:t xml:space="preserve">4.5 Defence, Security, and Consumer Products</w:t>
      </w:r>
    </w:p>
    <w:p>
      <w:pPr>
        <w:spacing w:after="160"/>
        <w:jc w:val="both"/>
      </w:pPr>
      <w:r>
        <w:rPr>
          <w:rFonts w:ascii="Arial" w:cs="Arial" w:eastAsia="Arial" w:hAnsi="Arial"/>
          <w:sz w:val="22"/>
          <w:szCs w:val="22"/>
        </w:rPr>
        <w:t xml:space="preserve">High-energy laser (HEL) weapons rated at 50–300 kW, based on coherently combined fibre systems, have demonstrated the ability to neutralise unmanned aerial vehicles and mortar rounds at a cost of dollars per shot. Laser range finders and target designators underpin precision-guided munitions with circular error probabilities of metres. In the consumer domain, Blu-ray drives (405 nm), laser printers, barcode scanners, multi-watt RGB laser projectors (covering &gt;90% of the BT.2020 colour gamut), and 3-D sensing modules in smartphones — all using VCSEL arrays — represent a mass market numbered in hundreds of millions of units annually.</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5. Safety and Hazard Classification</w:t>
      </w:r>
    </w:p>
    <w:p>
      <w:pPr>
        <w:spacing w:after="160"/>
        <w:jc w:val="both"/>
      </w:pPr>
      <w:r>
        <w:rPr>
          <w:rFonts w:ascii="Arial" w:cs="Arial" w:eastAsia="Arial" w:hAnsi="Arial"/>
          <w:sz w:val="22"/>
          <w:szCs w:val="22"/>
        </w:rPr>
        <w:t xml:space="preserve">Lasers pose serious eye and skin hazards. The IEC 60825-1 standard (harmonised with ANSI Z136.1 in the United States) classifies laser products by their accessible emission limits (AELs) and specifies a hierarchy of control measures.</w:t>
      </w:r>
    </w:p>
    <w:p>
      <w:pPr>
        <w:pStyle w:val="Heading2"/>
        <w:spacing w:after="120" w:before="280"/>
      </w:pPr>
      <w:r>
        <w:rPr>
          <w:rFonts w:ascii="Arial" w:cs="Arial" w:eastAsia="Arial" w:hAnsi="Arial"/>
          <w:b/>
          <w:bCs/>
          <w:color w:val="1A3C6E"/>
          <w:sz w:val="28"/>
          <w:szCs w:val="28"/>
        </w:rPr>
        <w:t xml:space="preserve">5.1 Hazard Classes</w:t>
      </w:r>
    </w:p>
    <w:p>
      <w:pPr>
        <w:spacing w:after="160"/>
        <w:jc w:val="both"/>
      </w:pPr>
      <w:r>
        <w:rPr>
          <w:rFonts w:ascii="Arial" w:cs="Arial" w:eastAsia="Arial" w:hAnsi="Arial"/>
          <w:sz w:val="22"/>
          <w:szCs w:val="22"/>
        </w:rPr>
        <w:t xml:space="preserve">The classification scheme spans seven classes:</w:t>
      </w:r>
    </w:p>
    <w:p>
      <w:pPr>
        <w:pStyle w:val="ListParagraph"/>
        <w:numPr>
          <w:ilvl w:val="0"/>
          <w:numId w:val="2"/>
        </w:numPr>
        <w:spacing w:after="80"/>
      </w:pPr>
      <w:r>
        <w:rPr>
          <w:rFonts w:ascii="Arial" w:cs="Arial" w:eastAsia="Arial" w:hAnsi="Arial"/>
          <w:sz w:val="22"/>
          <w:szCs w:val="22"/>
        </w:rPr>
        <w:t xml:space="preserve">Class 1 — inherently safe under all reasonably foreseeable conditions (enclosed laser printers, optical disc players).</w:t>
      </w:r>
    </w:p>
    <w:p>
      <w:pPr>
        <w:pStyle w:val="ListParagraph"/>
        <w:numPr>
          <w:ilvl w:val="0"/>
          <w:numId w:val="2"/>
        </w:numPr>
        <w:spacing w:after="80"/>
      </w:pPr>
      <w:r>
        <w:rPr>
          <w:rFonts w:ascii="Arial" w:cs="Arial" w:eastAsia="Arial" w:hAnsi="Arial"/>
          <w:sz w:val="22"/>
          <w:szCs w:val="22"/>
        </w:rPr>
        <w:t xml:space="preserve">Class 1M — safe without magnifying optics; hazardous if beam is collected by a lens.</w:t>
      </w:r>
    </w:p>
    <w:p>
      <w:pPr>
        <w:pStyle w:val="ListParagraph"/>
        <w:numPr>
          <w:ilvl w:val="0"/>
          <w:numId w:val="2"/>
        </w:numPr>
        <w:spacing w:after="80"/>
      </w:pPr>
      <w:r>
        <w:rPr>
          <w:rFonts w:ascii="Arial" w:cs="Arial" w:eastAsia="Arial" w:hAnsi="Arial"/>
          <w:sz w:val="22"/>
          <w:szCs w:val="22"/>
        </w:rPr>
        <w:t xml:space="preserve">Class 2 — visible wavelengths below 1 mW; the natural blink reflex provides adequate protection.</w:t>
      </w:r>
    </w:p>
    <w:p>
      <w:pPr>
        <w:pStyle w:val="ListParagraph"/>
        <w:numPr>
          <w:ilvl w:val="0"/>
          <w:numId w:val="2"/>
        </w:numPr>
        <w:spacing w:after="80"/>
      </w:pPr>
      <w:r>
        <w:rPr>
          <w:rFonts w:ascii="Arial" w:cs="Arial" w:eastAsia="Arial" w:hAnsi="Arial"/>
          <w:sz w:val="22"/>
          <w:szCs w:val="22"/>
        </w:rPr>
        <w:t xml:space="preserve">Class 3R — 1–5 mW visible; low risk with careful use.</w:t>
      </w:r>
    </w:p>
    <w:p>
      <w:pPr>
        <w:pStyle w:val="ListParagraph"/>
        <w:numPr>
          <w:ilvl w:val="0"/>
          <w:numId w:val="2"/>
        </w:numPr>
        <w:spacing w:after="80"/>
      </w:pPr>
      <w:r>
        <w:rPr>
          <w:rFonts w:ascii="Arial" w:cs="Arial" w:eastAsia="Arial" w:hAnsi="Arial"/>
          <w:sz w:val="22"/>
          <w:szCs w:val="22"/>
        </w:rPr>
        <w:t xml:space="preserve">Class 3B — 5–500 mW; direct viewing and specular reflections are hazardous.</w:t>
      </w:r>
    </w:p>
    <w:p>
      <w:pPr>
        <w:pStyle w:val="ListParagraph"/>
        <w:numPr>
          <w:ilvl w:val="0"/>
          <w:numId w:val="2"/>
        </w:numPr>
        <w:spacing w:after="80"/>
      </w:pPr>
      <w:r>
        <w:rPr>
          <w:rFonts w:ascii="Arial" w:cs="Arial" w:eastAsia="Arial" w:hAnsi="Arial"/>
          <w:sz w:val="22"/>
          <w:szCs w:val="22"/>
        </w:rPr>
        <w:t xml:space="preserve">Class 4 — above 500 mW or high pulse energy; hazard to eye and skin, fire risk; encompasses industrial cutting systems, surgical lasers, and military directed-energy platforms.</w:t>
      </w:r>
    </w:p>
    <w:p>
      <w:pPr>
        <w:spacing w:after="120"/>
      </w:pPr>
    </w:p>
    <w:p>
      <w:pPr>
        <w:pStyle w:val="Heading2"/>
        <w:spacing w:after="120" w:before="280"/>
      </w:pPr>
      <w:r>
        <w:rPr>
          <w:rFonts w:ascii="Arial" w:cs="Arial" w:eastAsia="Arial" w:hAnsi="Arial"/>
          <w:b/>
          <w:bCs/>
          <w:color w:val="1A3C6E"/>
          <w:sz w:val="28"/>
          <w:szCs w:val="28"/>
        </w:rPr>
        <w:t xml:space="preserve">5.2 Biological Hazards</w:t>
      </w:r>
    </w:p>
    <w:p>
      <w:pPr>
        <w:spacing w:after="160"/>
        <w:jc w:val="both"/>
      </w:pPr>
      <w:r>
        <w:rPr>
          <w:rFonts w:ascii="Arial" w:cs="Arial" w:eastAsia="Arial" w:hAnsi="Arial"/>
          <w:sz w:val="22"/>
          <w:szCs w:val="22"/>
        </w:rPr>
        <w:t xml:space="preserve">The eye’s optical system focuses a collimated beam to a ~25 µm spot on the retina, concentrating irradiance by a factor of ~100,000 relative to the corneal surface. Visible and near-infrared wavelengths (400–1400 nm) cause retinal burns that are painless until after the damage occurs. UV radiation (180–400 nm) and far-infrared (&gt;1400 nm) are absorbed in the cornea and lens, causing photokeratitis and cataract formation. Skin burns occur at high power densities but are far less critical than eye injuries owing to the lack of optical focussing.</w:t>
      </w:r>
    </w:p>
    <w:p>
      <w:pPr>
        <w:pStyle w:val="Heading2"/>
        <w:spacing w:after="120" w:before="280"/>
      </w:pPr>
      <w:r>
        <w:rPr>
          <w:rFonts w:ascii="Arial" w:cs="Arial" w:eastAsia="Arial" w:hAnsi="Arial"/>
          <w:b/>
          <w:bCs/>
          <w:color w:val="1A3C6E"/>
          <w:sz w:val="28"/>
          <w:szCs w:val="28"/>
        </w:rPr>
        <w:t xml:space="preserve">5.3 Control Measures</w:t>
      </w:r>
    </w:p>
    <w:p>
      <w:pPr>
        <w:spacing w:after="160"/>
        <w:jc w:val="both"/>
      </w:pPr>
      <w:r>
        <w:rPr>
          <w:rFonts w:ascii="Arial" w:cs="Arial" w:eastAsia="Arial" w:hAnsi="Arial"/>
          <w:sz w:val="22"/>
          <w:szCs w:val="22"/>
        </w:rPr>
        <w:t xml:space="preserve">IEC 60825-1 mandates a hierarchy of controls. Engineering controls take priority: interlocked enclosures, automatic beam stops, key switches, and wavelength-specific beam curtains prevent unintended exposure. Administrative controls include laser safety officer (LSO) designation, standard operating procedures (SOPs), and mandatory training certification for all operators. Personal protective equipment (PPE) — laser safety eyewear with an optical density (OD) calculated from OD = log₁₀(Eᴵₙᶜ / MPE) for the relevant wavelength and exposure duration — is the last line of defence, not a substitute for engineering controls.</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6. Emerging Trends and Future Directions</w:t>
      </w:r>
    </w:p>
    <w:p>
      <w:pPr>
        <w:spacing w:after="160"/>
        <w:jc w:val="both"/>
      </w:pPr>
      <w:r>
        <w:rPr>
          <w:rFonts w:ascii="Arial" w:cs="Arial" w:eastAsia="Arial" w:hAnsi="Arial"/>
          <w:sz w:val="22"/>
          <w:szCs w:val="22"/>
        </w:rPr>
        <w:t xml:space="preserve">The laser field continues to generate paradigm-shifting capabilities, from probing electron dynamics in real time to enabling fault-tolerant quantum computing.</w:t>
      </w:r>
    </w:p>
    <w:p>
      <w:pPr>
        <w:pStyle w:val="Heading2"/>
        <w:spacing w:after="120" w:before="280"/>
      </w:pPr>
      <w:r>
        <w:rPr>
          <w:rFonts w:ascii="Arial" w:cs="Arial" w:eastAsia="Arial" w:hAnsi="Arial"/>
          <w:b/>
          <w:bCs/>
          <w:color w:val="1A3C6E"/>
          <w:sz w:val="28"/>
          <w:szCs w:val="28"/>
        </w:rPr>
        <w:t xml:space="preserve">6.1 Attosecond Science</w:t>
      </w:r>
    </w:p>
    <w:p>
      <w:pPr>
        <w:spacing w:after="160"/>
        <w:jc w:val="both"/>
      </w:pPr>
      <w:r>
        <w:rPr>
          <w:rFonts w:ascii="Arial" w:cs="Arial" w:eastAsia="Arial" w:hAnsi="Arial"/>
          <w:sz w:val="22"/>
          <w:szCs w:val="22"/>
        </w:rPr>
        <w:t xml:space="preserve">High-harmonic generation (HHG) driven by few-cycle near-infrared pulses produces isolated attosecond bursts (50–500 as) of extreme-ultraviolet radiation. These unprecedented light pulses allow real-time imaging of electron motion in atoms and molecules on its natural timescale — work recognised by the 2023 Nobel Prize in Physics (L’Huillier, Agostini, Krausz). Applications range from time-resolved photochemistry to the study of correlated electron dynamics in condensed-matter systems, opening a new chapter in ultrafast spectroscopy.</w:t>
      </w:r>
    </w:p>
    <w:p>
      <w:pPr>
        <w:pStyle w:val="Heading2"/>
        <w:spacing w:after="120" w:before="280"/>
      </w:pPr>
      <w:r>
        <w:rPr>
          <w:rFonts w:ascii="Arial" w:cs="Arial" w:eastAsia="Arial" w:hAnsi="Arial"/>
          <w:b/>
          <w:bCs/>
          <w:color w:val="1A3C6E"/>
          <w:sz w:val="28"/>
          <w:szCs w:val="28"/>
        </w:rPr>
        <w:t xml:space="preserve">6.2 Quantum Photonics</w:t>
      </w:r>
    </w:p>
    <w:p>
      <w:pPr>
        <w:spacing w:after="160"/>
        <w:jc w:val="both"/>
      </w:pPr>
      <w:r>
        <w:rPr>
          <w:rFonts w:ascii="Arial" w:cs="Arial" w:eastAsia="Arial" w:hAnsi="Arial"/>
          <w:sz w:val="22"/>
          <w:szCs w:val="22"/>
        </w:rPr>
        <w:t xml:space="preserve">Narrow-linewidth lasers are the workhorses of quantum information science: they cool and manipulate trapped ions and neutral atoms for quantum computing, and their attenuated pulses form the basis of quantum key distribution (QKD). Metropolitan QKD networks operating on deployed fibre now serve government and financial institutions in China, Japan, and several European cities. Single-photon and entangled-photon sources based on colour centres and quantum dots promise unconditionally secure communications and photonic quantum processors.</w:t>
      </w:r>
    </w:p>
    <w:p>
      <w:pPr>
        <w:pStyle w:val="Heading2"/>
        <w:spacing w:after="120" w:before="280"/>
      </w:pPr>
      <w:r>
        <w:rPr>
          <w:rFonts w:ascii="Arial" w:cs="Arial" w:eastAsia="Arial" w:hAnsi="Arial"/>
          <w:b/>
          <w:bCs/>
          <w:color w:val="1A3C6E"/>
          <w:sz w:val="28"/>
          <w:szCs w:val="28"/>
        </w:rPr>
        <w:t xml:space="preserve">6.3 High-Power Beam Combining and Fusion</w:t>
      </w:r>
    </w:p>
    <w:p>
      <w:pPr>
        <w:spacing w:after="160"/>
        <w:jc w:val="both"/>
      </w:pPr>
      <w:r>
        <w:rPr>
          <w:rFonts w:ascii="Arial" w:cs="Arial" w:eastAsia="Arial" w:hAnsi="Arial"/>
          <w:sz w:val="22"/>
          <w:szCs w:val="22"/>
        </w:rPr>
        <w:t xml:space="preserve">Spectral and coherent beam combining scale fibre laser output toward 100 kW while preserving near-diffraction-limited beam quality, relevant to both industrial applications and directed-energy defence systems. At the extreme end, the National Ignition Facility (NIF) achieved fusion ignition in December 2022 using 192 frequency-tripled Nd:glass beams delivering 2.05 MJ of UV energy in a 20 ns pulse — the first laboratory demonstration of net energy gain in inertial confinement fusion (NIF, 2022).</w:t>
      </w:r>
    </w:p>
    <w:p>
      <w:pPr>
        <w:pStyle w:val="Heading2"/>
        <w:spacing w:after="120" w:before="280"/>
      </w:pPr>
      <w:r>
        <w:rPr>
          <w:rFonts w:ascii="Arial" w:cs="Arial" w:eastAsia="Arial" w:hAnsi="Arial"/>
          <w:b/>
          <w:bCs/>
          <w:color w:val="1A3C6E"/>
          <w:sz w:val="28"/>
          <w:szCs w:val="28"/>
        </w:rPr>
        <w:t xml:space="preserve">6.4 Integrated Photonics and AI-Optimised Systems</w:t>
      </w:r>
    </w:p>
    <w:p>
      <w:pPr>
        <w:spacing w:after="160"/>
        <w:jc w:val="both"/>
      </w:pPr>
      <w:r>
        <w:rPr>
          <w:rFonts w:ascii="Arial" w:cs="Arial" w:eastAsia="Arial" w:hAnsi="Arial"/>
          <w:sz w:val="22"/>
          <w:szCs w:val="22"/>
        </w:rPr>
        <w:t xml:space="preserve">Silicon photonics on CMOS-compatible wafers, using silicon nitride and lithium niobate (LiNbO₃) platforms, is enabling terabit-per-second transceivers for hyperscale datacenter interconnects, overcoming the bandwidth and energy limitations of copper (Donnelly &amp; Maier-Flaig, 2023). In parallel, machine learning is being applied to laser pulse shaping, adaptive optics correction, and predictive maintenance of high-power systems. Novel gain media — perovskite nanocrystals, 2-D material saturable absorbers, and topological photonic structures — are broadening the spectral and functional landscape of coherent light sources.</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7. Environmental and Economic Considerations</w:t>
      </w:r>
    </w:p>
    <w:p>
      <w:pPr>
        <w:spacing w:after="160"/>
        <w:jc w:val="both"/>
      </w:pPr>
      <w:r>
        <w:rPr>
          <w:rFonts w:ascii="Arial" w:cs="Arial" w:eastAsia="Arial" w:hAnsi="Arial"/>
          <w:sz w:val="22"/>
          <w:szCs w:val="22"/>
        </w:rPr>
        <w:t xml:space="preserve">As lasers become ever more deeply embedded in global infrastructure, their energy efficiency, material footprint, and economic contribution demand systematic evaluation.</w:t>
      </w:r>
    </w:p>
    <w:p>
      <w:pPr>
        <w:pStyle w:val="Heading2"/>
        <w:spacing w:after="120" w:before="280"/>
      </w:pPr>
      <w:r>
        <w:rPr>
          <w:rFonts w:ascii="Arial" w:cs="Arial" w:eastAsia="Arial" w:hAnsi="Arial"/>
          <w:b/>
          <w:bCs/>
          <w:color w:val="1A3C6E"/>
          <w:sz w:val="28"/>
          <w:szCs w:val="28"/>
        </w:rPr>
        <w:t xml:space="preserve">7.1 Energy Efficiency</w:t>
      </w:r>
    </w:p>
    <w:p>
      <w:pPr>
        <w:spacing w:after="160"/>
        <w:jc w:val="both"/>
      </w:pPr>
      <w:r>
        <w:rPr>
          <w:rFonts w:ascii="Arial" w:cs="Arial" w:eastAsia="Arial" w:hAnsi="Arial"/>
          <w:sz w:val="22"/>
          <w:szCs w:val="22"/>
        </w:rPr>
        <w:t xml:space="preserve">Wall-plug efficiency varies dramatically across laser types: diode lasers exceed 75%; fibre lasers achieve 30–40%; CO₂ lasers deliver only 10–20%. Replacing a 6 kW CO₂ cutting system (10% efficiency) with a 10 kW fibre laser (35% efficiency) reduces electrical consumption by nearly two-thirds for the same material throughput. EDFAs, at over 30% efficiency, displaced power-hungry optoelectronic regenerators in long-haul fibre networks, enabling internet traffic growth to decouple from proportional energy cost increases.</w:t>
      </w:r>
    </w:p>
    <w:p>
      <w:pPr>
        <w:pStyle w:val="Heading2"/>
        <w:spacing w:after="120" w:before="280"/>
      </w:pPr>
      <w:r>
        <w:rPr>
          <w:rFonts w:ascii="Arial" w:cs="Arial" w:eastAsia="Arial" w:hAnsi="Arial"/>
          <w:b/>
          <w:bCs/>
          <w:color w:val="1A3C6E"/>
          <w:sz w:val="28"/>
          <w:szCs w:val="28"/>
        </w:rPr>
        <w:t xml:space="preserve">7.2 Lifecycle Analysis and Materials</w:t>
      </w:r>
    </w:p>
    <w:p>
      <w:pPr>
        <w:spacing w:after="160"/>
        <w:jc w:val="both"/>
      </w:pPr>
      <w:r>
        <w:rPr>
          <w:rFonts w:ascii="Arial" w:cs="Arial" w:eastAsia="Arial" w:hAnsi="Arial"/>
          <w:sz w:val="22"/>
          <w:szCs w:val="22"/>
        </w:rPr>
        <w:t xml:space="preserve">Laser-based additive manufacturing reduces material waste by up to 90% relative to subtractive machining for complex geometries. However, high-power systems require water cooling loops with associated infrastructure. Excimer lasers consume toxic halogen gases (F₂, Cl₂) that require safe handling and disposal. Rare-earth elements — neodymium, ytterbium, erbium — face supply chain vulnerability due to geographically concentrated extraction; recycling pathways for doped fibre and crystal components remain underdeveloped. Lifecycle assessment frameworks are increasingly applied to photonic products to guide design for disassembly and circular economy compliance.</w:t>
      </w:r>
    </w:p>
    <w:p>
      <w:pPr>
        <w:pStyle w:val="Heading2"/>
        <w:spacing w:after="120" w:before="280"/>
      </w:pPr>
      <w:r>
        <w:rPr>
          <w:rFonts w:ascii="Arial" w:cs="Arial" w:eastAsia="Arial" w:hAnsi="Arial"/>
          <w:b/>
          <w:bCs/>
          <w:color w:val="1A3C6E"/>
          <w:sz w:val="28"/>
          <w:szCs w:val="28"/>
        </w:rPr>
        <w:t xml:space="preserve">7.3 Market Dynamics and Strategic Importance</w:t>
      </w:r>
    </w:p>
    <w:p>
      <w:pPr>
        <w:spacing w:after="160"/>
        <w:jc w:val="both"/>
      </w:pPr>
      <w:r>
        <w:rPr>
          <w:rFonts w:ascii="Arial" w:cs="Arial" w:eastAsia="Arial" w:hAnsi="Arial"/>
          <w:sz w:val="22"/>
          <w:szCs w:val="22"/>
        </w:rPr>
        <w:t xml:space="preserve">The global laser market exceeded $20 billion in 2023 and is growing at approximately 8% per annum, driven by electric vehicle battery manufacturing (tab welding, electrolyte drying), semiconductor advanced packaging, and medical devices (Laser Focus World, 2024). The broader photonics sector is widely recognised as an enabling technology of comparable strategic importance to microelectronics, with coordinated national investment programmes: the US National Photonics Initiative, the EU’s Photonics21 public-private partnership, and China’s Made in China 2025 plan all prioritise photonic manufacturing capability. Export control frameworks such as the Wassenaar Arrangement regulate the transfer of high-power and short-pulse laser technology.</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8. Conclusion</w:t>
      </w:r>
    </w:p>
    <w:p>
      <w:pPr>
        <w:spacing w:after="160"/>
        <w:jc w:val="both"/>
      </w:pPr>
      <w:r>
        <w:rPr>
          <w:rFonts w:ascii="Arial" w:cs="Arial" w:eastAsia="Arial" w:hAnsi="Arial"/>
          <w:sz w:val="22"/>
          <w:szCs w:val="22"/>
        </w:rPr>
        <w:t xml:space="preserve">From Einstein’s 1917 theoretical prediction of stimulated emission to Maiman’s 1960 ruby demonstration, and from the first milliwatt He-Ne pointer to petawatt research lasers and 20 kW fibre cutting systems, the laser’s sixty-five-year trajectory has been one of relentless expansion in capability and reach. Its unique combination of coherence, monochromaticity, directionality, and focusable power concentration has made it indispensable across manufacturing, medicine, communications, sensing, and fundamental science.</w:t>
      </w:r>
    </w:p>
    <w:p>
      <w:pPr>
        <w:spacing w:after="160"/>
        <w:jc w:val="both"/>
      </w:pPr>
      <w:r>
        <w:rPr>
          <w:rFonts w:ascii="Arial" w:cs="Arial" w:eastAsia="Arial" w:hAnsi="Arial"/>
          <w:sz w:val="22"/>
          <w:szCs w:val="22"/>
        </w:rPr>
        <w:t xml:space="preserve">Looking ahead, attosecond light sources will deliver real-time movies of electron dynamics; high-power beam combining may bring laser-driven inertial fusion to commercial viability; integrated photonics will embed coherent sources into every data centre; and quantum networks promise provably secure communications. The global photonics market, the strategic national investments, and the pace of Nobel-recognised discoveries all attest that the laser revolution is far from over. Continued cross-disciplinary collaboration — spanning quantum physics, materials science, precision engineering, and artificial intelligence — will be essential to translate the next generation of laser innovations into societal benefit.</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9. References</w:t>
      </w:r>
    </w:p>
    <w:p>
      <w:pPr>
        <w:spacing w:after="160"/>
        <w:jc w:val="both"/>
      </w:pPr>
      <w:r>
        <w:rPr>
          <w:rFonts w:ascii="Arial" w:cs="Arial" w:eastAsia="Arial" w:hAnsi="Arial"/>
          <w:sz w:val="22"/>
          <w:szCs w:val="22"/>
        </w:rPr>
        <w:t xml:space="preserve">Bass, M., et al. (Eds.). (2010). Handbook of optics (3rd ed., Vols. I–V). McGraw-Hill.</w:t>
      </w:r>
    </w:p>
    <w:p>
      <w:pPr>
        <w:spacing w:after="160"/>
        <w:jc w:val="both"/>
      </w:pPr>
      <w:r>
        <w:rPr>
          <w:rFonts w:ascii="Arial" w:cs="Arial" w:eastAsia="Arial" w:hAnsi="Arial"/>
          <w:sz w:val="22"/>
          <w:szCs w:val="22"/>
        </w:rPr>
        <w:t xml:space="preserve">Donnelly, T., &amp; Maier-Flaig, F. (2023). Photonic integration for sustainable data centers. Nature Photonics, 17, 128–140.</w:t>
      </w:r>
    </w:p>
    <w:p>
      <w:pPr>
        <w:spacing w:after="160"/>
        <w:jc w:val="both"/>
      </w:pPr>
      <w:r>
        <w:rPr>
          <w:rFonts w:ascii="Arial" w:cs="Arial" w:eastAsia="Arial" w:hAnsi="Arial"/>
          <w:sz w:val="22"/>
          <w:szCs w:val="22"/>
        </w:rPr>
        <w:t xml:space="preserve">Einstein, A. (1917). Zur Quantentheorie der Strahlung. Physikalische Zeitschrift, 18, 121–128.</w:t>
      </w:r>
    </w:p>
    <w:p>
      <w:pPr>
        <w:spacing w:after="160"/>
        <w:jc w:val="both"/>
      </w:pPr>
      <w:r>
        <w:rPr>
          <w:rFonts w:ascii="Arial" w:cs="Arial" w:eastAsia="Arial" w:hAnsi="Arial"/>
          <w:sz w:val="22"/>
          <w:szCs w:val="22"/>
        </w:rPr>
        <w:t xml:space="preserve">Hentschel, M., et al. (2001). Attosecond metrology. Nature, 414(6863), 509–513.</w:t>
      </w:r>
    </w:p>
    <w:p>
      <w:pPr>
        <w:spacing w:after="160"/>
        <w:jc w:val="both"/>
      </w:pPr>
      <w:r>
        <w:rPr>
          <w:rFonts w:ascii="Arial" w:cs="Arial" w:eastAsia="Arial" w:hAnsi="Arial"/>
          <w:sz w:val="22"/>
          <w:szCs w:val="22"/>
        </w:rPr>
        <w:t xml:space="preserve">IEC 60825-1:2014. Safety of laser products – Part 1: Equipment classification and requirements. International Electrotechnical Commission.</w:t>
      </w:r>
    </w:p>
    <w:p>
      <w:pPr>
        <w:spacing w:after="160"/>
        <w:jc w:val="both"/>
      </w:pPr>
      <w:r>
        <w:rPr>
          <w:rFonts w:ascii="Arial" w:cs="Arial" w:eastAsia="Arial" w:hAnsi="Arial"/>
          <w:sz w:val="22"/>
          <w:szCs w:val="22"/>
        </w:rPr>
        <w:t xml:space="preserve">Laser Focus World / Strategies Unlimited. (2024). Annual laser market review &amp; forecast. PennWell.</w:t>
      </w:r>
    </w:p>
    <w:p>
      <w:pPr>
        <w:spacing w:after="160"/>
        <w:jc w:val="both"/>
      </w:pPr>
      <w:r>
        <w:rPr>
          <w:rFonts w:ascii="Arial" w:cs="Arial" w:eastAsia="Arial" w:hAnsi="Arial"/>
          <w:sz w:val="22"/>
          <w:szCs w:val="22"/>
        </w:rPr>
        <w:t xml:space="preserve">Maiman, T. H. (1960). Stimulated optical radiation in ruby. Nature, 187(4736), 493–494.</w:t>
      </w:r>
    </w:p>
    <w:p>
      <w:pPr>
        <w:spacing w:after="160"/>
        <w:jc w:val="both"/>
      </w:pPr>
      <w:r>
        <w:rPr>
          <w:rFonts w:ascii="Arial" w:cs="Arial" w:eastAsia="Arial" w:hAnsi="Arial"/>
          <w:sz w:val="22"/>
          <w:szCs w:val="22"/>
        </w:rPr>
        <w:t xml:space="preserve">Mears, R. J., Reekie, L., Jauncey, I. M., &amp; Payne, D. N. (1987). Low-noise erbium-doped fibre amplifier operating at 1.54 μm. Electronics Letters, 23(19), 1026–1028.</w:t>
      </w:r>
    </w:p>
    <w:p>
      <w:pPr>
        <w:spacing w:after="160"/>
        <w:jc w:val="both"/>
      </w:pPr>
      <w:r>
        <w:rPr>
          <w:rFonts w:ascii="Arial" w:cs="Arial" w:eastAsia="Arial" w:hAnsi="Arial"/>
          <w:sz w:val="22"/>
          <w:szCs w:val="22"/>
        </w:rPr>
        <w:t xml:space="preserve">National Ignition Facility. (2022). Achievement of target gain exceeding unity in an inertial fusion experiment. Nature, 601, 542–548.</w:t>
      </w:r>
    </w:p>
    <w:p>
      <w:pPr>
        <w:spacing w:after="160"/>
        <w:jc w:val="both"/>
      </w:pPr>
      <w:r>
        <w:rPr>
          <w:rFonts w:ascii="Arial" w:cs="Arial" w:eastAsia="Arial" w:hAnsi="Arial"/>
          <w:sz w:val="22"/>
          <w:szCs w:val="22"/>
        </w:rPr>
        <w:t xml:space="preserve">Paschotta, R. (2008). Encyclopedia of laser physics and technology. Wiley-VCH.</w:t>
      </w:r>
    </w:p>
    <w:p>
      <w:pPr>
        <w:spacing w:after="160"/>
        <w:jc w:val="both"/>
      </w:pPr>
      <w:r>
        <w:rPr>
          <w:rFonts w:ascii="Arial" w:cs="Arial" w:eastAsia="Arial" w:hAnsi="Arial"/>
          <w:sz w:val="22"/>
          <w:szCs w:val="22"/>
        </w:rPr>
        <w:t xml:space="preserve">Saleh, B. E. A., &amp; Teich, M. C. (2019). Fundamentals of photonics (3rd ed.). Wiley.</w:t>
      </w:r>
    </w:p>
    <w:p>
      <w:pPr>
        <w:spacing w:after="160"/>
        <w:jc w:val="both"/>
      </w:pPr>
      <w:r>
        <w:rPr>
          <w:rFonts w:ascii="Arial" w:cs="Arial" w:eastAsia="Arial" w:hAnsi="Arial"/>
          <w:sz w:val="22"/>
          <w:szCs w:val="22"/>
        </w:rPr>
        <w:t xml:space="preserve">Strickland, D., &amp; Mourou, G. (1985). Compression of amplified chirped optical pulses. Optics Communications, 56(3), 219–221.</w:t>
      </w:r>
    </w:p>
    <w:p>
      <w:pPr>
        <w:spacing w:after="160"/>
        <w:jc w:val="both"/>
      </w:pPr>
      <w:r>
        <w:rPr>
          <w:rFonts w:ascii="Arial" w:cs="Arial" w:eastAsia="Arial" w:hAnsi="Arial"/>
          <w:sz w:val="22"/>
          <w:szCs w:val="22"/>
        </w:rPr>
        <w:t xml:space="preserve">Svelto, O. (2010). Principles of lasers (5th ed.). Springer.</w:t>
      </w:r>
    </w:p>
    <w:p>
      <w:pPr>
        <w:spacing w:after="160"/>
        <w:jc w:val="both"/>
      </w:pPr>
      <w:r>
        <w:rPr>
          <w:rFonts w:ascii="Arial" w:cs="Arial" w:eastAsia="Arial" w:hAnsi="Arial"/>
          <w:sz w:val="22"/>
          <w:szCs w:val="22"/>
        </w:rPr>
        <w:t xml:space="preserve">Tajima, T., &amp; Dawson, J. M. (1979). Laser electron accelerator. Physical Review Letters, 43(4), 267–270.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C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2026-04-07T23:45:16.696Z</dcterms:created>
  <dcterms:modified xsi:type="dcterms:W3CDTF">2026-04-07T23:45:16.698Z</dcterms:modified>
</cp:coreProperties>
</file>

<file path=docProps/custom.xml><?xml version="1.0" encoding="utf-8"?>
<Properties xmlns="http://schemas.openxmlformats.org/officeDocument/2006/custom-properties" xmlns:vt="http://schemas.openxmlformats.org/officeDocument/2006/docPropsVTypes"/>
</file>