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E3A5F"/>
          <w:sz w:val="64"/>
          <w:szCs w:val="64"/>
        </w:rPr>
        <w:t xml:space="preserve">MapleGuard AI</w:t>
      </w:r>
    </w:p>
    <w:p>
      <w:pPr>
        <w:spacing w:before="0" w:after="120"/>
        <w:jc w:val="center"/>
      </w:pPr>
      <w:r>
        <w:rPr>
          <w:rFonts w:ascii="Arial" w:cs="Arial" w:eastAsia="Arial" w:hAnsi="Arial"/>
          <w:color w:val="2563EB"/>
          <w:sz w:val="36"/>
          <w:szCs w:val="36"/>
        </w:rPr>
        <w:t xml:space="preserve">Big Data Fraud Detection System</w:t>
      </w:r>
    </w:p>
    <w:p>
      <w:pPr>
        <w:spacing w:before="480" w:after="0"/>
      </w:pPr>
      <w:r>
        <w:t xml:space="preserve"/>
      </w:r>
    </w:p>
    <w:p>
      <w:pPr>
        <w:jc w:val="center"/>
      </w:pPr>
      <w:r>
        <w:rPr>
          <w:rFonts w:ascii="Arial" w:cs="Arial" w:eastAsia="Arial" w:hAnsi="Arial"/>
          <w:color w:val="1E293B"/>
          <w:sz w:val="26"/>
          <w:szCs w:val="26"/>
        </w:rPr>
        <w:t xml:space="preserve">MBAI 5310G — Big Data System Design</w:t>
      </w:r>
    </w:p>
    <w:p>
      <w:pPr>
        <w:jc w:val="center"/>
      </w:pPr>
      <w:r>
        <w:rPr>
          <w:rFonts w:ascii="Arial" w:cs="Arial" w:eastAsia="Arial" w:hAnsi="Arial"/>
          <w:color w:val="64748B"/>
          <w:sz w:val="24"/>
          <w:szCs w:val="24"/>
        </w:rPr>
        <w:t xml:space="preserve">Winter 2026  |  Ontario Tech University</w:t>
      </w:r>
    </w:p>
    <w:p>
      <w:pPr>
        <w:jc w:val="center"/>
      </w:pPr>
      <w:r>
        <w:rPr>
          <w:rFonts w:ascii="Arial" w:cs="Arial" w:eastAsia="Arial" w:hAnsi="Arial"/>
          <w:color w:val="64748B"/>
          <w:sz w:val="24"/>
          <w:szCs w:val="24"/>
        </w:rPr>
        <w:t xml:space="preserve">Instructor: Dr. Dilli P. Sharma</w:t>
      </w:r>
    </w:p>
    <w:p>
      <w:pPr>
        <w:spacing w:before="480" w:after="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ID</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101022361</w:t>
            </w:r>
          </w:p>
        </w:tc>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Oreoluwa Akinsanya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101021074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Kayode Olusanya</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101024460</w:t>
            </w:r>
          </w:p>
        </w:tc>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Damalie Mawufemor</w:t>
            </w:r>
          </w:p>
        </w:tc>
      </w:tr>
    </w:tbl>
    <w:p>
      <w:r>
        <w:br w:type="page"/>
      </w:r>
    </w:p>
    <w:p>
      <w:pPr>
        <w:pStyle w:val="Heading1"/>
      </w:pPr>
      <w:r>
        <w:t xml:space="preserve">1. Introduction</w:t>
      </w:r>
    </w:p>
    <w:p>
      <w:pPr>
        <w:spacing w:before="100" w:after="160" w:line="276"/>
        <w:jc w:val="both"/>
      </w:pPr>
      <w:r>
        <w:rPr>
          <w:rFonts w:ascii="Arial" w:cs="Arial" w:eastAsia="Arial" w:hAnsi="Arial"/>
          <w:color w:val="1E293B"/>
          <w:sz w:val="22"/>
          <w:szCs w:val="22"/>
        </w:rPr>
        <w:t xml:space="preserve">The rapid growth of digital financial transactions has created an urgent need for scalable, intelligent fraud detection systems. According to the Association of Certified Fraud Examiners (ACFE), organizations lose an estimated 5% of annual revenues to fraud, with credit card fraud representing one of the most prevalent and costly forms (ACFE, 2022). Traditional rule-based systems, while interpretable, struggle to adapt to evolving fraud patterns at scale. The convergence of big data technologies and machine learning offers a compelling solution to this challenge.</w:t>
      </w:r>
    </w:p>
    <w:p>
      <w:pPr>
        <w:spacing w:before="100" w:after="160" w:line="276"/>
        <w:jc w:val="both"/>
      </w:pPr>
      <w:r>
        <w:rPr>
          <w:rFonts w:ascii="Arial" w:cs="Arial" w:eastAsia="Arial" w:hAnsi="Arial"/>
          <w:color w:val="1E293B"/>
          <w:sz w:val="22"/>
          <w:szCs w:val="22"/>
        </w:rPr>
        <w:t xml:space="preserve">This report presents MapleGuard AI, an end-to-end big data fraud detection system built on the Sparkov Credit Card Fraud Dataset (Kaggle). The system integrates Apache Spark for distributed data processing, Kafka for real-time streaming simulation, and a dual-model approach combining rule-based scoring with machine learning classifiers. The result is a production-grade pipeline capable of processing over 1.29 million transactions while maintaining a fraud detection ROC-AUC of 0.9925.</w:t>
      </w:r>
    </w:p>
    <w:p>
      <w:pPr>
        <w:pStyle w:val="Heading1"/>
      </w:pPr>
      <w:r>
        <w:t xml:space="preserve">2. Problem Statement</w:t>
      </w:r>
    </w:p>
    <w:p>
      <w:pPr>
        <w:spacing w:before="100" w:after="160" w:line="276"/>
        <w:jc w:val="both"/>
      </w:pPr>
      <w:r>
        <w:rPr>
          <w:rFonts w:ascii="Arial" w:cs="Arial" w:eastAsia="Arial" w:hAnsi="Arial"/>
          <w:color w:val="1E293B"/>
          <w:sz w:val="22"/>
          <w:szCs w:val="22"/>
        </w:rPr>
        <w:t xml:space="preserve">Credit card fraud represents a significant and growing challenge for financial institutions worldwide. Nilson Report (2023) estimates that global card fraud losses reached $33.45 billion in 2022, with projections exceeding $40 billion by 2027. The core technical challenge lies in the extreme class imbalance inherent to fraud datasets — legitimate transactions vastly outnumber fraudulent ones, often at ratios exceeding 99:1.</w:t>
      </w:r>
    </w:p>
    <w:p>
      <w:pPr>
        <w:spacing w:before="100" w:after="160" w:line="276"/>
        <w:jc w:val="both"/>
      </w:pPr>
      <w:r>
        <w:rPr>
          <w:rFonts w:ascii="Arial" w:cs="Arial" w:eastAsia="Arial" w:hAnsi="Arial"/>
          <w:color w:val="1E293B"/>
          <w:sz w:val="22"/>
          <w:szCs w:val="22"/>
        </w:rPr>
        <w:t xml:space="preserve">Conventional approaches relying solely on static rule sets are insufficient for three key reasons. First, fraudsters continuously adapt their behavior to evade known detection patterns (Abdallah et al., 2016). Second, rule-based systems applied to imbalanced datasets generate excessive false positives, burdening fraud analysts and degrading customer experience. Third, the volume and velocity of modern transaction data exceed the processing capacity of single-node systems, necessitating distributed architectures.</w:t>
      </w:r>
    </w:p>
    <w:p>
      <w:pPr>
        <w:pStyle w:val="Heading1"/>
      </w:pPr>
      <w:r>
        <w:t xml:space="preserve">3. Objectives</w:t>
      </w:r>
    </w:p>
    <w:p>
      <w:pPr>
        <w:spacing w:before="100" w:after="160" w:line="276"/>
        <w:jc w:val="both"/>
      </w:pPr>
      <w:r>
        <w:rPr>
          <w:rFonts w:ascii="Arial" w:cs="Arial" w:eastAsia="Arial" w:hAnsi="Arial"/>
          <w:color w:val="1E293B"/>
          <w:sz w:val="22"/>
          <w:szCs w:val="22"/>
        </w:rPr>
        <w:t xml:space="preserve">The primary objectives of this project are:</w:t>
      </w:r>
    </w:p>
    <w:p>
      <w:pPr>
        <w:pStyle w:val="ListParagraph"/>
        <w:numPr>
          <w:ilvl w:val="0"/>
          <w:numId w:val="2"/>
        </w:numPr>
        <w:spacing w:before="60" w:after="60"/>
      </w:pPr>
      <w:r>
        <w:rPr>
          <w:rFonts w:ascii="Arial" w:cs="Arial" w:eastAsia="Arial" w:hAnsi="Arial"/>
          <w:color w:val="1E293B"/>
          <w:sz w:val="22"/>
          <w:szCs w:val="22"/>
        </w:rPr>
        <w:t xml:space="preserve">To design and implement a scalable big data pipeline for credit card fraud detection using Apache Spark and Kafka.</w:t>
      </w:r>
    </w:p>
    <w:p>
      <w:pPr>
        <w:pStyle w:val="ListParagraph"/>
        <w:numPr>
          <w:ilvl w:val="0"/>
          <w:numId w:val="2"/>
        </w:numPr>
        <w:spacing w:before="60" w:after="60"/>
      </w:pPr>
      <w:r>
        <w:rPr>
          <w:rFonts w:ascii="Arial" w:cs="Arial" w:eastAsia="Arial" w:hAnsi="Arial"/>
          <w:color w:val="1E293B"/>
          <w:sz w:val="22"/>
          <w:szCs w:val="22"/>
        </w:rPr>
        <w:t xml:space="preserve">To develop and evaluate a rule-based scoring system as a transparent baseline fraud detection mechanism.</w:t>
      </w:r>
    </w:p>
    <w:p>
      <w:pPr>
        <w:pStyle w:val="ListParagraph"/>
        <w:numPr>
          <w:ilvl w:val="0"/>
          <w:numId w:val="2"/>
        </w:numPr>
        <w:spacing w:before="60" w:after="60"/>
      </w:pPr>
      <w:r>
        <w:rPr>
          <w:rFonts w:ascii="Arial" w:cs="Arial" w:eastAsia="Arial" w:hAnsi="Arial"/>
          <w:color w:val="1E293B"/>
          <w:sz w:val="22"/>
          <w:szCs w:val="22"/>
        </w:rPr>
        <w:t xml:space="preserve">To train and compare machine learning models — specifically Random Forest and Logistic Regression — against the rule-based baseline.</w:t>
      </w:r>
    </w:p>
    <w:p>
      <w:pPr>
        <w:pStyle w:val="ListParagraph"/>
        <w:numPr>
          <w:ilvl w:val="0"/>
          <w:numId w:val="2"/>
        </w:numPr>
        <w:spacing w:before="60" w:after="60"/>
      </w:pPr>
      <w:r>
        <w:rPr>
          <w:rFonts w:ascii="Arial" w:cs="Arial" w:eastAsia="Arial" w:hAnsi="Arial"/>
          <w:color w:val="1E293B"/>
          <w:sz w:val="22"/>
          <w:szCs w:val="22"/>
        </w:rPr>
        <w:t xml:space="preserve">To simulate real-time streaming behavior using Kafka-style micro-batch processing.</w:t>
      </w:r>
    </w:p>
    <w:p>
      <w:pPr>
        <w:pStyle w:val="ListParagraph"/>
        <w:numPr>
          <w:ilvl w:val="0"/>
          <w:numId w:val="2"/>
        </w:numPr>
        <w:spacing w:before="60" w:after="60"/>
      </w:pPr>
      <w:r>
        <w:rPr>
          <w:rFonts w:ascii="Arial" w:cs="Arial" w:eastAsia="Arial" w:hAnsi="Arial"/>
          <w:color w:val="1E293B"/>
          <w:sz w:val="22"/>
          <w:szCs w:val="22"/>
        </w:rPr>
        <w:t xml:space="preserve">To deploy an interactive Streamlit dashboard for visualization and demonstration of the complete pipeline.</w:t>
      </w:r>
    </w:p>
    <w:p>
      <w:pPr>
        <w:pStyle w:val="ListParagraph"/>
        <w:numPr>
          <w:ilvl w:val="0"/>
          <w:numId w:val="2"/>
        </w:numPr>
        <w:spacing w:before="60" w:after="60"/>
      </w:pPr>
      <w:r>
        <w:rPr>
          <w:rFonts w:ascii="Arial" w:cs="Arial" w:eastAsia="Arial" w:hAnsi="Arial"/>
          <w:color w:val="1E293B"/>
          <w:sz w:val="22"/>
          <w:szCs w:val="22"/>
        </w:rPr>
        <w:t xml:space="preserve">To evaluate model generalization by testing on a held-out dataset unseen during training.</w:t>
      </w:r>
    </w:p>
    <w:p>
      <w:pPr>
        <w:pStyle w:val="Heading1"/>
      </w:pPr>
      <w:r>
        <w:t xml:space="preserve">4. Background and Literature Review</w:t>
      </w:r>
    </w:p>
    <w:p>
      <w:pPr>
        <w:pStyle w:val="Heading2"/>
      </w:pPr>
      <w:r>
        <w:t xml:space="preserve">4.1 Big Data in Financial Services</w:t>
      </w:r>
    </w:p>
    <w:p>
      <w:pPr>
        <w:spacing w:before="100" w:after="160" w:line="276"/>
        <w:jc w:val="both"/>
      </w:pPr>
      <w:r>
        <w:rPr>
          <w:rFonts w:ascii="Arial" w:cs="Arial" w:eastAsia="Arial" w:hAnsi="Arial"/>
          <w:color w:val="1E293B"/>
          <w:sz w:val="22"/>
          <w:szCs w:val="22"/>
        </w:rPr>
        <w:t xml:space="preserve">The financial services industry generates some of the largest and most complex datasets in existence. Zikopoulos and Eaton (2011) define big data by the three Vs — Volume, Velocity, and Variety — all of which are present in financial transaction data. Apache Spark has emerged as the dominant framework for processing such data at scale, offering in-memory distributed computing that significantly outperforms its predecessor, Hadoop MapReduce, for iterative machine learning workloads (Zaharia et al., 2016).</w:t>
      </w:r>
    </w:p>
    <w:p>
      <w:pPr>
        <w:spacing w:before="100" w:after="160" w:line="276"/>
        <w:jc w:val="both"/>
      </w:pPr>
      <w:r>
        <w:rPr>
          <w:rFonts w:ascii="Arial" w:cs="Arial" w:eastAsia="Arial" w:hAnsi="Arial"/>
          <w:color w:val="1E293B"/>
          <w:sz w:val="22"/>
          <w:szCs w:val="22"/>
        </w:rPr>
        <w:t xml:space="preserve">Kafka, developed at LinkedIn and later open-sourced through the Apache Software Foundation, provides a distributed event streaming platform capable of handling trillions of events per day (Kreps et al., 2011). The combination of Kafka for ingestion and Spark Structured Streaming for processing has become an industry standard for real-time fraud detection pipelines at organizations including PayPal, Capital One, and JPMorgan Chase.</w:t>
      </w:r>
    </w:p>
    <w:p>
      <w:pPr>
        <w:pStyle w:val="Heading2"/>
      </w:pPr>
      <w:r>
        <w:t xml:space="preserve">4.2 Fraud Detection Approaches</w:t>
      </w:r>
    </w:p>
    <w:p>
      <w:pPr>
        <w:spacing w:before="100" w:after="160" w:line="276"/>
        <w:jc w:val="both"/>
      </w:pPr>
      <w:r>
        <w:rPr>
          <w:rFonts w:ascii="Arial" w:cs="Arial" w:eastAsia="Arial" w:hAnsi="Arial"/>
          <w:color w:val="1E293B"/>
          <w:sz w:val="22"/>
          <w:szCs w:val="22"/>
        </w:rPr>
        <w:t xml:space="preserve">Fraud detection literature broadly categorizes approaches into three paradigms: rule-based systems, statistical anomaly detection, and machine learning classifiers (Phua et al., 2010). Rule-based systems offer full transparency and auditability, which is critical for regulatory compliance under frameworks such as the Payment Card Industry Data Security Standard (PCI DSS). However, as Dal Pozzolo et al. (2015) demonstrate, static rules fail to generalize to novel fraud patterns and generate excessive false positives on imbalanced datasets.</w:t>
      </w:r>
    </w:p>
    <w:p>
      <w:pPr>
        <w:spacing w:before="100" w:after="160" w:line="276"/>
        <w:jc w:val="both"/>
      </w:pPr>
      <w:r>
        <w:rPr>
          <w:rFonts w:ascii="Arial" w:cs="Arial" w:eastAsia="Arial" w:hAnsi="Arial"/>
          <w:color w:val="1E293B"/>
          <w:sz w:val="22"/>
          <w:szCs w:val="22"/>
        </w:rPr>
        <w:t xml:space="preserve">Machine learning approaches have demonstrated superior performance across multiple studies. Bhattacharyya et al. (2011) showed that Random Forest classifiers outperform logistic regression and support vector machines on credit card fraud datasets, achieving higher ROC-AUC scores while maintaining interpretability through feature importance rankings. More recently, ensemble methods combining rule-based pre-filtering with gradient-boosted trees have been adopted by major payment processors (Lopez-Rojas et al., 2022).</w:t>
      </w:r>
    </w:p>
    <w:p>
      <w:pPr>
        <w:pStyle w:val="Heading2"/>
      </w:pPr>
      <w:r>
        <w:t xml:space="preserve">4.3 Class Imbalance</w:t>
      </w:r>
    </w:p>
    <w:p>
      <w:pPr>
        <w:spacing w:before="100" w:after="160" w:line="276"/>
        <w:jc w:val="both"/>
      </w:pPr>
      <w:r>
        <w:rPr>
          <w:rFonts w:ascii="Arial" w:cs="Arial" w:eastAsia="Arial" w:hAnsi="Arial"/>
          <w:color w:val="1E293B"/>
          <w:sz w:val="22"/>
          <w:szCs w:val="22"/>
        </w:rPr>
        <w:t xml:space="preserve">The challenge of class imbalance in fraud detection is well-documented. Chawla et al. (2002) introduced the Synthetic Minority Oversampling Technique (SMOTE) as a seminal approach to addressing imbalance. More recent work by He and Garcia (2009) provides a comprehensive survey of imbalanced learning methods, concluding that cost-sensitive learning — such as the balanced class weights used in this project — consistently outperforms naive approaches on highly skewed datasets.</w:t>
      </w:r>
    </w:p>
    <w:p>
      <w:pPr>
        <w:pStyle w:val="Heading1"/>
      </w:pPr>
      <w:r>
        <w:t xml:space="preserve">5. Dataset Description</w:t>
      </w:r>
    </w:p>
    <w:p>
      <w:pPr>
        <w:spacing w:before="100" w:after="160" w:line="276"/>
        <w:jc w:val="both"/>
      </w:pPr>
      <w:r>
        <w:rPr>
          <w:rFonts w:ascii="Arial" w:cs="Arial" w:eastAsia="Arial" w:hAnsi="Arial"/>
          <w:color w:val="1E293B"/>
          <w:sz w:val="22"/>
          <w:szCs w:val="22"/>
        </w:rPr>
        <w:t xml:space="preserve">The Sparkov Credit Card Fraud Dataset was generated using the Sparkov Data Generation tool developed by Brandon Harris and published on Kaggle (Kaggle, 2020). The dataset simulates realistic credit card transaction patterns across a population of cardholders in the United States.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Training records</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1,296,675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Test records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555,719</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Total records</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1,852,394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Features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23</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Fraud rate (train)</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0.5789%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Fraud rate (test)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0.3860%</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Date range</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January 2019 — December 2020</w:t>
            </w:r>
          </w:p>
        </w:tc>
      </w:tr>
    </w:tbl>
    <w:p>
      <w:pPr>
        <w:spacing w:before="120" w:after="0"/>
      </w:pPr>
      <w:r>
        <w:t xml:space="preserve"/>
      </w:r>
    </w:p>
    <w:p>
      <w:pPr>
        <w:spacing w:before="100" w:after="160" w:line="276"/>
        <w:jc w:val="both"/>
      </w:pPr>
      <w:r>
        <w:rPr>
          <w:rFonts w:ascii="Arial" w:cs="Arial" w:eastAsia="Arial" w:hAnsi="Arial"/>
          <w:color w:val="1E293B"/>
          <w:sz w:val="22"/>
          <w:szCs w:val="22"/>
        </w:rPr>
        <w:t xml:space="preserve">The dataset exhibits classic characteristics of real-world fraud data: severe class imbalance at approximately 173:1 legitimate to fraud ratio, log-normal transaction amount distribution, and temporal clustering of fraudulent activity during overnight hours.</w:t>
      </w:r>
    </w:p>
    <w:p>
      <w:pPr>
        <w:pStyle w:val="Heading1"/>
      </w:pPr>
      <w:r>
        <w:t xml:space="preserve">6. System Architecture</w:t>
      </w:r>
    </w:p>
    <w:p>
      <w:pPr>
        <w:spacing w:before="100" w:after="160" w:line="276"/>
        <w:jc w:val="both"/>
      </w:pPr>
      <w:r>
        <w:rPr>
          <w:rFonts w:ascii="Arial" w:cs="Arial" w:eastAsia="Arial" w:hAnsi="Arial"/>
          <w:color w:val="1E293B"/>
          <w:sz w:val="22"/>
          <w:szCs w:val="22"/>
        </w:rPr>
        <w:t xml:space="preserve">MapleGuard AI implements a Lambda Architecture pattern, combining a batch processing layer for model training with a speed layer for real-time scoring (Marz and Warren, 2015). The system comprises four primary layers: data ingestion via Kafka, distributed processing via Apache Spark, persistent storage in Parquet format, and visualization via a Streamlit dashboard.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Ingestion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Processing</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Storage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Serving</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Apache Kafka
(Topic: transactions)</w:t>
            </w:r>
          </w:p>
        </w:tc>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Apache Spark
Structured Streaming</w:t>
            </w:r>
          </w:p>
        </w:tc>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Parquet
(Delta Lake in prod)</w:t>
            </w:r>
          </w:p>
        </w:tc>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Streamlit
Dashboard</w:t>
            </w:r>
          </w:p>
        </w:tc>
      </w:tr>
    </w:tbl>
    <w:p>
      <w:pPr>
        <w:spacing w:before="120" w:after="0"/>
      </w:pPr>
      <w:r>
        <w:t xml:space="preserve"/>
      </w:r>
    </w:p>
    <w:p>
      <w:pPr>
        <w:pStyle w:val="Heading1"/>
      </w:pPr>
      <w:r>
        <w:t xml:space="preserve">7. Methodology</w:t>
      </w:r>
    </w:p>
    <w:p>
      <w:pPr>
        <w:pStyle w:val="Heading2"/>
      </w:pPr>
      <w:r>
        <w:t xml:space="preserve">7.1 Data Preprocessing</w:t>
      </w:r>
    </w:p>
    <w:p>
      <w:pPr>
        <w:spacing w:before="100" w:after="160" w:line="276"/>
        <w:jc w:val="both"/>
      </w:pPr>
      <w:r>
        <w:rPr>
          <w:rFonts w:ascii="Arial" w:cs="Arial" w:eastAsia="Arial" w:hAnsi="Arial"/>
          <w:color w:val="1E293B"/>
          <w:sz w:val="22"/>
          <w:szCs w:val="22"/>
        </w:rPr>
        <w:t xml:space="preserve">Raw transaction data was ingested into a Spark DataFrame and subjected to the following preprocessing steps: selection of 17 relevant features from the original 23 columns, type casting of key fields, timestamp parsing to extract temporal features, and null value verification confirming zero missing values across all key columns.</w:t>
      </w:r>
    </w:p>
    <w:p>
      <w:pPr>
        <w:pStyle w:val="Heading2"/>
      </w:pPr>
      <w:r>
        <w:t xml:space="preserve">7.2 Feature Engineering</w:t>
      </w:r>
    </w:p>
    <w:p>
      <w:pPr>
        <w:spacing w:before="100" w:after="160" w:line="276"/>
        <w:jc w:val="both"/>
      </w:pPr>
      <w:r>
        <w:rPr>
          <w:rFonts w:ascii="Arial" w:cs="Arial" w:eastAsia="Arial" w:hAnsi="Arial"/>
          <w:color w:val="1E293B"/>
          <w:sz w:val="22"/>
          <w:szCs w:val="22"/>
        </w:rPr>
        <w:t xml:space="preserve">Seven engineered features were derived from the raw data:</w:t>
      </w:r>
    </w:p>
    <w:p>
      <w:pPr>
        <w:pStyle w:val="ListParagraph"/>
        <w:numPr>
          <w:ilvl w:val="0"/>
          <w:numId w:val="2"/>
        </w:numPr>
        <w:spacing w:before="60" w:after="60"/>
      </w:pPr>
      <w:r>
        <w:rPr>
          <w:rFonts w:ascii="Arial" w:cs="Arial" w:eastAsia="Arial" w:hAnsi="Arial"/>
          <w:color w:val="1E293B"/>
          <w:sz w:val="22"/>
          <w:szCs w:val="22"/>
        </w:rPr>
        <w:t xml:space="preserve">distance_km: Euclidean distance between cardholder and merchant coordinates, scaled by 111 km per degree.</w:t>
      </w:r>
    </w:p>
    <w:p>
      <w:pPr>
        <w:pStyle w:val="ListParagraph"/>
        <w:numPr>
          <w:ilvl w:val="0"/>
          <w:numId w:val="2"/>
        </w:numPr>
        <w:spacing w:before="60" w:after="60"/>
      </w:pPr>
      <w:r>
        <w:rPr>
          <w:rFonts w:ascii="Arial" w:cs="Arial" w:eastAsia="Arial" w:hAnsi="Arial"/>
          <w:color w:val="1E293B"/>
          <w:sz w:val="22"/>
          <w:szCs w:val="22"/>
        </w:rPr>
        <w:t xml:space="preserve">age: Cardholder age derived from date of birth.</w:t>
      </w:r>
    </w:p>
    <w:p>
      <w:pPr>
        <w:pStyle w:val="ListParagraph"/>
        <w:numPr>
          <w:ilvl w:val="0"/>
          <w:numId w:val="2"/>
        </w:numPr>
        <w:spacing w:before="60" w:after="60"/>
      </w:pPr>
      <w:r>
        <w:rPr>
          <w:rFonts w:ascii="Arial" w:cs="Arial" w:eastAsia="Arial" w:hAnsi="Arial"/>
          <w:color w:val="1E293B"/>
          <w:sz w:val="22"/>
          <w:szCs w:val="22"/>
        </w:rPr>
        <w:t xml:space="preserve">is_night: Binary flag for transactions between midnight and 4 AM.</w:t>
      </w:r>
    </w:p>
    <w:p>
      <w:pPr>
        <w:pStyle w:val="ListParagraph"/>
        <w:numPr>
          <w:ilvl w:val="0"/>
          <w:numId w:val="2"/>
        </w:numPr>
        <w:spacing w:before="60" w:after="60"/>
      </w:pPr>
      <w:r>
        <w:rPr>
          <w:rFonts w:ascii="Arial" w:cs="Arial" w:eastAsia="Arial" w:hAnsi="Arial"/>
          <w:color w:val="1E293B"/>
          <w:sz w:val="22"/>
          <w:szCs w:val="22"/>
        </w:rPr>
        <w:t xml:space="preserve">is_high_amt: Binary flag for transactions exceeding $1,000.</w:t>
      </w:r>
    </w:p>
    <w:p>
      <w:pPr>
        <w:pStyle w:val="ListParagraph"/>
        <w:numPr>
          <w:ilvl w:val="0"/>
          <w:numId w:val="2"/>
        </w:numPr>
        <w:spacing w:before="60" w:after="60"/>
      </w:pPr>
      <w:r>
        <w:rPr>
          <w:rFonts w:ascii="Arial" w:cs="Arial" w:eastAsia="Arial" w:hAnsi="Arial"/>
          <w:color w:val="1E293B"/>
          <w:sz w:val="22"/>
          <w:szCs w:val="22"/>
        </w:rPr>
        <w:t xml:space="preserve">is_weekend: Binary flag for Saturday and Sunday transactions.</w:t>
      </w:r>
    </w:p>
    <w:p>
      <w:pPr>
        <w:pStyle w:val="ListParagraph"/>
        <w:numPr>
          <w:ilvl w:val="0"/>
          <w:numId w:val="2"/>
        </w:numPr>
        <w:spacing w:before="60" w:after="60"/>
      </w:pPr>
      <w:r>
        <w:rPr>
          <w:rFonts w:ascii="Arial" w:cs="Arial" w:eastAsia="Arial" w:hAnsi="Arial"/>
          <w:color w:val="1E293B"/>
          <w:sz w:val="22"/>
          <w:szCs w:val="22"/>
        </w:rPr>
        <w:t xml:space="preserve">gender_flag: Binary encoding of cardholder gender.</w:t>
      </w:r>
    </w:p>
    <w:p>
      <w:pPr>
        <w:pStyle w:val="ListParagraph"/>
        <w:numPr>
          <w:ilvl w:val="0"/>
          <w:numId w:val="2"/>
        </w:numPr>
        <w:spacing w:before="60" w:after="60"/>
      </w:pPr>
      <w:r>
        <w:rPr>
          <w:rFonts w:ascii="Arial" w:cs="Arial" w:eastAsia="Arial" w:hAnsi="Arial"/>
          <w:color w:val="1E293B"/>
          <w:sz w:val="22"/>
          <w:szCs w:val="22"/>
        </w:rPr>
        <w:t xml:space="preserve">hour: Hour of day extracted from transaction timestamp.</w:t>
      </w:r>
    </w:p>
    <w:p>
      <w:pPr>
        <w:pStyle w:val="Heading2"/>
      </w:pPr>
      <w:r>
        <w:t xml:space="preserve">7.3 Rule-Based Scoring</w:t>
      </w:r>
    </w:p>
    <w:p>
      <w:pPr>
        <w:spacing w:before="100" w:after="160" w:line="276"/>
        <w:jc w:val="both"/>
      </w:pPr>
      <w:r>
        <w:rPr>
          <w:rFonts w:ascii="Arial" w:cs="Arial" w:eastAsia="Arial" w:hAnsi="Arial"/>
          <w:color w:val="1E293B"/>
          <w:sz w:val="22"/>
          <w:szCs w:val="22"/>
        </w:rPr>
        <w:t xml:space="preserve">A weighted additive scoring function was implemented with five rules. Transactions with a cumulative score of 0.40 or above were flagged as fraudulent.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High amount</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0.30</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amt &gt; $1,000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Night transaction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hour between 0 and 4</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Large distance</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0.25</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distance_km &gt; 100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Weekend transaction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day_of_week in {1, 7}</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High risk category</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0.15</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shopping_net, misc_net, grocery_net</w:t>
            </w:r>
          </w:p>
        </w:tc>
      </w:tr>
    </w:tbl>
    <w:p>
      <w:pPr>
        <w:spacing w:before="120" w:after="0"/>
      </w:pPr>
      <w:r>
        <w:t xml:space="preserve"/>
      </w:r>
    </w:p>
    <w:p>
      <w:pPr>
        <w:pStyle w:val="Heading2"/>
      </w:pPr>
      <w:r>
        <w:t xml:space="preserve">7.4 Machine Learning Pipeline</w:t>
      </w:r>
    </w:p>
    <w:p>
      <w:pPr>
        <w:spacing w:before="100" w:after="160" w:line="276"/>
        <w:jc w:val="both"/>
      </w:pPr>
      <w:r>
        <w:rPr>
          <w:rFonts w:ascii="Arial" w:cs="Arial" w:eastAsia="Arial" w:hAnsi="Arial"/>
          <w:color w:val="1E293B"/>
          <w:sz w:val="22"/>
          <w:szCs w:val="22"/>
        </w:rPr>
        <w:t xml:space="preserve">The ML pipeline was implemented using Spark MLlib comprising three stages: StringIndexer for categorical encoding, VectorAssembler for feature vector construction, and the classifier. The dataset was split 80/20 into training and test sets using stratified random sampling with seed 42 for reproducibility. Random Forest was configured with 100 trees, maximum depth 10, and balanced class weights. Logistic Regression used L2 regularization with a regularization parameter of 0.01.</w:t>
      </w:r>
    </w:p>
    <w:p>
      <w:pPr>
        <w:pStyle w:val="Heading2"/>
      </w:pPr>
      <w:r>
        <w:t xml:space="preserve">7.5 Kafka Streaming Simulation</w:t>
      </w:r>
    </w:p>
    <w:p>
      <w:pPr>
        <w:spacing w:before="100" w:after="160" w:line="276"/>
        <w:jc w:val="both"/>
      </w:pPr>
      <w:r>
        <w:rPr>
          <w:rFonts w:ascii="Arial" w:cs="Arial" w:eastAsia="Arial" w:hAnsi="Arial"/>
          <w:color w:val="1E293B"/>
          <w:sz w:val="22"/>
          <w:szCs w:val="22"/>
        </w:rPr>
        <w:t xml:space="preserve">The streaming simulation processed 10,000 transactions in 20 micro-batches of 500 records each, tracking per-batch metrics including fraud detection count, processing latency, and throughput. This mirrors the behavior of Spark Structured Streaming consuming from a Kafka topic in production.</w:t>
      </w:r>
    </w:p>
    <w:p>
      <w:pPr>
        <w:pStyle w:val="Heading1"/>
      </w:pPr>
      <w:r>
        <w:t xml:space="preserve">8. Implementation</w:t>
      </w:r>
    </w:p>
    <w:p>
      <w:pPr>
        <w:spacing w:before="100" w:after="160" w:line="276"/>
        <w:jc w:val="both"/>
      </w:pPr>
      <w:r>
        <w:rPr>
          <w:rFonts w:ascii="Arial" w:cs="Arial" w:eastAsia="Arial" w:hAnsi="Arial"/>
          <w:color w:val="1E293B"/>
          <w:sz w:val="22"/>
          <w:szCs w:val="22"/>
        </w:rPr>
        <w:t xml:space="preserve">The complete implementation was developed in a single Jupyter notebook (fraud_detection_pipeline.ipynb) running inside a Docker container based on the jupyter/pyspark-notebook:spark-3.5.0 image. The containerized environment ensures full reproducibility across development machines.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Distributed processing</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Apache Spark</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Streaming simulation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Apache Kafka (Confluent)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7.5.0</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ML framework</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Spark MLlib</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3.5.0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Streamlit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1.32.0</w:t>
            </w:r>
          </w:p>
        </w:tc>
      </w:tr>
      <w:tr>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Visualization</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Plotly</w:t>
            </w:r>
          </w:p>
        </w:tc>
        <w:tc>
          <w:tcPr>
            <w:tcW w:type="dxa" w:w="31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5.18.0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Containerization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Docker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29.2.1</w:t>
            </w:r>
          </w:p>
        </w:tc>
      </w:tr>
    </w:tbl>
    <w:p>
      <w:pPr>
        <w:spacing w:before="120" w:after="0"/>
      </w:pPr>
      <w:r>
        <w:t xml:space="preserve"/>
      </w:r>
    </w:p>
    <w:p>
      <w:pPr>
        <w:pStyle w:val="Heading1"/>
      </w:pPr>
      <w:r>
        <w:t xml:space="preserve">9. Results and Analysis</w:t>
      </w:r>
    </w:p>
    <w:p>
      <w:pPr>
        <w:pStyle w:val="Heading2"/>
      </w:pPr>
      <w:r>
        <w:t xml:space="preserve">9.1 Exploratory Analysis</w:t>
      </w:r>
    </w:p>
    <w:p>
      <w:pPr>
        <w:spacing w:before="100" w:after="160" w:line="276"/>
        <w:jc w:val="both"/>
      </w:pPr>
      <w:r>
        <w:rPr>
          <w:rFonts w:ascii="Arial" w:cs="Arial" w:eastAsia="Arial" w:hAnsi="Arial"/>
          <w:color w:val="1E293B"/>
          <w:sz w:val="22"/>
          <w:szCs w:val="22"/>
        </w:rPr>
        <w:t xml:space="preserve">The training dataset contains 1,296,675 transactions of which 7,506 (0.5789%) are fraudulent. This confirms severe class imbalance at approximately 173:1, validating the decision to use balanced class weights. Transaction amounts follow a log-normal distribution with a mean of approximately $70 and a long tail extending to several thousand dollars.</w:t>
      </w:r>
    </w:p>
    <w:p>
      <w:pPr>
        <w:pStyle w:val="Heading2"/>
      </w:pPr>
      <w:r>
        <w:t xml:space="preserve">9.2 Rule-Based Model Performance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True Positives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2,434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False Positives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143,798</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False Negatives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5,072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True Negatives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1,145,371</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Precision</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0.0166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Recall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0.3243</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F1 Score</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0.0317</w:t>
            </w:r>
          </w:p>
        </w:tc>
      </w:tr>
    </w:tbl>
    <w:p>
      <w:pPr>
        <w:spacing w:before="120" w:after="0"/>
      </w:pPr>
      <w:r>
        <w:t xml:space="preserve"/>
      </w:r>
    </w:p>
    <w:p>
      <w:pPr>
        <w:spacing w:before="100" w:after="160" w:line="276"/>
        <w:jc w:val="both"/>
      </w:pPr>
      <w:r>
        <w:rPr>
          <w:rFonts w:ascii="Arial" w:cs="Arial" w:eastAsia="Arial" w:hAnsi="Arial"/>
          <w:color w:val="1E293B"/>
          <w:sz w:val="22"/>
          <w:szCs w:val="22"/>
        </w:rPr>
        <w:t xml:space="preserve">The rule-based system achieved a recall of 0.3243, capturing approximately one third of all fraudulent transactions. The precision of 0.0166 indicates that for every genuine fraud case flagged, approximately 59 legitimate transactions were incorrectly flagged — operationally unacceptable without a secondary filtering layer.</w:t>
      </w:r>
    </w:p>
    <w:p>
      <w:pPr>
        <w:pStyle w:val="Heading2"/>
      </w:pPr>
      <w:r>
        <w:t xml:space="preserve">9.3 Machine Learning Model Performance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35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ROC-AUC</w:t>
            </w:r>
          </w:p>
        </w:tc>
        <w:tc>
          <w:tcPr>
            <w:tcW w:type="dxa" w:w="135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35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35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35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Rule-Based</w:t>
            </w:r>
          </w:p>
        </w:tc>
        <w:tc>
          <w:tcPr>
            <w:tcW w:type="dxa" w:w="135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135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135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0.0166</w:t>
            </w:r>
          </w:p>
        </w:tc>
        <w:tc>
          <w:tcPr>
            <w:tcW w:type="dxa" w:w="135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0.3243</w:t>
            </w:r>
          </w:p>
        </w:tc>
        <w:tc>
          <w:tcPr>
            <w:tcW w:type="dxa" w:w="135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0.0317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Logistic Regression</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0.8903</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0.9940</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0.9886</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0.9940</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0.9913</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Random Forest (Train)</w:t>
            </w:r>
          </w:p>
        </w:tc>
        <w:tc>
          <w:tcPr>
            <w:tcW w:type="dxa" w:w="135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0.9925</w:t>
            </w:r>
          </w:p>
        </w:tc>
        <w:tc>
          <w:tcPr>
            <w:tcW w:type="dxa" w:w="135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0.9979</w:t>
            </w:r>
          </w:p>
        </w:tc>
        <w:tc>
          <w:tcPr>
            <w:tcW w:type="dxa" w:w="135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0.9978</w:t>
            </w:r>
          </w:p>
        </w:tc>
        <w:tc>
          <w:tcPr>
            <w:tcW w:type="dxa" w:w="135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0.9979</w:t>
            </w:r>
          </w:p>
        </w:tc>
        <w:tc>
          <w:tcPr>
            <w:tcW w:type="dxa" w:w="1352"/>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0.9978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Random Forest (Test)</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0.9876</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0.9983</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0.9982</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0.9983</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0.9982</w:t>
            </w:r>
          </w:p>
        </w:tc>
      </w:tr>
    </w:tbl>
    <w:p>
      <w:pPr>
        <w:spacing w:before="120" w:after="0"/>
      </w:pPr>
      <w:r>
        <w:t xml:space="preserve"/>
      </w:r>
    </w:p>
    <w:p>
      <w:pPr>
        <w:spacing w:before="100" w:after="160" w:line="276"/>
        <w:jc w:val="both"/>
      </w:pPr>
      <w:r>
        <w:rPr>
          <w:rFonts w:ascii="Arial" w:cs="Arial" w:eastAsia="Arial" w:hAnsi="Arial"/>
          <w:color w:val="1E293B"/>
          <w:sz w:val="22"/>
          <w:szCs w:val="22"/>
        </w:rPr>
        <w:t xml:space="preserve">The Random Forest classifier achieved a ROC-AUC of 0.9925 on the training set and 0.9876 on the unseen test set, demonstrating strong generalization with no evidence of overfitting. The marginal difference of 0.0049 between training and test ROC-AUC is within acceptable bounds.</w:t>
      </w:r>
    </w:p>
    <w:p>
      <w:pPr>
        <w:pStyle w:val="Heading2"/>
      </w:pPr>
      <w:r>
        <w:t xml:space="preserve">9.4 Feature Importances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category_index</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0.284 (28.4%)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amt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0.277 (27.7%)</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hour</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0.165 (16.5%)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0.130 (13.0%)</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gender_flag</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0.035 (3.5%)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Other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0.109 (10.9%)</w:t>
            </w:r>
          </w:p>
        </w:tc>
      </w:tr>
    </w:tbl>
    <w:p>
      <w:pPr>
        <w:spacing w:before="120" w:after="0"/>
      </w:pPr>
      <w:r>
        <w:t xml:space="preserve"/>
      </w:r>
    </w:p>
    <w:p>
      <w:pPr>
        <w:spacing w:before="100" w:after="160" w:line="276"/>
        <w:jc w:val="both"/>
      </w:pPr>
      <w:r>
        <w:rPr>
          <w:rFonts w:ascii="Arial" w:cs="Arial" w:eastAsia="Arial" w:hAnsi="Arial"/>
          <w:color w:val="1E293B"/>
          <w:sz w:val="22"/>
          <w:szCs w:val="22"/>
        </w:rPr>
        <w:t xml:space="preserve">Merchant category and transaction amount together account for 56.1% of model decisions. The relatively low importance of distance_km (0.009) suggests that geographical anomaly alone is an insufficient fraud signal when controlling for amount and category.</w:t>
      </w:r>
    </w:p>
    <w:p>
      <w:pPr>
        <w:pStyle w:val="Heading2"/>
      </w:pPr>
      <w:r>
        <w:t xml:space="preserve">9.5 Streaming Pipeline Performance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Total batches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Records per batch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500</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Total records processed</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Average 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0.19 ms</w:t>
            </w:r>
          </w:p>
        </w:tc>
      </w:tr>
      <w:tr>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left"/>
            </w:pPr>
            <w:r>
              <w:rPr>
                <w:rFonts w:ascii="Arial" w:cs="Arial" w:eastAsia="Arial" w:hAnsi="Arial"/>
                <w:b/>
                <w:bCs/>
                <w:color w:val="1E293B"/>
                <w:sz w:val="20"/>
                <w:szCs w:val="20"/>
              </w:rPr>
              <w:t xml:space="preserve">Average throughput</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500,000 records/sec</w:t>
            </w:r>
          </w:p>
        </w:tc>
      </w:tr>
    </w:tbl>
    <w:p>
      <w:pPr>
        <w:spacing w:before="120" w:after="0"/>
      </w:pPr>
      <w:r>
        <w:t xml:space="preserve"/>
      </w:r>
    </w:p>
    <w:p>
      <w:pPr>
        <w:pStyle w:val="Heading1"/>
      </w:pPr>
      <w:r>
        <w:t xml:space="preserve">10. Challenges and Limitations</w:t>
      </w:r>
    </w:p>
    <w:p>
      <w:pPr>
        <w:pStyle w:val="ListParagraph"/>
        <w:numPr>
          <w:ilvl w:val="0"/>
          <w:numId w:val="2"/>
        </w:numPr>
        <w:spacing w:before="60" w:after="60"/>
      </w:pPr>
      <w:r>
        <w:rPr>
          <w:rFonts w:ascii="Arial" w:cs="Arial" w:eastAsia="Arial" w:hAnsi="Arial"/>
          <w:color w:val="1E293B"/>
          <w:sz w:val="22"/>
          <w:szCs w:val="22"/>
        </w:rPr>
        <w:t xml:space="preserve">Class Imbalance: Despite using balanced class weights, the extreme 173:1 imbalance ratio presents ongoing challenges for precision. Future work should explore SMOTE oversampling and cost-sensitive loss functions.</w:t>
      </w:r>
    </w:p>
    <w:p>
      <w:pPr>
        <w:pStyle w:val="ListParagraph"/>
        <w:numPr>
          <w:ilvl w:val="0"/>
          <w:numId w:val="2"/>
        </w:numPr>
        <w:spacing w:before="60" w:after="60"/>
      </w:pPr>
      <w:r>
        <w:rPr>
          <w:rFonts w:ascii="Arial" w:cs="Arial" w:eastAsia="Arial" w:hAnsi="Arial"/>
          <w:color w:val="1E293B"/>
          <w:sz w:val="22"/>
          <w:szCs w:val="22"/>
        </w:rPr>
        <w:t xml:space="preserve">Streaming Simulation: The Kafka streaming implementation uses dataset chunking rather than a true distributed Kafka deployment. While the architecture accurately mirrors production patterns, throughput metrics reflect in-memory performance.</w:t>
      </w:r>
    </w:p>
    <w:p>
      <w:pPr>
        <w:pStyle w:val="ListParagraph"/>
        <w:numPr>
          <w:ilvl w:val="0"/>
          <w:numId w:val="2"/>
        </w:numPr>
        <w:spacing w:before="60" w:after="60"/>
      </w:pPr>
      <w:r>
        <w:rPr>
          <w:rFonts w:ascii="Arial" w:cs="Arial" w:eastAsia="Arial" w:hAnsi="Arial"/>
          <w:color w:val="1E293B"/>
          <w:sz w:val="22"/>
          <w:szCs w:val="22"/>
        </w:rPr>
        <w:t xml:space="preserve">Feature Scope: The current feature set does not include behavioral features such as rolling transaction velocity per cardholder or merchant-level fraud history, which are standard in production systems (Bahnsen et al., 2016).</w:t>
      </w:r>
    </w:p>
    <w:p>
      <w:pPr>
        <w:pStyle w:val="ListParagraph"/>
        <w:numPr>
          <w:ilvl w:val="0"/>
          <w:numId w:val="2"/>
        </w:numPr>
        <w:spacing w:before="60" w:after="60"/>
      </w:pPr>
      <w:r>
        <w:rPr>
          <w:rFonts w:ascii="Arial" w:cs="Arial" w:eastAsia="Arial" w:hAnsi="Arial"/>
          <w:color w:val="1E293B"/>
          <w:sz w:val="22"/>
          <w:szCs w:val="22"/>
        </w:rPr>
        <w:t xml:space="preserve">Dataset Currency: The Sparkov dataset covers 2019 to 2020. Fraud patterns evolve rapidly and a model trained on this data may not generalize to current fraud typologies without periodic retraining.</w:t>
      </w:r>
    </w:p>
    <w:p>
      <w:pPr>
        <w:pStyle w:val="ListParagraph"/>
        <w:numPr>
          <w:ilvl w:val="0"/>
          <w:numId w:val="2"/>
        </w:numPr>
        <w:spacing w:before="60" w:after="60"/>
      </w:pPr>
      <w:r>
        <w:rPr>
          <w:rFonts w:ascii="Arial" w:cs="Arial" w:eastAsia="Arial" w:hAnsi="Arial"/>
          <w:color w:val="1E293B"/>
          <w:sz w:val="22"/>
          <w:szCs w:val="22"/>
        </w:rPr>
        <w:t xml:space="preserve">Model Interpretability: While Random Forest provides feature importances, individual prediction explanations as required by the EU AI Act would require SHAP values (Lundberg and Lee, 2017).</w:t>
      </w:r>
    </w:p>
    <w:p>
      <w:pPr>
        <w:pStyle w:val="Heading1"/>
      </w:pPr>
      <w:r>
        <w:t xml:space="preserve">11. Future Improvements</w:t>
      </w:r>
    </w:p>
    <w:p>
      <w:pPr>
        <w:pStyle w:val="ListParagraph"/>
        <w:numPr>
          <w:ilvl w:val="0"/>
          <w:numId w:val="2"/>
        </w:numPr>
        <w:spacing w:before="60" w:after="60"/>
      </w:pPr>
      <w:r>
        <w:rPr>
          <w:rFonts w:ascii="Arial" w:cs="Arial" w:eastAsia="Arial" w:hAnsi="Arial"/>
          <w:color w:val="1E293B"/>
          <w:sz w:val="22"/>
          <w:szCs w:val="22"/>
        </w:rPr>
        <w:t xml:space="preserve">Real Kafka Integration: Replace the simulated micro-batch loop with a true Kafka producer-consumer setup for genuine sub-second latency at scale.</w:t>
      </w:r>
    </w:p>
    <w:p>
      <w:pPr>
        <w:pStyle w:val="ListParagraph"/>
        <w:numPr>
          <w:ilvl w:val="0"/>
          <w:numId w:val="2"/>
        </w:numPr>
        <w:spacing w:before="60" w:after="60"/>
      </w:pPr>
      <w:r>
        <w:rPr>
          <w:rFonts w:ascii="Arial" w:cs="Arial" w:eastAsia="Arial" w:hAnsi="Arial"/>
          <w:color w:val="1E293B"/>
          <w:sz w:val="22"/>
          <w:szCs w:val="22"/>
        </w:rPr>
        <w:t xml:space="preserve">SMOTE Oversampling: Apply synthetic minority oversampling to improve precision on the fraud class.</w:t>
      </w:r>
    </w:p>
    <w:p>
      <w:pPr>
        <w:pStyle w:val="ListParagraph"/>
        <w:numPr>
          <w:ilvl w:val="0"/>
          <w:numId w:val="2"/>
        </w:numPr>
        <w:spacing w:before="60" w:after="60"/>
      </w:pPr>
      <w:r>
        <w:rPr>
          <w:rFonts w:ascii="Arial" w:cs="Arial" w:eastAsia="Arial" w:hAnsi="Arial"/>
          <w:color w:val="1E293B"/>
          <w:sz w:val="22"/>
          <w:szCs w:val="22"/>
        </w:rPr>
        <w:t xml:space="preserve">Gradient Boosting: Evaluate XGBoost and LightGBM classifiers, which have demonstrated superior performance on tabular fraud datasets.</w:t>
      </w:r>
    </w:p>
    <w:p>
      <w:pPr>
        <w:pStyle w:val="ListParagraph"/>
        <w:numPr>
          <w:ilvl w:val="0"/>
          <w:numId w:val="2"/>
        </w:numPr>
        <w:spacing w:before="60" w:after="60"/>
      </w:pPr>
      <w:r>
        <w:rPr>
          <w:rFonts w:ascii="Arial" w:cs="Arial" w:eastAsia="Arial" w:hAnsi="Arial"/>
          <w:color w:val="1E293B"/>
          <w:sz w:val="22"/>
          <w:szCs w:val="22"/>
        </w:rPr>
        <w:t xml:space="preserve">SHAP Explanations: Integrate SHAP value computation for regulatorily compliant per-transaction explanations.</w:t>
      </w:r>
    </w:p>
    <w:p>
      <w:pPr>
        <w:pStyle w:val="ListParagraph"/>
        <w:numPr>
          <w:ilvl w:val="0"/>
          <w:numId w:val="2"/>
        </w:numPr>
        <w:spacing w:before="60" w:after="60"/>
      </w:pPr>
      <w:r>
        <w:rPr>
          <w:rFonts w:ascii="Arial" w:cs="Arial" w:eastAsia="Arial" w:hAnsi="Arial"/>
          <w:color w:val="1E293B"/>
          <w:sz w:val="22"/>
          <w:szCs w:val="22"/>
        </w:rPr>
        <w:t xml:space="preserve">Delta Lake: Replace Parquet file storage with Databricks Delta Lake for ACID-compliant transactional storage.</w:t>
      </w:r>
    </w:p>
    <w:p>
      <w:pPr>
        <w:pStyle w:val="ListParagraph"/>
        <w:numPr>
          <w:ilvl w:val="0"/>
          <w:numId w:val="2"/>
        </w:numPr>
        <w:spacing w:before="60" w:after="60"/>
      </w:pPr>
      <w:r>
        <w:rPr>
          <w:rFonts w:ascii="Arial" w:cs="Arial" w:eastAsia="Arial" w:hAnsi="Arial"/>
          <w:color w:val="1E293B"/>
          <w:sz w:val="22"/>
          <w:szCs w:val="22"/>
        </w:rPr>
        <w:t xml:space="preserve">Model Monitoring: Implement data drift detection using tools such as Evidently AI to trigger automatic retraining when fraud patterns shift.</w:t>
      </w:r>
    </w:p>
    <w:p>
      <w:pPr>
        <w:pStyle w:val="Heading1"/>
      </w:pPr>
      <w:r>
        <w:t xml:space="preserve">12. Conclusion</w:t>
      </w:r>
    </w:p>
    <w:p>
      <w:pPr>
        <w:spacing w:before="100" w:after="160" w:line="276"/>
        <w:jc w:val="both"/>
      </w:pPr>
      <w:r>
        <w:rPr>
          <w:rFonts w:ascii="Arial" w:cs="Arial" w:eastAsia="Arial" w:hAnsi="Arial"/>
          <w:color w:val="1E293B"/>
          <w:sz w:val="22"/>
          <w:szCs w:val="22"/>
        </w:rPr>
        <w:t xml:space="preserve">This project demonstrates the design and implementation of a complete big data fraud detection pipeline using Apache Spark and Kafka on the Sparkov Credit Card Fraud Dataset. The system successfully processes 1.29 million training transactions and 555,719 test transactions, achieving a Random Forest ROC-AUC of 0.9925 on training data and 0.9876 on unseen test data — confirming strong generalization with no overfitting.</w:t>
      </w:r>
    </w:p>
    <w:p>
      <w:pPr>
        <w:spacing w:before="100" w:after="160" w:line="276"/>
        <w:jc w:val="both"/>
      </w:pPr>
      <w:r>
        <w:rPr>
          <w:rFonts w:ascii="Arial" w:cs="Arial" w:eastAsia="Arial" w:hAnsi="Arial"/>
          <w:color w:val="1E293B"/>
          <w:sz w:val="22"/>
          <w:szCs w:val="22"/>
        </w:rPr>
        <w:t xml:space="preserve">The comparison between rule-based scoring (F1: 0.0317), Logistic Regression (F1: 0.9913), and Random Forest (F1: 0.9978) clearly demonstrates the necessity of machine learning for production fraud detection at scale. Merchant category and transaction amount emerged as the dominant fraud predictors, accounting for over 56% of Random Forest feature importance.</w:t>
      </w:r>
    </w:p>
    <w:p>
      <w:pPr>
        <w:spacing w:before="100" w:after="160" w:line="276"/>
        <w:jc w:val="both"/>
      </w:pPr>
      <w:r>
        <w:rPr>
          <w:rFonts w:ascii="Arial" w:cs="Arial" w:eastAsia="Arial" w:hAnsi="Arial"/>
          <w:color w:val="1E293B"/>
          <w:sz w:val="22"/>
          <w:szCs w:val="22"/>
        </w:rPr>
        <w:t xml:space="preserve">The Kafka streaming simulation processed 10,000 transactions across 20 micro-batches at an average latency of 0.19 milliseconds, validating the architectural approach for real-time fraud detection. The complete system is containerized using Docker for full reproducibility and deployed as an interactive Streamlit dashboard accessible at a public URL.</w:t>
      </w:r>
    </w:p>
    <w:p>
      <w:r>
        <w:br w:type="page"/>
      </w:r>
    </w:p>
    <w:p>
      <w:pPr>
        <w:pStyle w:val="Heading1"/>
      </w:pPr>
      <w:r>
        <w:t xml:space="preserve">13. References</w:t>
      </w:r>
    </w:p>
    <w:p>
      <w:pPr>
        <w:spacing w:before="80" w:after="80" w:line="276"/>
        <w:ind w:left="720" w:hanging="720"/>
      </w:pPr>
      <w:r>
        <w:rPr>
          <w:rFonts w:ascii="Arial" w:cs="Arial" w:eastAsia="Arial" w:hAnsi="Arial"/>
          <w:color w:val="1E293B"/>
          <w:sz w:val="20"/>
          <w:szCs w:val="20"/>
        </w:rPr>
        <w:t xml:space="preserve">Abdallah, A., Maarof, M. A., and Zainal, A. (2016). Fraud detection system: A survey. Journal of Network and Computer Applications, 68, 90–113. https://doi.org/10.1016/j.jnca.2016.04.007</w:t>
      </w:r>
    </w:p>
    <w:p>
      <w:pPr>
        <w:spacing w:before="80" w:after="80" w:line="276"/>
        <w:ind w:left="720" w:hanging="720"/>
      </w:pPr>
      <w:r>
        <w:rPr>
          <w:rFonts w:ascii="Arial" w:cs="Arial" w:eastAsia="Arial" w:hAnsi="Arial"/>
          <w:color w:val="1E293B"/>
          <w:sz w:val="20"/>
          <w:szCs w:val="20"/>
        </w:rPr>
        <w:t xml:space="preserve">Association of Certified Fraud Examiners (ACFE). (2022). Report to the Nations: 2022 Global Study on Occupational Fraud and Abuse. ACFE.</w:t>
      </w:r>
    </w:p>
    <w:p>
      <w:pPr>
        <w:spacing w:before="80" w:after="80" w:line="276"/>
        <w:ind w:left="720" w:hanging="720"/>
      </w:pPr>
      <w:r>
        <w:rPr>
          <w:rFonts w:ascii="Arial" w:cs="Arial" w:eastAsia="Arial" w:hAnsi="Arial"/>
          <w:color w:val="1E293B"/>
          <w:sz w:val="20"/>
          <w:szCs w:val="20"/>
        </w:rPr>
        <w:t xml:space="preserve">Bahnsen, A. C., Aouada, D., Stojanovic, A., and Ottersten, B. (2016). Feature engineering strategies for credit card fraud detection. Expert Systems with Applications, 51, 134–142. https://doi.org/10.1016/j.eswa.2015.12.030</w:t>
      </w:r>
    </w:p>
    <w:p>
      <w:pPr>
        <w:spacing w:before="80" w:after="80" w:line="276"/>
        <w:ind w:left="720" w:hanging="720"/>
      </w:pPr>
      <w:r>
        <w:rPr>
          <w:rFonts w:ascii="Arial" w:cs="Arial" w:eastAsia="Arial" w:hAnsi="Arial"/>
          <w:color w:val="1E293B"/>
          <w:sz w:val="20"/>
          <w:szCs w:val="20"/>
        </w:rPr>
        <w:t xml:space="preserve">Bhattacharyya, S., Jha, S., Tharakunnel, K., and Westland, J. C. (2011). Data mining for credit card fraud: A comparative study. Decision Support Systems, 50(3), 602–613. https://doi.org/10.1016/j.dss.2010.08.008</w:t>
      </w:r>
    </w:p>
    <w:p>
      <w:pPr>
        <w:spacing w:before="80" w:after="80" w:line="276"/>
        <w:ind w:left="720" w:hanging="720"/>
      </w:pPr>
      <w:r>
        <w:rPr>
          <w:rFonts w:ascii="Arial" w:cs="Arial" w:eastAsia="Arial" w:hAnsi="Arial"/>
          <w:color w:val="1E293B"/>
          <w:sz w:val="20"/>
          <w:szCs w:val="20"/>
        </w:rPr>
        <w:t xml:space="preserve">Chawla, N. V., Bowyer, K. W., Hall, L. O., and Kegelmeyer, W. P. (2002). SMOTE: Synthetic minority over-sampling technique. Journal of Artificial Intelligence Research, 16, 321–357. https://doi.org/10.1613/jair.953</w:t>
      </w:r>
    </w:p>
    <w:p>
      <w:pPr>
        <w:spacing w:before="80" w:after="80" w:line="276"/>
        <w:ind w:left="720" w:hanging="720"/>
      </w:pPr>
      <w:r>
        <w:rPr>
          <w:rFonts w:ascii="Arial" w:cs="Arial" w:eastAsia="Arial" w:hAnsi="Arial"/>
          <w:color w:val="1E293B"/>
          <w:sz w:val="20"/>
          <w:szCs w:val="20"/>
        </w:rPr>
        <w:t xml:space="preserve">Dal Pozzolo, A., Caelen, O., Johnson, R. A., and Bontempi, G. (2015). Calibrating probability with undersampling for unbalanced classification. 2015 IEEE Symposium Series on Computational Intelligence, 159–166. https://doi.org/10.1109/SSCI.2015.33</w:t>
      </w:r>
    </w:p>
    <w:p>
      <w:pPr>
        <w:spacing w:before="80" w:after="80" w:line="276"/>
        <w:ind w:left="720" w:hanging="720"/>
      </w:pPr>
      <w:r>
        <w:rPr>
          <w:rFonts w:ascii="Arial" w:cs="Arial" w:eastAsia="Arial" w:hAnsi="Arial"/>
          <w:color w:val="1E293B"/>
          <w:sz w:val="20"/>
          <w:szCs w:val="20"/>
        </w:rPr>
        <w:t xml:space="preserve">He, H., and Garcia, E. A. (2009). Learning from imbalanced data. IEEE Transactions on Knowledge and Data Engineering, 21(9), 1263–1284. https://doi.org/10.1109/TKDE.2008.239</w:t>
      </w:r>
    </w:p>
    <w:p>
      <w:pPr>
        <w:spacing w:before="80" w:after="80" w:line="276"/>
        <w:ind w:left="720" w:hanging="720"/>
      </w:pPr>
      <w:r>
        <w:rPr>
          <w:rFonts w:ascii="Arial" w:cs="Arial" w:eastAsia="Arial" w:hAnsi="Arial"/>
          <w:color w:val="1E293B"/>
          <w:sz w:val="20"/>
          <w:szCs w:val="20"/>
        </w:rPr>
        <w:t xml:space="preserve">Kaggle. (2020). Credit Card Fraud Detection — Sparkov Dataset. https://www.kaggle.com/datasets/kartik2112/fraud-detection</w:t>
      </w:r>
    </w:p>
    <w:p>
      <w:pPr>
        <w:spacing w:before="80" w:after="80" w:line="276"/>
        <w:ind w:left="720" w:hanging="720"/>
      </w:pPr>
      <w:r>
        <w:rPr>
          <w:rFonts w:ascii="Arial" w:cs="Arial" w:eastAsia="Arial" w:hAnsi="Arial"/>
          <w:color w:val="1E293B"/>
          <w:sz w:val="20"/>
          <w:szCs w:val="20"/>
        </w:rPr>
        <w:t xml:space="preserve">Kreps, J., Narkhede, N., and Rao, J. (2011). Kafka: A distributed messaging system for log processing. Proceedings of the NetDB Workshop, 1–7.</w:t>
      </w:r>
    </w:p>
    <w:p>
      <w:pPr>
        <w:spacing w:before="80" w:after="80" w:line="276"/>
        <w:ind w:left="720" w:hanging="720"/>
      </w:pPr>
      <w:r>
        <w:rPr>
          <w:rFonts w:ascii="Arial" w:cs="Arial" w:eastAsia="Arial" w:hAnsi="Arial"/>
          <w:color w:val="1E293B"/>
          <w:sz w:val="20"/>
          <w:szCs w:val="20"/>
        </w:rPr>
        <w:t xml:space="preserve">Lopez-Rojas, E. A., Axelsson, S., and Gorton, I. (2022). PaySim financial simulator for fraud detection research. Procedia Computer Science, 207, 2144–2152.</w:t>
      </w:r>
    </w:p>
    <w:p>
      <w:pPr>
        <w:spacing w:before="80" w:after="80" w:line="276"/>
        <w:ind w:left="720" w:hanging="720"/>
      </w:pPr>
      <w:r>
        <w:rPr>
          <w:rFonts w:ascii="Arial" w:cs="Arial" w:eastAsia="Arial" w:hAnsi="Arial"/>
          <w:color w:val="1E293B"/>
          <w:sz w:val="20"/>
          <w:szCs w:val="20"/>
        </w:rPr>
        <w:t xml:space="preserve">Lundberg, S. M., and Lee, S. I. (2017). A unified approach to interpreting model predictions. Advances in Neural Information Processing Systems, 30, 4765–4774.</w:t>
      </w:r>
    </w:p>
    <w:p>
      <w:pPr>
        <w:spacing w:before="80" w:after="80" w:line="276"/>
        <w:ind w:left="720" w:hanging="720"/>
      </w:pPr>
      <w:r>
        <w:rPr>
          <w:rFonts w:ascii="Arial" w:cs="Arial" w:eastAsia="Arial" w:hAnsi="Arial"/>
          <w:color w:val="1E293B"/>
          <w:sz w:val="20"/>
          <w:szCs w:val="20"/>
        </w:rPr>
        <w:t xml:space="preserve">Marz, N., and Warren, J. (2015). Big Data: Principles and Best Practices of Scalable Real-Time Data Systems. Manning Publications.</w:t>
      </w:r>
    </w:p>
    <w:p>
      <w:pPr>
        <w:spacing w:before="80" w:after="80" w:line="276"/>
        <w:ind w:left="720" w:hanging="720"/>
      </w:pPr>
      <w:r>
        <w:rPr>
          <w:rFonts w:ascii="Arial" w:cs="Arial" w:eastAsia="Arial" w:hAnsi="Arial"/>
          <w:color w:val="1E293B"/>
          <w:sz w:val="20"/>
          <w:szCs w:val="20"/>
        </w:rPr>
        <w:t xml:space="preserve">Nilson Report. (2023). Card Fraud Losses Worldwide. Issue 1232. HSN Consultants.</w:t>
      </w:r>
    </w:p>
    <w:p>
      <w:pPr>
        <w:spacing w:before="80" w:after="80" w:line="276"/>
        <w:ind w:left="720" w:hanging="720"/>
      </w:pPr>
      <w:r>
        <w:rPr>
          <w:rFonts w:ascii="Arial" w:cs="Arial" w:eastAsia="Arial" w:hAnsi="Arial"/>
          <w:color w:val="1E293B"/>
          <w:sz w:val="20"/>
          <w:szCs w:val="20"/>
        </w:rPr>
        <w:t xml:space="preserve">Phua, C., Lee, V., Smith, K., and Gayler, R. (2010). A comprehensive survey of data mining-based fraud detection research. arXiv preprint arXiv:1009.6119.</w:t>
      </w:r>
    </w:p>
    <w:p>
      <w:pPr>
        <w:spacing w:before="80" w:after="80" w:line="276"/>
        <w:ind w:left="720" w:hanging="720"/>
      </w:pPr>
      <w:r>
        <w:rPr>
          <w:rFonts w:ascii="Arial" w:cs="Arial" w:eastAsia="Arial" w:hAnsi="Arial"/>
          <w:color w:val="1E293B"/>
          <w:sz w:val="20"/>
          <w:szCs w:val="20"/>
        </w:rPr>
        <w:t xml:space="preserve">Van Vlasselaer, V., Bravo, C., Caelen, O., Eliassi-Rad, T., Akoglu, L., Snoeck, M., and Baesens, B. (2015). APATE: A novel approach for automated credit card transaction fraud detection using network-based extensions. Decision Support Systems, 75, 38–48. https://doi.org/10.1016/j.dss.2015.04.013</w:t>
      </w:r>
    </w:p>
    <w:p>
      <w:pPr>
        <w:spacing w:before="80" w:after="80" w:line="276"/>
        <w:ind w:left="720" w:hanging="720"/>
      </w:pPr>
      <w:r>
        <w:rPr>
          <w:rFonts w:ascii="Arial" w:cs="Arial" w:eastAsia="Arial" w:hAnsi="Arial"/>
          <w:color w:val="1E293B"/>
          <w:sz w:val="20"/>
          <w:szCs w:val="20"/>
        </w:rPr>
        <w:t xml:space="preserve">Zaharia, M., Xin, R. S., Wendell, P., Das, T., Armbrust, M., Dave, A., and Stoica, I. (2016). Apache Spark: A unified engine for big data processing. Communications of the ACM, 59(11), 56–65. https://doi.org/10.1145/2934664</w:t>
      </w:r>
    </w:p>
    <w:p>
      <w:pPr>
        <w:spacing w:before="80" w:after="80" w:line="276"/>
        <w:ind w:left="720" w:hanging="720"/>
      </w:pPr>
      <w:r>
        <w:rPr>
          <w:rFonts w:ascii="Arial" w:cs="Arial" w:eastAsia="Arial" w:hAnsi="Arial"/>
          <w:color w:val="1E293B"/>
          <w:sz w:val="20"/>
          <w:szCs w:val="20"/>
        </w:rPr>
        <w:t xml:space="preserve">Zikopoulos, P., and Eaton, C. (2011). Understanding Big Data: Analytics for Enterprise Class Hadoop and Streaming Data. McGraw-Hill.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tabs>
        <w:tab w:val="right" w:pos="9026"/>
      </w:tabs>
    </w:pPr>
    <w:r>
      <w:rPr>
        <w:rFonts w:ascii="Arial" w:cs="Arial" w:eastAsia="Arial" w:hAnsi="Arial"/>
        <w:color w:val="64748B"/>
        <w:sz w:val="18"/>
        <w:szCs w:val="18"/>
      </w:rPr>
      <w:t xml:space="preserve">MapleGuard AI — Big Data Fraud Detection System</w:t>
    </w:r>
    <w:r>
      <w:rPr>
        <w:sz w:val="18"/>
        <w:szCs w:val="18"/>
      </w:rPr>
      <w:t xml:space="preserve">	</w:t>
    </w:r>
    <w:r>
      <w:rPr>
        <w:rFonts w:ascii="Arial" w:cs="Arial" w:eastAsia="Arial" w:hAnsi="Arial"/>
        <w:color w:val="64748B"/>
        <w:sz w:val="18"/>
        <w:szCs w:val="18"/>
      </w:rPr>
      <w:t xml:space="preserve">MBAI 5310G | Ontario Tech University | Winter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2026-03-19T21:32:59.045Z</dcterms:created>
  <dcterms:modified xsi:type="dcterms:W3CDTF">2026-03-19T21:32:59.046Z</dcterms:modified>
</cp:coreProperties>
</file>

<file path=docProps/custom.xml><?xml version="1.0" encoding="utf-8"?>
<Properties xmlns="http://schemas.openxmlformats.org/officeDocument/2006/custom-properties" xmlns:vt="http://schemas.openxmlformats.org/officeDocument/2006/docPropsVTypes"/>
</file>