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Path — explainable code and demonstration guide</w:t>
      </w:r>
    </w:p>
    <w:p>
      <w:r>
        <w:t>Based on the supplied course practicals and group Part 1. This companion is not a claimed lecturer approval or a replacement for the submitted specification.</w:t>
      </w:r>
    </w:p>
    <w:p>
      <w:r>
        <w:br w:type="page"/>
      </w:r>
    </w:p>
    <w:p>
      <w:pPr>
        <w:pStyle w:val="Heading1"/>
      </w:pPr>
      <w:r>
        <w:t>A 5–10 minute presentation</w:t>
      </w:r>
    </w:p>
    <w:p>
      <w:r>
        <w:t>Review and practise with your group before presenting. Explain what you understand, and acknowledge assistance according to course rules. No document guarantees marks.</w:t>
      </w:r>
    </w:p>
    <w:p>
      <w:r>
        <w:t>1. Open the solution (30 sec). Show FuturePath.sln and the three projects. Explain: forms collect/display; business validates/calculates; data classes use LocalDB.</w:t>
      </w:r>
    </w:p>
    <w:p>
      <w:r>
        <w:t>2. Show existing reports (1 min). Sign in as advisor_test. Use Learners and sessions to retrieve Gadija, Labeeqah and Derek. Explain Strong Match, the Mathematics 58 versus 60 gap, and the missing Mathematics/Physical Sciences requirements. Run reports for September 2026 before adding new sessions; the initial demo contains ten sessions.</w:t>
      </w:r>
    </w:p>
    <w:p>
      <w:r>
        <w:t>3. Capture a new assessment (2–3 min). Start advisory. Use Grade 12, a sample school and Western Cape. Name/contact may be blank. Add English Home Language 72, Mathematics 70, Accounting 74, Business Studies 79, Economics 70 and Life Orientation 80. Confirm the list complete. Answer questions 1–8 with 4, 3, 5, 2, 3, 5, 3, 2. Select Commerce → BCom Information Systems. Next previews Strong Match, interest 93.75%, total 98.44%. Back retains data. Choose funding guidance, then Save and view summary. Export HTML/text or use Microsoft Print to PDF.</w:t>
      </w:r>
    </w:p>
    <w:p>
      <w:r>
        <w:t>4. Walk through simple code (2 min). Show frmSubjectMarks.btnAdd_Click, SubjectMark's fields/properties/constructors, frmMain.GoNext, AdvisorySessionController.Assess, RecommendationEngine.Evaluate and ReferenceDataDAL.GetLookup. Follow one object from the form into the controller and database, then back to a ListView/report.</w:t>
      </w:r>
    </w:p>
    <w:p>
      <w:r>
        <w:t>5. Show staff maintenance (1 min). Sign out, then sign in as admin_test. Show one degree or funding editor in the Designer. New degrees begin inactive until their requirements and weights are configured. Show the role check in AdminMaintenanceController; an advisor cannot use that operation.</w:t>
      </w:r>
    </w:p>
    <w:p>
      <w:r>
        <w:t>6. Show evidence (30 sec). Open docs/Validation.md. Distinguish automated Linux checks from Windows LocalDB/UI/manual tests. Do not call unrun tests passed.</w:t>
      </w:r>
    </w:p>
    <w:p>
      <w:pPr>
        <w:pStyle w:val="Heading2"/>
      </w:pPr>
      <w:r>
        <w:t>Short explanations you can use</w:t>
      </w:r>
    </w:p>
    <w:p>
      <w:r>
        <w:t>- Encapsulation: SubjectMark stores values in private fields and exposes properties.</w:t>
      </w:r>
    </w:p>
    <w:p>
      <w:r>
        <w:t>- Construction/overloading: SubjectMark has default and parameterised constructors; forms have Designer-safe and runtime constructors.</w:t>
      </w:r>
    </w:p>
    <w:p>
      <w:r>
        <w:t>- Composition: AdvisoryInput contains a LearnerProfile and lists of marks/responses.</w:t>
      </w:r>
    </w:p>
    <w:p>
      <w:r>
        <w:t>- Abstraction: the form asks a controller for a result; it does not need SQL details. IFuturePathStore defines the data operations.</w:t>
      </w:r>
    </w:p>
    <w:p>
      <w:r>
        <w:t>- Inheritance/polymorphism: DAL classes inherit DB; learner forms inherit frmAdvisoryStep and override SaveInput/RefreshStep; ReportPrinter overrides PrintDocument.</w:t>
      </w:r>
    </w:p>
    <w:p>
      <w:r>
        <w:t>- Transaction: all related assessment rows succeed together, or none is committed.</w:t>
      </w:r>
    </w:p>
    <w:p>
      <w:r>
        <w:t>- Rule-based guidance: normal conditions and arithmetic use stored sample rules; no online AI or official admission decision.</w:t>
      </w:r>
    </w:p>
    <w:p>
      <w:r>
        <w:t>The course ZIPs teach these patterns. Their waiter/horse classes are not copied into Future Path. The working application retains its .NET 10 target; the practicals used several .NET Framework versions. See Dependencies.md and Part1-Reconciliation.md.</w:t>
      </w:r>
    </w:p>
    <w:p>
      <w:r>
        <w:br w:type="page"/>
      </w:r>
    </w:p>
    <w:p>
      <w:pPr>
        <w:pStyle w:val="Heading1"/>
      </w:pPr>
      <w:r>
        <w:t>Relationship to the group's submitted Part 1</w:t>
      </w:r>
    </w:p>
    <w:p>
      <w:r>
        <w:t>The supplied INF2011S_SystemSpecification_Group.pdf is the group's Part 1 reference. This document records implementation decisions; it does not rewrite the submitted PDF or claim approval by the lecturer.</w:t>
      </w:r>
    </w:p>
    <w:p>
      <w:r>
        <w:t>Part 1 design — Implemented source / decision</w:t>
      </w:r>
    </w:p>
    <w:p>
      <w:r>
        <w:t>Profile, subjects, interests, eligibility selection, funding, summary boundaries — frmLearnerProfile, frmSubjectMarks, frmInterestQuestionnaire, frmDegreeEligibility, frmFundingOptions, frmAdvisorySummary; frmAdvisoryResults separates the explained result before funding</w:t>
      </w:r>
    </w:p>
    <w:p>
      <w:r>
        <w:t>Login, reports and administrator boundaries — frmLogin, frmReports, frmAdminMaintenance, ordinary named editor forms and frmLearnerSessions</w:t>
      </w:r>
    </w:p>
    <w:p>
      <w:r>
        <w:t>No learner login or learner menu — Private learner workspace; seven Back/Next steps inside one MDI parent, with no learner sidebar</w:t>
      </w:r>
    </w:p>
    <w:p>
      <w:r>
        <w:t>Controller / domain / DAL tiers — Three projects. AdvisorySessionController coordinates the learner use case; RecommendationEngine contains eligibility, interest scoring and alternatives. AuthenticationController, AdminMaintenanceController and ReportController handle staff tasks</w:t>
      </w:r>
    </w:p>
    <w:p>
      <w:r>
        <w:t>Separate Interest/Eligibility/Recommendation/Funding controller boxes — Their small operations are consolidated into AdvisorySessionController and the pure RecommendationEngine, avoiding four forwarding-only classes. The corresponding behavior remains present; no unused classes are added merely to match a diagram</w:t>
      </w:r>
    </w:p>
    <w:p>
      <w:r>
        <w:t>Aggregate DAL grouping — Six grouped DALs inheriting DB, with the SqlServerStore contract adapter; no one-query-per-table repository framework</w:t>
      </w:r>
    </w:p>
    <w:p>
      <w:r>
        <w:t>16-entity dictionary — Existing compatible 20 domain tables plus SchemaVersion are retained. Learner separates guest identity from staff UserAccount; FundingFaculty permits faculty-wide awards; AuditEvent supports the required controls. See Data-Dictionary.md and ERD.dot</w:t>
      </w:r>
    </w:p>
    <w:p>
      <w:r>
        <w:t>DECIMAL(4,2) marks in draft dictionary — DECIMAL(7,2) retained, because 100.00 cannot fit DECIMAL(4,2)</w:t>
      </w:r>
    </w:p>
    <w:p>
      <w:r>
        <w:t>School and Province mandatory; personal name/contact optional — New profile capture enforces School/Province/Grade. Legacy database strings remain readable; there is no destructive data migration</w:t>
      </w:r>
    </w:p>
    <w:p>
      <w:r>
        <w:t>Save session at profile capture — Keep a draft in memory and commit at Save and view summary. Abandoning a draft does not create a misleading completed session; a deliberately incomplete assessment can be saved as More Information Needed</w:t>
      </w:r>
    </w:p>
    <w:p>
      <w:r>
        <w:t>Screen standard — 16pt bold Segoe UI page title; 10pt body; labels above fields; required learner fields marked; field validation/ErrorProvider; disabled Next until required capture is valid; scrollable body and separate footer. Outcome text also has green/amber/red colour</w:t>
      </w:r>
    </w:p>
    <w:p>
      <w:r>
        <w:t>Report period/faculty/degree/outcome filters — Implemented in frmReports and ReportController.Activity; saved selected-result gaps are counted and sorted</w:t>
      </w:r>
    </w:p>
    <w:p>
      <w:r>
        <w:t>Most selected faculties/degrees and outcomes — Counts describe saved advisory sessions; the report also shows distinct learners. Follow-up sessions remain separate activity rather than overwriting previous records</w:t>
      </w:r>
    </w:p>
    <w:p>
      <w:r>
        <w:t>Funding requests by category, but no separate category-request entity/field in supplied design — A funding opt-in requests all linked guidance. Each requested session is counted once per currently open linked funding type; the report explains that categories may overlap and use current reference data. It does not invent individual applications, awards or historical category selections</w:t>
      </w:r>
    </w:p>
    <w:p>
      <w:r>
        <w:t>The latest course/specification request takes precedence over the older pasted request's learner registration/dashboard and older screenshots' sidebar. The older implementation prompt's useful requirements—single parent window, LocalDB, safe setup, readable code, preserved behavior and honest tests—remain followed. Staff tasks use conventional modal forms; learner steps remain inside the parent. This follows the practical's Form/MDI pattern rather than maintaining a runtime-generated interface.</w:t>
      </w:r>
    </w:p>
    <w:p>
      <w:r>
        <w:t>The current uploaded DisplayFix package targets .NET 10. Practical projects vary between .NET Framework 4.6.1/4.7.2/4.8. The runtime is retained, with Microsoft.Data.SqlClient; the ADO.NET pattern is the same. Password hashing, safe backups, printer pagination, nullable annotations and first-run setup are supporting framework code, not claims that every API appeared verbatim in lectures.</w:t>
      </w:r>
    </w:p>
    <w:p>
      <w:r>
        <w:t>Existing learner data, passwords and historical scores are not reset. The optional demo seed remains unchanged. The two SQL02 setup guards and all schema creation now share a single batch, with a transaction around DDL, so manual Visual Studio execution cannot proceed past a rejected database into later creation batches.</w:t>
      </w:r>
    </w:p>
    <w:p>
      <w:r>
        <w:br w:type="page"/>
      </w:r>
    </w:p>
    <w:p>
      <w:pPr>
        <w:pStyle w:val="Heading1"/>
      </w:pPr>
      <w:r>
        <w:t>Code walkthrough — start with these files</w:t>
      </w:r>
    </w:p>
    <w:p>
      <w:pPr>
        <w:pStyle w:val="Heading2"/>
      </w:pPr>
      <w:r>
        <w:t>1. A button, an object and a list (Practical 1)</w:t>
      </w:r>
    </w:p>
    <w:p>
      <w:r>
        <w:t>Open Presentation/frmSubjectMarks.cs, then btnAdd_Click. The ComboBox supplies the selected Subject object. The NumericUpDown supplies a mark from 0 to 100. A foreach loop checks whether that subject is already in main.Input.Marks. An existing row is updated; a new subject creates a SubjectMark. PopulateList puts these objects into a ListView. Removing a subject removes it from the draft list. Nothing here contains SQL or calculates an admission outcome.</w:t>
      </w:r>
    </w:p>
    <w:p>
      <w:r>
        <w:t>Entities/SubjectMark.cs has private fields, public properties, a default constructor and a parameterised constructor. InterestResponse supplies another constructor example. These are the same concepts as Horse/July and Person/Employee in the practicals, applied to the project's own entities.</w:t>
      </w:r>
    </w:p>
    <w:p>
      <w:pPr>
        <w:pStyle w:val="Heading2"/>
      </w:pPr>
      <w:r>
        <w:t>2. Forms and their Designer files (Practical 4)</w:t>
      </w:r>
    </w:p>
    <w:p>
      <w:r>
        <w:t>Every screen has a partial class and a matching .Designer.cs. InitializeComponent creates standard controls; named methods such as btnAdd_Click handle events. Parameterless constructors are safe for the Designer and do not connect to a database. Runtime constructors receive the shared AppController and parent form.</w:t>
      </w:r>
    </w:p>
    <w:p>
      <w:r>
        <w:t>frmMain is the MDI parent, as in the workshop's MDI example. ShowStep creates a step once, hides the previous child, shows the selected child inside the same parent and keeps the controls for Back. GoNext calls that child's SaveInput, then shows the next step. frmAdvisoryStep supplies the shared title, content panel and footer. Its virtual RefreshStep and SaveInput methods are overridden by the actual screens. This is a real use of inheritance and polymorphism, rather than an invented business hierarchy.</w:t>
      </w:r>
    </w:p>
    <w:p>
      <w:r>
        <w:t>frmInterestQuestionnaire adds one Designer-backed QuestionRow per active question in a foreach loop. Its five RadioButtons produce scores 1–5. An explicitly incomplete questionnaire can continue, but the engine returns More Information Needed. Adding database questions therefore does not require redesigning the form.</w:t>
      </w:r>
    </w:p>
    <w:p>
      <w:pPr>
        <w:pStyle w:val="Heading2"/>
      </w:pPr>
      <w:r>
        <w:t>3. Controllers and the three tiers (Practical 3)</w:t>
      </w:r>
    </w:p>
    <w:p>
      <w:r>
        <w:t>AppController creates one AccessSession and the four business controllers, then shares them with forms. It is ordinary construction, not a dependency-injection framework.</w:t>
      </w:r>
    </w:p>
    <w:p>
      <w:r>
        <w:t>AdvisorySessionController.Preview validates the draft and calls the pure engine. Assess saves the calculated session and records that the current workspace owns it. Load checks access before reading a session. AuthenticationController, AdminMaintenanceController and ReportController handle their respective staff tasks.</w:t>
      </w:r>
    </w:p>
    <w:p>
      <w:r>
        <w:t>IFuturePathStore is a list of database operations the business layer needs. It lets the business project describe those operations without referencing a particular SQL provider. IClock supplies the date/time, which lets tests use a fixed date. Interfaces were introduced in PL 2.0; there is no container or generic repository framework.</w:t>
      </w:r>
    </w:p>
    <w:p>
      <w:pPr>
        <w:pStyle w:val="Heading2"/>
      </w:pPr>
      <w:r>
        <w:t>4. The recommendation algorithm</w:t>
      </w:r>
    </w:p>
    <w:p>
      <w:r>
        <w:t>Open RecommendationEngine.Evaluate. Read the helper calls in order:</w:t>
      </w:r>
    </w:p>
    <w:p>
      <w:r>
        <w:t>1. CheckConfiguration: requirements and mapped interest questions must exist.</w:t>
      </w:r>
    </w:p>
    <w:p>
      <w:r>
        <w:t>2. CheckSubjects: check each mandatory subject or explicit OR group against captured marks.</w:t>
      </w:r>
    </w:p>
    <w:p>
      <w:r>
        <w:t>3. CheckAverage: check any configured overall-average minimum.</w:t>
      </w:r>
    </w:p>
    <w:p>
      <w:r>
        <w:t>4. CheckQuestionnaire: detect missing active answers.</w:t>
      </w:r>
    </w:p>
    <w:p>
      <w:r>
        <w:t>5. CalculateDegreeInterest: combine category scores with the stored degree weights.</w:t>
      </w:r>
    </w:p>
    <w:p>
      <w:r>
        <w:t>6. ChooseOutcome: missing information first; then a hard gap; then a near gap or weak interest; otherwise a strong match.</w:t>
      </w:r>
    </w:p>
    <w:p>
      <w:r>
        <w:t>An answer of 1/2/3/4/5 becomes 0/25/50/75/100%. Questions in the same category are averaged. Degree mappings weight those category averages.</w:t>
      </w:r>
    </w:p>
    <w:p>
      <w:r>
        <w:t>overall = 0.35 × subject coverage + 0.35 × mark match + 0.25 × interest alignment + 0.05 × faculty preference.</w:t>
      </w:r>
    </w:p>
    <w:p>
      <w:r>
        <w:t>A required mark shortfall up to five percentage points is a near match. More than five, or an absent required subject on a confirmed list, is Not Currently Eligible. Strong Match also needs interest alignment of at least 60%. A high weighted score cannot override these checks. All captured subjects count toward any overall-average rule.</w:t>
      </w:r>
    </w:p>
    <w:p>
      <w:r>
        <w:t>GenerateAlternatives evaluates other active degrees with the same method, keeps only Strong/Possible matches and inserts them in order: outcome, descending score, name and ID. It keeps at most five. The names of sample learners are not used to choose outcomes.</w:t>
      </w:r>
    </w:p>
    <w:p>
      <w:pPr>
        <w:pStyle w:val="Heading2"/>
      </w:pPr>
      <w:r>
        <w:t>5. Data classes and transactions (Practical 3)</w:t>
      </w:r>
    </w:p>
    <w:p>
      <w:r>
        <w:t>DB holds the connection helper and shared command/read methods. ReferenceDataDAL, DegreeProgrammeDAL, AdvisorySessionDAL, FundingDAL, UserAccountDAL and ReportDAL inherit it. SqlServerStore forwards the business contract to those grouped classes.</w:t>
      </w:r>
    </w:p>
    <w:p>
      <w:r>
        <w:t>Start with ReferenceDataDAL.GetLookup: open connection; create command; fill a DataSet using SqlDataAdapter; loop through DataRows; create business objects; return the list. The using blocks dispose resources.</w:t>
      </w:r>
    </w:p>
    <w:p>
      <w:r>
        <w:t>Then open AdvisorySessionDAL.SaveSession. The transaction writes a new learner when needed, one session, marks, responses, selected result, alternatives, category scores and an audit entry. Commit happens after all writes succeed. A failure rolls back instead of saving half an assessment. Session and learner IDs are database-generated keys. A follow-up uses the same learner ID and a new session ID.</w:t>
      </w:r>
    </w:p>
    <w:p>
      <w:r>
        <w:t>SQL values use parameters (@p0, @p1 etc.). ReferenceCatalog is a fixed allowlist of editable tables and fields; it does not build screens. Actual administration screens have named controls and separate Designer files.</w:t>
      </w:r>
    </w:p>
    <w:p>
      <w:pPr>
        <w:pStyle w:val="Heading2"/>
      </w:pPr>
      <w:r>
        <w:t>6. Roles, reports and supporting code</w:t>
      </w:r>
    </w:p>
    <w:p>
      <w:r>
        <w:t>AccessSession.RequireStaff, RequireAdmin and RequireSession enforce permissions inside the business tier. A hidden button is not the access check. Ending a workspace clears guest ownership; staff sign-out also clears the role. PasswordHasher delegates password hashing to .NET's salted PBKDF2 implementation; do not replace it with a handmade hash to make it look shorter.</w:t>
      </w:r>
    </w:p>
    <w:p>
      <w:r>
        <w:t>ReportComposer writes the learner summary using saved scores/reasons. ReportController.Activity filters saved sessions and uses loops to count selections, outcomes and gaps. Funding category counts use funding opt-ins and currently open linked categories; the report states that definition. ReportFiles uses native SaveFileDialog/PrintDialog. ReportPrinter overrides PrintDocument to paginate the report. HTML output encodes user text.</w:t>
      </w:r>
    </w:p>
    <w:p>
      <w:r>
        <w:t>Program starts the Windows application, validates an optional database name and prevents duplicate instances. Database setup is explicit in frmDatabaseSetup. The asynchronous startup work only keeps the window responsive while LocalDB opens; it is supporting platform code, not the recommendation algorithm.</w:t>
      </w:r>
    </w:p>
    <w:p>
      <w:r>
        <w:t>The source follows the workshops' concepts and form/controller/data separation. Framework setup, security APIs, transactions, printer pagination and test infrastructure remain necessary supporting code and are explained here rather than presented as workshop exercises copied verbatim.</w:t>
      </w:r>
    </w:p>
    <w:p>
      <w:r>
        <w:br w:type="page"/>
      </w:r>
    </w:p>
    <w:p>
      <w:pPr>
        <w:pStyle w:val="Heading1"/>
      </w:pPr>
      <w:r>
        <w:t>Navigation in the implemented source</w:t>
      </w:r>
    </w:p>
    <w:p>
      <w:r>
        <w:drawing>
          <wp:inline xmlns:a="http://schemas.openxmlformats.org/drawingml/2006/main" xmlns:pic="http://schemas.openxmlformats.org/drawingml/2006/picture">
            <wp:extent cx="5760720" cy="1087384"/>
            <wp:docPr id="1" name="Picture 1"/>
            <wp:cNvGraphicFramePr>
              <a:graphicFrameLocks noChangeAspect="1"/>
            </wp:cNvGraphicFramePr>
            <a:graphic>
              <a:graphicData uri="http://schemas.openxmlformats.org/drawingml/2006/picture">
                <pic:pic>
                  <pic:nvPicPr>
                    <pic:cNvPr id="0" name="Navigation.png"/>
                    <pic:cNvPicPr/>
                  </pic:nvPicPr>
                  <pic:blipFill>
                    <a:blip r:embed="rId10"/>
                    <a:stretch>
                      <a:fillRect/>
                    </a:stretch>
                  </pic:blipFill>
                  <pic:spPr>
                    <a:xfrm>
                      <a:off x="0" y="0"/>
                      <a:ext cx="5760720" cy="1087384"/>
                    </a:xfrm>
                    <a:prstGeom prst="rect"/>
                  </pic:spPr>
                </pic:pic>
              </a:graphicData>
            </a:graphic>
          </wp:inline>
        </w:drawing>
      </w:r>
    </w:p>
    <w:p>
      <w:r>
        <w:t>Read docs/Validation.md for the actual check results and Windows limitations. Complete the included Windows acceptance workbook before presenting.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Future Path | Course edition 2.0 | Implementation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