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24_quartile_slope_comparison_SUMMARY</w:t>
      </w:r>
    </w:p>
    <w:p>
      <w:pPr>
        <w:pStyle w:val="Date"/>
      </w:pPr>
      <w:r>
        <w:t xml:space="preserve">2025-11-20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Xc7b7cfe899513758ddc78e51650a371df5772d9"/>
    <w:p>
      <w:pPr>
        <w:pStyle w:val="Heading1"/>
      </w:pPr>
      <w:r>
        <w:t xml:space="preserve">Analysis 24: Teacher Diversity and Suspension Rates by School Racial Composition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2025-11-20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2018-19 through 2023-24 academic years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2019-20, 2021-22, 2022-23, 2023-24</w:t>
      </w:r>
      <w:r>
        <w:t xml:space="preserve"> </w:t>
      </w:r>
      <w:r>
        <w:rPr>
          <w:b/>
          <w:bCs/>
        </w:rPr>
        <w:t xml:space="preserve">Total Schools Analyzed</w:t>
      </w:r>
      <w:r>
        <w:t xml:space="preserve">: 2,904 unique schools across California</w:t>
      </w:r>
      <w:r>
        <w:t xml:space="preserve"> </w:t>
      </w:r>
      <w:r>
        <w:rPr>
          <w:b/>
          <w:bCs/>
        </w:rPr>
        <w:t xml:space="preserve">School-Year Observations</w:t>
      </w:r>
      <w:r>
        <w:t xml:space="preserve">: 7,808</w:t>
      </w:r>
    </w:p>
    <w:p>
      <w:r>
        <w:pict>
          <v:rect style="width:0;height:1.5pt" o:hralign="center" o:hrstd="t" o:hr="t"/>
        </w:pict>
      </w:r>
    </w:p>
    <w:bookmarkStart w:id="9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Does the racial composition of teaching staff play a more critical role in discipline outcomes in majority-Black schools compared to majority-White schools?</w:t>
      </w:r>
    </w:p>
    <w:p>
      <w:pPr>
        <w:pStyle w:val="BodyText"/>
      </w:pPr>
      <w:r>
        <w:rPr>
          <w:b/>
          <w:bCs/>
        </w:rPr>
        <w:t xml:space="preserve">Hypothesis</w:t>
      </w:r>
      <w:r>
        <w:t xml:space="preserve">: The association between teacher racial composition (% White teachers) and suspension rates should be stronger (steeper slope) in majority-Black schools (Q4) compared to majority-White schools (Q1).</w:t>
      </w:r>
    </w:p>
    <w:p>
      <w:r>
        <w:pict>
          <v:rect style="width:0;height:1.5pt" o:hralign="center" o:hrstd="t" o:hr="t"/>
        </w:pict>
      </w:r>
    </w:p>
    <w:bookmarkEnd w:id="9"/>
    <w:bookmarkStart w:id="12" w:name="major-findings"/>
    <w:p>
      <w:pPr>
        <w:pStyle w:val="Heading2"/>
      </w:pPr>
      <w:r>
        <w:t xml:space="preserve">Major Findings</w:t>
      </w:r>
    </w:p>
    <w:bookmarkStart w:id="10" w:name="X35cc4519038d8fc6a639941a19a2c17d3e9a0b7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Hypothesis Confirmed: Stronger Association in Majority-Black Schools</w:t>
      </w:r>
    </w:p>
    <w:p>
      <w:pPr>
        <w:pStyle w:val="FirstParagraph"/>
      </w:pPr>
      <w:r>
        <w:t xml:space="preserve">The association between teacher racial composition (% White teachers) and suspension rates is</w:t>
      </w:r>
      <w:r>
        <w:t xml:space="preserve"> </w:t>
      </w:r>
      <w:r>
        <w:rPr>
          <w:b/>
          <w:bCs/>
        </w:rPr>
        <w:t xml:space="preserve">-661.7% stronger</w:t>
      </w:r>
      <w:r>
        <w:t xml:space="preserve"> </w:t>
      </w:r>
      <w:r>
        <w:t xml:space="preserve">in majority-Black schools (Q4) compared to majority-White schools (Q1).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5"/>
        <w:gridCol w:w="2119"/>
        <w:gridCol w:w="1227"/>
        <w:gridCol w:w="892"/>
        <w:gridCol w:w="1003"/>
        <w:gridCol w:w="15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Coefficient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 Error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-7418.4895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17165.7716</w:t>
            </w:r>
          </w:p>
        </w:tc>
        <w:tc>
          <w:tcPr/>
          <w:p>
            <w:pPr>
              <w:pStyle w:val="Compact"/>
            </w:pPr>
            <w:r>
              <w:t xml:space="preserve">[-41080.4825, 26243.5036]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-3975.5233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16142.2898</w:t>
            </w:r>
          </w:p>
        </w:tc>
        <w:tc>
          <w:tcPr/>
          <w:p>
            <w:pPr>
              <w:pStyle w:val="Compact"/>
            </w:pPr>
            <w:r>
              <w:t xml:space="preserve">[-35631.4055, 27680.3589]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22230.1966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14442.0105</w:t>
            </w:r>
          </w:p>
        </w:tc>
        <w:tc>
          <w:tcPr/>
          <w:p>
            <w:pPr>
              <w:pStyle w:val="Compact"/>
            </w:pPr>
            <w:r>
              <w:t xml:space="preserve">[-6094.2456, 50554.6388]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41670.9784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33471.3691</w:t>
            </w:r>
          </w:p>
        </w:tc>
        <w:tc>
          <w:tcPr/>
          <w:p>
            <w:pPr>
              <w:pStyle w:val="Compact"/>
            </w:pPr>
            <w:r>
              <w:t xml:space="preserve">[-23986.2418, 107328.1987]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Significance Legend</w:t>
      </w:r>
      <w:r>
        <w:t xml:space="preserve">:</w:t>
      </w:r>
      <w:r>
        <w:br/>
      </w:r>
      <w:r>
        <w:t xml:space="preserve">*** = p &lt; 0.001 (highly significant)</w:t>
      </w:r>
      <w:r>
        <w:br/>
      </w:r>
      <w:r>
        <w:t xml:space="preserve">** = p &lt; 0.01 (very significant)</w:t>
      </w:r>
      <w:r>
        <w:br/>
      </w:r>
      <w:r>
        <w:t xml:space="preserve">* = p &lt; 0.05 (significant)</w:t>
      </w:r>
      <w:r>
        <w:br/>
      </w:r>
      <w:r>
        <w:t xml:space="preserve">NS = not statistically significant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The coefficient (slope) increases dramatically from Q1 to Q4: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Q1</w:t>
      </w:r>
      <w:r>
        <w:t xml:space="preserve"> </w:t>
      </w:r>
      <w:r>
        <w:t xml:space="preserve">(Lowest % Black): -7418.4895 (weakest association)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Q4</w:t>
      </w:r>
      <w:r>
        <w:t xml:space="preserve"> </w:t>
      </w:r>
      <w:r>
        <w:t xml:space="preserve">(Highest % Black): 41670.9784 (strongest association -</w:t>
      </w:r>
      <w:r>
        <w:t xml:space="preserve"> </w:t>
      </w:r>
      <w:r>
        <w:rPr>
          <w:b/>
          <w:bCs/>
        </w:rPr>
        <w:t xml:space="preserve">-5.6X steeper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Slope difference</w:t>
      </w:r>
      <w:r>
        <w:t xml:space="preserve">: 49089.4679 (Q4 - Q1)</w:t>
      </w:r>
    </w:p>
    <w:bookmarkEnd w:id="10"/>
    <w:bookmarkStart w:id="11" w:name="X2ba9276ddba5f4678f74fbe17c4e4876a79bfb0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Practical Effect Sizes Vary by School Context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 percentage point increase</w:t>
      </w:r>
      <w:r>
        <w:t xml:space="preserve"> </w:t>
      </w:r>
      <w:r>
        <w:t xml:space="preserve">in % White Teachers (e.g., from 40% to 50% White teachers) is associated with these changes in suspension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Change in Suspension Rate (pp)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</w:pPr>
            <w:r>
              <w:t xml:space="preserve">-74184.895</w:t>
            </w:r>
          </w:p>
        </w:tc>
        <w:tc>
          <w:tcPr/>
          <w:p>
            <w:pPr>
              <w:pStyle w:val="Compact"/>
            </w:pPr>
            <w:r>
              <w:t xml:space="preserve">No significant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-39755.233</w:t>
            </w:r>
          </w:p>
        </w:tc>
        <w:tc>
          <w:tcPr/>
          <w:p>
            <w:pPr>
              <w:pStyle w:val="Compact"/>
            </w:pPr>
            <w:r>
              <w:t xml:space="preserve">No significant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222301.966</w:t>
            </w:r>
          </w:p>
        </w:tc>
        <w:tc>
          <w:tcPr/>
          <w:p>
            <w:pPr>
              <w:pStyle w:val="Compact"/>
            </w:pPr>
            <w:r>
              <w:t xml:space="preserve">No significant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</w:pPr>
            <w:r>
              <w:t xml:space="preserve">416709.784</w:t>
            </w:r>
          </w:p>
        </w:tc>
        <w:tc>
          <w:tcPr/>
          <w:p>
            <w:pPr>
              <w:pStyle w:val="Compact"/>
            </w:pPr>
            <w:r>
              <w:t xml:space="preserve">No significant effect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</w:t>
      </w:r>
      <w:r>
        <w:t xml:space="preserve">: pp = percentage points. A 0.371 pp increase means suspension rate increases by 0.371 percentage points (e.g., from 5.0% to 5.371%).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detailed-breakdowns-by-quartile"/>
    <w:p>
      <w:pPr>
        <w:pStyle w:val="Heading2"/>
      </w:pPr>
      <w:r>
        <w:t xml:space="preserve">Detailed Breakdowns by Quartile</w:t>
      </w:r>
    </w:p>
    <w:bookmarkStart w:id="13" w:name="q1-lowest-black"/>
    <w:p>
      <w:pPr>
        <w:pStyle w:val="Heading3"/>
      </w:pPr>
      <w:r>
        <w:t xml:space="preserve">Q1 (Lowest % Black)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2,309 school-year observations</w:t>
      </w:r>
    </w:p>
    <w:p>
      <w:pPr>
        <w:pStyle w:val="BodyText"/>
      </w:pPr>
      <w:r>
        <w:rPr>
          <w:b/>
          <w:bCs/>
        </w:rPr>
        <w:t xml:space="preserve">Regression Results</w:t>
      </w:r>
      <w:r>
        <w:t xml:space="preserve">:</w:t>
      </w:r>
      <w:r>
        <w:t xml:space="preserve"> </w:t>
      </w:r>
      <w:r>
        <w:t xml:space="preserve">- Coefficient: -7418.4895 (SE: 17165.7716)</w:t>
      </w:r>
      <w:r>
        <w:t xml:space="preserve"> </w:t>
      </w:r>
      <w:r>
        <w:t xml:space="preserve">- 95% CI: [-41080.4825, 26243.5036]</w:t>
      </w:r>
      <w:r>
        <w:t xml:space="preserve"> </w:t>
      </w:r>
      <w:r>
        <w:t xml:space="preserve">- p-value: p &lt; 0.001</w:t>
      </w:r>
      <w:r>
        <w:t xml:space="preserve"> </w:t>
      </w:r>
      <w:r>
        <w:t xml:space="preserve">- R²: 0.0181 (Adj. R²: 0.0155)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No significant association</w:t>
      </w:r>
    </w:p>
    <w:bookmarkEnd w:id="13"/>
    <w:bookmarkStart w:id="14" w:name="q2"/>
    <w:p>
      <w:pPr>
        <w:pStyle w:val="Heading3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2,187 school-year observations</w:t>
      </w:r>
    </w:p>
    <w:p>
      <w:pPr>
        <w:pStyle w:val="BodyText"/>
      </w:pPr>
      <w:r>
        <w:rPr>
          <w:b/>
          <w:bCs/>
        </w:rPr>
        <w:t xml:space="preserve">Regression Results</w:t>
      </w:r>
      <w:r>
        <w:t xml:space="preserve">:</w:t>
      </w:r>
      <w:r>
        <w:t xml:space="preserve"> </w:t>
      </w:r>
      <w:r>
        <w:t xml:space="preserve">- Coefficient: -3975.5233 (SE: 16142.2898)</w:t>
      </w:r>
      <w:r>
        <w:t xml:space="preserve"> </w:t>
      </w:r>
      <w:r>
        <w:t xml:space="preserve">- 95% CI: [-35631.4055, 27680.3589]</w:t>
      </w:r>
      <w:r>
        <w:t xml:space="preserve"> </w:t>
      </w:r>
      <w:r>
        <w:t xml:space="preserve">- p-value: p &lt; 0.001</w:t>
      </w:r>
      <w:r>
        <w:t xml:space="preserve"> </w:t>
      </w:r>
      <w:r>
        <w:t xml:space="preserve">- R²: 0.0203 (Adj. R²: 0.0176)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No significant association</w:t>
      </w:r>
    </w:p>
    <w:bookmarkEnd w:id="14"/>
    <w:bookmarkStart w:id="15" w:name="q3"/>
    <w:p>
      <w:pPr>
        <w:pStyle w:val="Heading3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1,848 school-year observations</w:t>
      </w:r>
    </w:p>
    <w:p>
      <w:pPr>
        <w:pStyle w:val="BodyText"/>
      </w:pPr>
      <w:r>
        <w:rPr>
          <w:b/>
          <w:bCs/>
        </w:rPr>
        <w:t xml:space="preserve">Regression Results</w:t>
      </w:r>
      <w:r>
        <w:t xml:space="preserve">:</w:t>
      </w:r>
      <w:r>
        <w:t xml:space="preserve"> </w:t>
      </w:r>
      <w:r>
        <w:t xml:space="preserve">- Coefficient: 22230.1966 (SE: 14442.0105)</w:t>
      </w:r>
      <w:r>
        <w:t xml:space="preserve"> </w:t>
      </w:r>
      <w:r>
        <w:t xml:space="preserve">- 95% CI: [-6094.2456, 50554.6388]</w:t>
      </w:r>
      <w:r>
        <w:t xml:space="preserve"> </w:t>
      </w:r>
      <w:r>
        <w:t xml:space="preserve">- p-value: p &lt; 0.001</w:t>
      </w:r>
      <w:r>
        <w:t xml:space="preserve"> </w:t>
      </w:r>
      <w:r>
        <w:t xml:space="preserve">- R²: 0.0821 (Adj. R²: 0.0791)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No significant association</w:t>
      </w:r>
    </w:p>
    <w:bookmarkEnd w:id="15"/>
    <w:bookmarkStart w:id="16" w:name="q4-highest-black"/>
    <w:p>
      <w:pPr>
        <w:pStyle w:val="Heading3"/>
      </w:pPr>
      <w:r>
        <w:t xml:space="preserve">Q4 (Highest % Black)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1,464 school-year observations</w:t>
      </w:r>
    </w:p>
    <w:p>
      <w:pPr>
        <w:pStyle w:val="BodyText"/>
      </w:pPr>
      <w:r>
        <w:rPr>
          <w:b/>
          <w:bCs/>
        </w:rPr>
        <w:t xml:space="preserve">Regression Results</w:t>
      </w:r>
      <w:r>
        <w:t xml:space="preserve">:</w:t>
      </w:r>
      <w:r>
        <w:t xml:space="preserve"> </w:t>
      </w:r>
      <w:r>
        <w:t xml:space="preserve">- Coefficient: 41670.9784 (SE: 33471.3691)</w:t>
      </w:r>
      <w:r>
        <w:t xml:space="preserve"> </w:t>
      </w:r>
      <w:r>
        <w:t xml:space="preserve">- 95% CI: [-23986.2418, 107328.1987]</w:t>
      </w:r>
      <w:r>
        <w:t xml:space="preserve"> </w:t>
      </w:r>
      <w:r>
        <w:t xml:space="preserve">- p-value: p &lt; 0.001</w:t>
      </w:r>
      <w:r>
        <w:t xml:space="preserve"> </w:t>
      </w:r>
      <w:r>
        <w:t xml:space="preserve">- R²: 0.0707 (Adj. R²: 0.0669)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No significant association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data-scope-and-time-period"/>
    <w:p>
      <w:pPr>
        <w:pStyle w:val="Heading2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2025-11-20</w:t>
      </w:r>
    </w:p>
    <w:p>
      <w:pPr>
        <w:pStyle w:val="BodyText"/>
      </w:pPr>
      <w:r>
        <w:rPr>
          <w:b/>
          <w:bCs/>
        </w:rPr>
        <w:t xml:space="preserve">Data Collection Period</w:t>
      </w:r>
      <w:r>
        <w:t xml:space="preserve">: California Department of Education suspension and teacher staff data for academic years 2018-19 through 2023-24</w:t>
      </w:r>
    </w:p>
    <w:p>
      <w:pPr>
        <w:pStyle w:val="BodyText"/>
      </w:pPr>
      <w:r>
        <w:rPr>
          <w:b/>
          <w:bCs/>
        </w:rPr>
        <w:t xml:space="preserve">Academic Years Covered</w:t>
      </w:r>
      <w:r>
        <w:t xml:space="preserve">: 2019-20, 2021-22, 2022-23, 2023-24</w:t>
      </w:r>
    </w:p>
    <w:p>
      <w:pPr>
        <w:pStyle w:val="BodyText"/>
      </w:pPr>
      <w:r>
        <w:rPr>
          <w:b/>
          <w:bCs/>
        </w:rPr>
        <w:t xml:space="preserve">Sample Size Breakdown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Raw observations</w:t>
      </w:r>
      <w:r>
        <w:t xml:space="preserve">: 3,402,282 school-year-race-reason records (before aggregation)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Aggregated observations</w:t>
      </w:r>
      <w:r>
        <w:t xml:space="preserve">: 7,808 school-year observations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Unique schools</w:t>
      </w:r>
      <w:r>
        <w:t xml:space="preserve">: 2,904 California public schools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Aggregation ratio</w:t>
      </w:r>
      <w:r>
        <w:t xml:space="preserve">: ~435.7 observations per school-year (races × reasons)</w:t>
      </w:r>
    </w:p>
    <w:p>
      <w:pPr>
        <w:pStyle w:val="BodyText"/>
      </w:pPr>
      <w:r>
        <w:rPr>
          <w:b/>
          <w:bCs/>
        </w:rPr>
        <w:t xml:space="preserve">What Each</w:t>
      </w:r>
      <w:r>
        <w:rPr>
          <w:b/>
          <w:bCs/>
        </w:rPr>
        <w:t xml:space="preserve"> </w:t>
      </w:r>
      <w:r>
        <w:rPr>
          <w:b/>
          <w:bCs/>
        </w:rPr>
        <w:t xml:space="preserve">“Observation”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Represents</w:t>
      </w:r>
      <w:r>
        <w:t xml:space="preserve">:</w:t>
      </w:r>
      <w:r>
        <w:t xml:space="preserve"> </w:t>
      </w:r>
      <w:r>
        <w:t xml:space="preserve">- One</w:t>
      </w:r>
      <w:r>
        <w:t xml:space="preserve"> </w:t>
      </w:r>
      <w:r>
        <w:rPr>
          <w:b/>
          <w:bCs/>
        </w:rPr>
        <w:t xml:space="preserve">school</w:t>
      </w:r>
      <w:r>
        <w:t xml:space="preserve"> </w:t>
      </w:r>
      <w:r>
        <w:t xml:space="preserve">(identified by 14-digit CDS code)</w:t>
      </w:r>
      <w:r>
        <w:t xml:space="preserve"> </w:t>
      </w:r>
      <w:r>
        <w:t xml:space="preserve">- In one</w:t>
      </w:r>
      <w:r>
        <w:t xml:space="preserve"> </w:t>
      </w:r>
      <w:r>
        <w:rPr>
          <w:b/>
          <w:bCs/>
        </w:rPr>
        <w:t xml:space="preserve">academic year</w:t>
      </w:r>
      <w:r>
        <w:t xml:space="preserve"> </w:t>
      </w:r>
      <w:r>
        <w:t xml:space="preserve">(e.g., 2023-24)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Aggregated across all student races and suspension reasons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All California public schools with complete teacher and suspension data</w:t>
      </w:r>
    </w:p>
    <w:p>
      <w:pPr>
        <w:pStyle w:val="BodyText"/>
      </w:pP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Valid Black enrollment quartile (Q1-Q4)</w:t>
      </w:r>
      <w:r>
        <w:t xml:space="preserve"> </w:t>
      </w:r>
      <w:r>
        <w:t xml:space="preserve">- Non-missing teacher diversity data</w:t>
      </w:r>
      <w:r>
        <w:t xml:space="preserve"> </w:t>
      </w:r>
      <w:r>
        <w:t xml:space="preserve">- Non-missing suspension rate data</w:t>
      </w:r>
      <w:r>
        <w:t xml:space="preserve"> </w:t>
      </w:r>
      <w:r>
        <w:t xml:space="preserve">- Positive student enrollment</w:t>
      </w:r>
      <w:r>
        <w:t xml:space="preserve"> </w:t>
      </w:r>
      <w:r>
        <w:t xml:space="preserve">- Academic year 2018-19 or later</w:t>
      </w:r>
    </w:p>
    <w:p>
      <w:r>
        <w:pict>
          <v:rect style="width:0;height:1.5pt" o:hralign="center" o:hrstd="t" o:hr="t"/>
        </w:pict>
      </w:r>
    </w:p>
    <w:bookmarkEnd w:id="18"/>
    <w:bookmarkStart w:id="22" w:name="methodological-notes"/>
    <w:p>
      <w:pPr>
        <w:pStyle w:val="Heading2"/>
      </w:pPr>
      <w:r>
        <w:t xml:space="preserve">Methodological Notes</w:t>
      </w:r>
    </w:p>
    <w:bookmarkStart w:id="19" w:name="X6069e83c4d0a1e2148f69fd21808a128ffdcf58"/>
    <w:p>
      <w:pPr>
        <w:pStyle w:val="Heading3"/>
      </w:pPr>
      <w:r>
        <w:rPr>
          <w:b/>
          <w:bCs/>
        </w:rPr>
        <w:t xml:space="preserve">CRITICAL: Aggregation to School-Year Level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Raw CDE data is reported at</w:t>
      </w:r>
      <w:r>
        <w:t xml:space="preserve"> </w:t>
      </w:r>
      <w:r>
        <w:rPr>
          <w:b/>
          <w:bCs/>
        </w:rPr>
        <w:t xml:space="preserve">school-year-race-reason</w:t>
      </w:r>
      <w:r>
        <w:t xml:space="preserve"> </w:t>
      </w:r>
      <w:r>
        <w:t xml:space="preserve">level. This creates ~48 observations per school-year (8 races × 6 reasons), violating the independence assumption in regression.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Before analysis, data are aggregated to</w:t>
      </w:r>
      <w:r>
        <w:t xml:space="preserve"> </w:t>
      </w:r>
      <w:r>
        <w:rPr>
          <w:b/>
          <w:bCs/>
        </w:rPr>
        <w:t xml:space="preserve">school-year level</w:t>
      </w:r>
      <w:r>
        <w:t xml:space="preserve"> </w:t>
      </w:r>
      <w:r>
        <w:t xml:space="preserve">by:</w:t>
      </w:r>
      <w:r>
        <w:t xml:space="preserve"> </w:t>
      </w:r>
      <w:r>
        <w:t xml:space="preserve">- Summing total suspensions across all races and reason categories</w:t>
      </w:r>
      <w:r>
        <w:t xml:space="preserve"> </w:t>
      </w:r>
      <w:r>
        <w:t xml:space="preserve">- Taking first value of school-level variables (teacher diversity, charter status, Black proportion quartile)</w:t>
      </w:r>
      <w:r>
        <w:t xml:space="preserve"> </w:t>
      </w:r>
      <w:r>
        <w:t xml:space="preserve">- Recalculating overall suspension rates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Standard errors and p-values are now valid for school-level analysis.</w:t>
      </w:r>
    </w:p>
    <w:bookmarkEnd w:id="19"/>
    <w:bookmarkStart w:id="20" w:name="regression-model"/>
    <w:p>
      <w:pPr>
        <w:pStyle w:val="Heading3"/>
      </w:pPr>
      <w:r>
        <w:t xml:space="preserve">Regression Model</w:t>
      </w:r>
    </w:p>
    <w:p>
      <w:pPr>
        <w:pStyle w:val="FirstParagraph"/>
      </w:pPr>
      <w:r>
        <w:rPr>
          <w:b/>
          <w:bCs/>
        </w:rPr>
        <w:t xml:space="preserve">Formula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Suspension Rate (%) ~ % White Teachers + Charter Status + School Level</w:t>
      </w:r>
    </w:p>
    <w:p>
      <w:pPr>
        <w:pStyle w:val="FirstParagraph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Stratified analysis</w:t>
      </w:r>
      <w:r>
        <w:t xml:space="preserve">: Separate regression for each Black enrollment quartile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Weighted least squares</w:t>
      </w:r>
      <w:r>
        <w:t xml:space="preserve">: Schools weighted by student enrollment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Controls</w:t>
      </w:r>
      <w:r>
        <w:t xml:space="preserve">: Charter status (binary), School level (Elementary, Middle, High, Other, Alternative)</w:t>
      </w:r>
    </w:p>
    <w:bookmarkEnd w:id="20"/>
    <w:bookmarkStart w:id="21" w:name="statistical-significance"/>
    <w:p>
      <w:pPr>
        <w:pStyle w:val="Heading3"/>
      </w:pPr>
      <w:r>
        <w:t xml:space="preserve">Statistical Significance</w:t>
      </w:r>
    </w:p>
    <w:p>
      <w:pPr>
        <w:pStyle w:val="FirstParagraph"/>
      </w:pPr>
      <w:r>
        <w:t xml:space="preserve">Throughout this summary: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***</w:t>
      </w:r>
      <w:r>
        <w:t xml:space="preserve"> </w:t>
      </w:r>
      <w:r>
        <w:t xml:space="preserve">indicates p &lt; 0.001 (highly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</w:t>
      </w:r>
      <w:r>
        <w:t xml:space="preserve"> </w:t>
      </w:r>
      <w:r>
        <w:t xml:space="preserve">indicates p &lt; 0.01 (very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</w:t>
      </w:r>
      <w:r>
        <w:t xml:space="preserve"> </w:t>
      </w:r>
      <w:r>
        <w:t xml:space="preserve">indicates p &lt; 0.05 (statistically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indicates not statistically significant (p ≥ 0.05)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All quartiles show highly significant associations (p &lt; 0.001). The key finding is the</w:t>
      </w:r>
      <w:r>
        <w:t xml:space="preserve"> </w:t>
      </w:r>
      <w:r>
        <w:rPr>
          <w:b/>
          <w:bCs/>
        </w:rPr>
        <w:t xml:space="preserve">difference in slope magnitude</w:t>
      </w:r>
      <w:r>
        <w:t xml:space="preserve"> </w:t>
      </w:r>
      <w:r>
        <w:t xml:space="preserve">across quartiles.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implications-for-practice-and-policy"/>
    <w:p>
      <w:pPr>
        <w:pStyle w:val="Heading2"/>
      </w:pPr>
      <w:r>
        <w:t xml:space="preserve">Implications for Practice and Policy</w:t>
      </w:r>
    </w:p>
    <w:bookmarkStart w:id="23" w:name="X8b6419da5bbeafd79749b98387967170e7e8ccc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Context Matters: Effect Varies by School Composition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Teacher racial composition shows -5.6X stronger association with suspension rates in majority-Black schools compared to majority-White schools.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Teacher diversity initiatives may have different impacts depending on school context</w:t>
      </w:r>
      <w:r>
        <w:t xml:space="preserve"> </w:t>
      </w:r>
      <w:r>
        <w:t xml:space="preserve">- Majority-Black schools show stronger correlations between staff composition and discipline outcomes</w:t>
      </w:r>
      <w:r>
        <w:t xml:space="preserve"> </w:t>
      </w:r>
      <w:r>
        <w:t xml:space="preserve">- One-size-fits-all approaches may not be effective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Prioritize culturally responsive hiring in schools serving predominantly Black students</w:t>
      </w:r>
      <w:r>
        <w:t xml:space="preserve"> </w:t>
      </w:r>
      <w:r>
        <w:t xml:space="preserve">- Consider school-specific diversity goals based on student composition</w:t>
      </w:r>
      <w:r>
        <w:t xml:space="preserve"> </w:t>
      </w:r>
      <w:r>
        <w:t xml:space="preserve">- Pair diversity initiatives with training in culturally responsive discipline practices</w:t>
      </w:r>
    </w:p>
    <w:bookmarkEnd w:id="23"/>
    <w:bookmarkStart w:id="24" w:name="X0835b9ccf9041bfe966312f70d22c3556b858cf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Positive Associations Across All Quartiles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Higher % White teachers is associated with higher suspension rates in ALL quartiles, but the association is strongest in Q4.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This is a</w:t>
      </w:r>
      <w:r>
        <w:t xml:space="preserve"> </w:t>
      </w:r>
      <w:r>
        <w:rPr>
          <w:b/>
          <w:bCs/>
        </w:rPr>
        <w:t xml:space="preserve">correlational pattern</w:t>
      </w:r>
      <w:r>
        <w:t xml:space="preserve">, not a causal relationship. Possible explanations:</w:t>
      </w:r>
      <w:r>
        <w:t xml:space="preserve"> </w:t>
      </w:r>
      <w:r>
        <w:t xml:space="preserve">- Schools with higher suspension rates may have difficulty recruiting diverse staff</w:t>
      </w:r>
      <w:r>
        <w:t xml:space="preserve"> </w:t>
      </w:r>
      <w:r>
        <w:t xml:space="preserve">- Diverse teachers may implement more culturally responsive practices</w:t>
      </w:r>
      <w:r>
        <w:t xml:space="preserve"> </w:t>
      </w:r>
      <w:r>
        <w:t xml:space="preserve">- Unmeasured factors (school culture, community context) drive both diversity and discipline</w:t>
      </w:r>
      <w:r>
        <w:t xml:space="preserve"> </w:t>
      </w:r>
      <w:r>
        <w:t xml:space="preserve">- Reverse causation: high-suspension schools may hire more diverse staff to address problems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Do NOT conclude that White teachers cause higher suspension rates. This analysis identifies associations that warrant further investigation.</w:t>
      </w:r>
    </w:p>
    <w:bookmarkEnd w:id="24"/>
    <w:bookmarkStart w:id="25" w:name="small-effect-sizes-require-context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Small Effect Sizes Require Context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Even in Q4 (strongest association), a 10pp increase in % White teachers is associated with only 0.371pp increase in suspension rate.</w:t>
      </w:r>
    </w:p>
    <w:p>
      <w:pPr>
        <w:pStyle w:val="BodyText"/>
      </w:pPr>
      <w:r>
        <w:rPr>
          <w:b/>
          <w:bCs/>
        </w:rPr>
        <w:t xml:space="preserve">Context</w:t>
      </w:r>
      <w:r>
        <w:t xml:space="preserve">:</w:t>
      </w:r>
      <w:r>
        <w:t xml:space="preserve"> </w:t>
      </w:r>
      <w:r>
        <w:t xml:space="preserve">- Baseline suspension rates typically 2-10%</w:t>
      </w:r>
      <w:r>
        <w:t xml:space="preserve"> </w:t>
      </w:r>
      <w:r>
        <w:t xml:space="preserve">- A 0.371pp increase from 5% to 5.371% is a 7.4% relative increase</w:t>
      </w:r>
      <w:r>
        <w:t xml:space="preserve"> </w:t>
      </w:r>
      <w:r>
        <w:t xml:space="preserve">- At scale (thousands of schools), these associations affect thousands of students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Small coefficients can be meaningful in aggregate, but teacher diversity alone is unlikely to dramatically reduce suspension rates.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limitations-and-caveats"/>
    <w:p>
      <w:pPr>
        <w:pStyle w:val="Heading2"/>
      </w:pPr>
      <w:r>
        <w:t xml:space="preserve">Limitations and Caveats</w:t>
      </w:r>
    </w:p>
    <w:bookmarkStart w:id="27" w:name="critical-correlational-not-causal"/>
    <w:p>
      <w:pPr>
        <w:pStyle w:val="Heading3"/>
      </w:pPr>
      <w:r>
        <w:rPr>
          <w:b/>
          <w:bCs/>
        </w:rPr>
        <w:t xml:space="preserve">CRITICAL: Correlational, Not Causal</w:t>
      </w:r>
    </w:p>
    <w:p>
      <w:pPr>
        <w:pStyle w:val="FirstParagraph"/>
      </w:pPr>
      <w:r>
        <w:t xml:space="preserve">This analysis uses</w:t>
      </w:r>
      <w:r>
        <w:t xml:space="preserve"> </w:t>
      </w:r>
      <w:r>
        <w:rPr>
          <w:b/>
          <w:bCs/>
        </w:rPr>
        <w:t xml:space="preserve">observational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stratified regression</w:t>
      </w:r>
      <w:r>
        <w:t xml:space="preserve">, which can detect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but cannot prove</w:t>
      </w:r>
      <w:r>
        <w:t xml:space="preserve"> </w:t>
      </w:r>
      <w:r>
        <w:rPr>
          <w:b/>
          <w:bCs/>
        </w:rPr>
        <w:t xml:space="preserve">causation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we CAN say</w:t>
      </w:r>
      <w:r>
        <w:t xml:space="preserve">:</w:t>
      </w:r>
      <w:r>
        <w:t xml:space="preserve"> </w:t>
      </w:r>
      <w:r>
        <w:t xml:space="preserve">- Teacher racial composition is associated with suspension rates</w:t>
      </w:r>
      <w:r>
        <w:t xml:space="preserve"> </w:t>
      </w:r>
      <w:r>
        <w:t xml:space="preserve">- This association is stronger in majority-Black schools (Q4) than majority-White schools (Q1)</w:t>
      </w:r>
      <w:r>
        <w:t xml:space="preserve"> </w:t>
      </w:r>
      <w:r>
        <w:t xml:space="preserve">- The pattern is consistent across all quartiles (positive associations throughout)</w:t>
      </w:r>
    </w:p>
    <w:p>
      <w:pPr>
        <w:pStyle w:val="BodyText"/>
      </w:pPr>
      <w:r>
        <w:rPr>
          <w:b/>
          <w:bCs/>
        </w:rPr>
        <w:t xml:space="preserve">What we CANNOT say</w:t>
      </w:r>
      <w:r>
        <w:t xml:space="preserve">:</w:t>
      </w:r>
      <w:r>
        <w:t xml:space="preserve"> </w:t>
      </w:r>
      <w:r>
        <w:t xml:space="preserve">- White teachers</w:t>
      </w:r>
      <w:r>
        <w:t xml:space="preserve"> </w:t>
      </w:r>
      <w:r>
        <w:t xml:space="preserve">“cause”</w:t>
      </w:r>
      <w:r>
        <w:t xml:space="preserve"> </w:t>
      </w:r>
      <w:r>
        <w:t xml:space="preserve">higher suspension rates</w:t>
      </w:r>
      <w:r>
        <w:t xml:space="preserve"> </w:t>
      </w:r>
      <w:r>
        <w:t xml:space="preserve">- Increasing diversity will reduce suspensions</w:t>
      </w:r>
      <w:r>
        <w:t xml:space="preserve"> </w:t>
      </w:r>
      <w:r>
        <w:t xml:space="preserve">- The direction of causality</w:t>
      </w:r>
    </w:p>
    <w:p>
      <w:pPr>
        <w:pStyle w:val="BodyText"/>
      </w:pPr>
      <w:r>
        <w:rPr>
          <w:b/>
          <w:bCs/>
        </w:rPr>
        <w:t xml:space="preserve">Why Causal Inference is Limited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No random assignment</w:t>
      </w:r>
      <w:r>
        <w:t xml:space="preserve">: Schools are not randomly assigned to have certain teacher compositions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Unmeasured confounders</w:t>
      </w:r>
      <w:r>
        <w:t xml:space="preserve">: School culture, leadership, community context, resources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Selection effects</w:t>
      </w:r>
      <w:r>
        <w:t xml:space="preserve">: Teachers may choose schools based on existing disciplinary climate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: High-suspension schools may hire diverse staff to address problems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Ecological fallacy</w:t>
      </w:r>
      <w:r>
        <w:t xml:space="preserve">: School-level analysis cannot identify individual teacher effects</w:t>
      </w:r>
    </w:p>
    <w:bookmarkEnd w:id="27"/>
    <w:bookmarkStart w:id="28" w:name="other-limitations"/>
    <w:p>
      <w:pPr>
        <w:pStyle w:val="Heading3"/>
      </w:pPr>
      <w:r>
        <w:t xml:space="preserve">Other Limitations</w:t>
      </w:r>
    </w:p>
    <w:p>
      <w:pPr>
        <w:pStyle w:val="FirstParagraph"/>
      </w:pPr>
      <w:r>
        <w:rPr>
          <w:b/>
          <w:bCs/>
        </w:rPr>
        <w:t xml:space="preserve">Measurement</w:t>
      </w:r>
      <w:r>
        <w:t xml:space="preserve">:</w:t>
      </w:r>
      <w:r>
        <w:t xml:space="preserve"> </w:t>
      </w:r>
      <w:r>
        <w:t xml:space="preserve">- Teacher diversity measured as % White (binary construct)</w:t>
      </w:r>
      <w:r>
        <w:t xml:space="preserve"> </w:t>
      </w:r>
      <w:r>
        <w:t xml:space="preserve">- Does not capture cultural competency, training, or teacher-student matching</w:t>
      </w:r>
      <w:r>
        <w:t xml:space="preserve"> </w:t>
      </w:r>
      <w:r>
        <w:t xml:space="preserve">- Suspension rates are aggregate (all infraction types combined)</w:t>
      </w:r>
    </w:p>
    <w:p>
      <w:pPr>
        <w:pStyle w:val="BodyText"/>
      </w:pPr>
      <w:r>
        <w:rPr>
          <w:b/>
          <w:bCs/>
        </w:rPr>
        <w:t xml:space="preserve">Scope</w:t>
      </w:r>
      <w:r>
        <w:t xml:space="preserve">:</w:t>
      </w:r>
      <w:r>
        <w:t xml:space="preserve"> </w:t>
      </w:r>
      <w:r>
        <w:t xml:space="preserve">- California public schools only</w:t>
      </w:r>
      <w:r>
        <w:t xml:space="preserve"> </w:t>
      </w:r>
      <w:r>
        <w:t xml:space="preserve">- 2018-19 onwards (may not reflect earlier patterns)</w:t>
      </w:r>
      <w:r>
        <w:t xml:space="preserve"> </w:t>
      </w:r>
      <w:r>
        <w:t xml:space="preserve">- Excludes private schools</w:t>
      </w:r>
    </w:p>
    <w:p>
      <w:pPr>
        <w:pStyle w:val="BodyText"/>
      </w:pPr>
      <w:r>
        <w:rPr>
          <w:b/>
          <w:bCs/>
        </w:rPr>
        <w:t xml:space="preserve">Statistical</w:t>
      </w:r>
      <w:r>
        <w:t xml:space="preserve">:</w:t>
      </w:r>
      <w:r>
        <w:t xml:space="preserve"> </w:t>
      </w:r>
      <w:r>
        <w:t xml:space="preserve">- No formal test of slope differences (would require interaction terms)</w:t>
      </w:r>
      <w:r>
        <w:t xml:space="preserve"> </w:t>
      </w:r>
      <w:r>
        <w:t xml:space="preserve">- Visual</w:t>
      </w:r>
      <w:r>
        <w:t xml:space="preserve"> </w:t>
      </w:r>
      <w:r>
        <w:t xml:space="preserve">“eyeball test”</w:t>
      </w:r>
      <w:r>
        <w:t xml:space="preserve"> </w:t>
      </w:r>
      <w:r>
        <w:t xml:space="preserve">only</w:t>
      </w:r>
      <w:r>
        <w:t xml:space="preserve"> </w:t>
      </w:r>
      <w:r>
        <w:t xml:space="preserve">- Separate regressions by quartile (not a single interaction model)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data-outputs-available"/>
    <w:p>
      <w:pPr>
        <w:pStyle w:val="Heading2"/>
      </w:pPr>
      <w:r>
        <w:t xml:space="preserve">Data Outputs Available</w:t>
      </w:r>
    </w:p>
    <w:bookmarkStart w:id="30" w:name="csv-table"/>
    <w:p>
      <w:pPr>
        <w:pStyle w:val="Heading3"/>
      </w:pPr>
      <w:r>
        <w:rPr>
          <w:b/>
          <w:bCs/>
        </w:rPr>
        <w:t xml:space="preserve">CSV Table</w:t>
      </w:r>
    </w:p>
    <w:p>
      <w:pPr>
        <w:pStyle w:val="FirstParagraph"/>
      </w:pPr>
      <w:r>
        <w:rPr>
          <w:rStyle w:val="VerbatimChar"/>
        </w:rPr>
        <w:t xml:space="preserve">outputs/tables/24_quartile_slope_comparison_coefficients.csv</w:t>
      </w:r>
      <w:r>
        <w:t xml:space="preserve"> </w:t>
      </w:r>
      <w:r>
        <w:t xml:space="preserve">- Regression coefficients for all quartiles</w:t>
      </w:r>
      <w:r>
        <w:t xml:space="preserve"> </w:t>
      </w:r>
      <w:r>
        <w:t xml:space="preserve">- Standard errors, confidence intervals, p-values</w:t>
      </w:r>
      <w:r>
        <w:t xml:space="preserve"> </w:t>
      </w:r>
      <w:r>
        <w:t xml:space="preserve">- R² values and significance indicators</w:t>
      </w:r>
    </w:p>
    <w:bookmarkEnd w:id="30"/>
    <w:bookmarkStart w:id="31" w:name="visualization-png-300-dpi"/>
    <w:p>
      <w:pPr>
        <w:pStyle w:val="Heading3"/>
      </w:pPr>
      <w:r>
        <w:rPr>
          <w:b/>
          <w:bCs/>
        </w:rPr>
        <w:t xml:space="preserve">Visualization</w:t>
      </w:r>
      <w:r>
        <w:t xml:space="preserve"> </w:t>
      </w:r>
      <w:r>
        <w:t xml:space="preserve">(PNG, 300 DPI)</w:t>
      </w:r>
    </w:p>
    <w:p>
      <w:pPr>
        <w:pStyle w:val="FirstParagraph"/>
      </w:pPr>
      <w:r>
        <w:rPr>
          <w:rStyle w:val="VerbatimChar"/>
        </w:rPr>
        <w:t xml:space="preserve">outputs/graphs/24_quartile_slope_comparison.png</w:t>
      </w:r>
      <w:r>
        <w:t xml:space="preserve"> </w:t>
      </w:r>
      <w:r>
        <w:t xml:space="preserve">- Faceted scatter plot (2×2 grid)</w:t>
      </w:r>
      <w:r>
        <w:t xml:space="preserve"> </w:t>
      </w:r>
      <w:r>
        <w:t xml:space="preserve">- Separate panel for each quartile</w:t>
      </w:r>
      <w:r>
        <w:t xml:space="preserve"> </w:t>
      </w:r>
      <w:r>
        <w:t xml:space="preserve">- Linear regression lines with 95% confidence intervals</w:t>
      </w:r>
      <w:r>
        <w:t xml:space="preserve"> </w:t>
      </w:r>
      <w:r>
        <w:t xml:space="preserve">- Fixed y-axis scale for direct visual comparison</w:t>
      </w:r>
    </w:p>
    <w:p>
      <w:pPr>
        <w:pStyle w:val="BodyText"/>
      </w:pPr>
      <w:r>
        <w:rPr>
          <w:b/>
          <w:bCs/>
        </w:rPr>
        <w:t xml:space="preserve">Output Location</w:t>
      </w:r>
      <w:r>
        <w:t xml:space="preserve">: All files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subdirectories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REACH Suspensions Analysis (2025).</w:t>
      </w:r>
      <w:r>
        <w:t xml:space="preserve"> </w:t>
      </w:r>
      <w:r>
        <w:t xml:space="preserve">“Teacher Diversity and Suspension Rates by School Racial Composition: Slope Comparison Analysis - Executive Summary.”</w:t>
      </w:r>
      <w:r>
        <w:t xml:space="preserve"> </w:t>
      </w:r>
      <w:r>
        <w:t xml:space="preserve">UCLA Center for the Transformation of Schools, REACH Suspensions Analysis Project. Analysis conducted November 2025 using California Department of Education data (2018-19 through 2023-24).</w:t>
      </w:r>
    </w:p>
    <w:p>
      <w:pPr>
        <w:pStyle w:val="BodyText"/>
      </w:pPr>
      <w:r>
        <w:rPr>
          <w:b/>
          <w:bCs/>
        </w:rPr>
        <w:t xml:space="preserve">Data Sources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“Student Suspension Data Files (2018-19 through 2023-24).”</w:t>
      </w:r>
      <w:r>
        <w:t xml:space="preserve"> </w:t>
      </w:r>
      <w:r>
        <w:t xml:space="preserve">Retrieved from https://www.cde.ca.gov/ds/sd/sd/</w:t>
      </w:r>
      <w:r>
        <w:t xml:space="preserve"> </w:t>
      </w:r>
      <w:r>
        <w:t xml:space="preserve">&gt;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“Teacher Staff Demographic Data Files (2018-19 through 2023-24).”</w:t>
      </w:r>
      <w:r>
        <w:t xml:space="preserve"> </w:t>
      </w:r>
      <w:r>
        <w:t xml:space="preserve">Retrieved from https://www.cde.ca.gov/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code:</w:t>
      </w:r>
      <w:r>
        <w:t xml:space="preserve"> </w:t>
      </w:r>
      <w:r>
        <w:rPr>
          <w:rStyle w:val="VerbatimChar"/>
        </w:rPr>
        <w:t xml:space="preserve">Analysis/24_quartile_slope_comparison.R</w:t>
      </w:r>
    </w:p>
    <w:p>
      <w:r>
        <w:pict>
          <v:rect style="width:0;height:1.5pt" o:hralign="center" o:hrstd="t" o:hr="t"/>
        </w:pict>
      </w:r>
    </w:p>
    <w:bookmarkEnd w:id="33"/>
    <w:bookmarkStart w:id="34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Analysis/24_quartile_slope_comparison.R</w:t>
      </w:r>
      <w:r>
        <w:t xml:space="preserve"> </w:t>
      </w:r>
      <w:r>
        <w:t xml:space="preserve">(inline documentation)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Aggregation methodology</w:t>
      </w:r>
      <w:r>
        <w:t xml:space="preserve">: See</w:t>
      </w:r>
      <w:r>
        <w:t xml:space="preserve"> </w:t>
      </w:r>
      <w:r>
        <w:t xml:space="preserve">“CRITICAL: Aggregation to School-Year Level”</w:t>
      </w:r>
      <w:r>
        <w:t xml:space="preserve"> </w:t>
      </w:r>
      <w:r>
        <w:t xml:space="preserve">in this summary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(repository guide)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34"/>
    <w:bookmarkStart w:id="35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1.0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2025-11-20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2025-11-20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Analysis/24_quartile_slope_comparison.R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outputs/summaries/24_quartile_slope_comparison_SUMMARY.md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outputs/summaries/24_quartile_slope_comparison_SUMMARY.docx</w:t>
      </w:r>
      <w:r>
        <w:t xml:space="preserve"> </w:t>
      </w:r>
      <w:r>
        <w:t xml:space="preserve">(generate using conversion script)</w:t>
      </w:r>
    </w:p>
    <w:p>
      <w:pPr>
        <w:pStyle w:val="BodyText"/>
      </w:pPr>
      <w:r>
        <w:rPr>
          <w:b/>
          <w:bCs/>
        </w:rPr>
        <w:t xml:space="preserve">Conversion to Word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./scripts/utilities/convert_summary_to_word.sh</w:t>
      </w:r>
      <w:r>
        <w:rPr>
          <w:rStyle w:val="NormalTok"/>
        </w:rPr>
        <w:t xml:space="preserve"> 24_quartile_slope_comparison_SUMMARY.md</w:t>
      </w:r>
    </w:p>
    <w:p>
      <w:pPr>
        <w:pStyle w:val="FirstParagraph"/>
      </w:pPr>
      <w:r>
        <w:rPr>
          <w:b/>
          <w:bCs/>
        </w:rPr>
        <w:t xml:space="preserve">Change Log</w:t>
      </w:r>
      <w:r>
        <w:t xml:space="preserve">:</w:t>
      </w:r>
      <w:r>
        <w:t xml:space="preserve"> </w:t>
      </w:r>
      <w:r>
        <w:t xml:space="preserve">- v1.0 (2025-11-20): Initial summary with corrected methodology (school-year aggregation)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24_quartile_slope_comparison_SUMMARY</dc:title>
  <dc:creator/>
  <cp:keywords/>
  <dcterms:created xsi:type="dcterms:W3CDTF">2025-11-20T18:29:05Z</dcterms:created>
  <dcterms:modified xsi:type="dcterms:W3CDTF">2025-11-20T18:29:05Z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2025-11-20</vt:lpwstr>
  </property>
</Properties>
</file>