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4" w:name="X9752457ec2acf1cef5a537e9e8d7b800dec39b5"/>
    <w:p>
      <w:pPr>
        <w:pStyle w:val="Heading1"/>
      </w:pPr>
      <w:r>
        <w:t xml:space="preserve">Analysis 22: Black Student Suspension Rates and Teacher Demographics - Executive Summary</w:t>
      </w:r>
    </w:p>
    <w:p>
      <w:pPr>
        <w:pStyle w:val="FirstParagraph"/>
      </w:pPr>
      <w:r>
        <w:rPr>
          <w:b/>
          <w:bCs/>
        </w:rPr>
        <w:t xml:space="preserve">Analysis Date</w:t>
      </w:r>
      <w:r>
        <w:t xml:space="preserve">: 2025-11-19</w:t>
      </w:r>
      <w:r>
        <w:t xml:space="preserve"> </w:t>
      </w:r>
      <w:r>
        <w:rPr>
          <w:b/>
          <w:bCs/>
        </w:rPr>
        <w:t xml:space="preserve">Data Period</w:t>
      </w:r>
      <w:r>
        <w:t xml:space="preserve">: 2017-18 through 2023-24 Academic Years</w:t>
      </w:r>
      <w:r>
        <w:t xml:space="preserve"> </w:t>
      </w:r>
      <w:r>
        <w:rPr>
          <w:b/>
          <w:bCs/>
        </w:rPr>
        <w:t xml:space="preserve">Schools Analyzed</w:t>
      </w:r>
      <w:r>
        <w:t xml:space="preserve">: 5,129 unique schools across California</w:t>
      </w:r>
      <w:r>
        <w:t xml:space="preserve"> </w:t>
      </w:r>
      <w:r>
        <w:rPr>
          <w:b/>
          <w:bCs/>
        </w:rPr>
        <w:t xml:space="preserve">Student Records</w:t>
      </w:r>
      <w:r>
        <w:t xml:space="preserve">: 190,806 Black student observations</w:t>
      </w:r>
    </w:p>
    <w:p>
      <w:r>
        <w:pict>
          <v:rect style="width:0;height:1.5pt" o:hralign="center" o:hrstd="t" o:hr="t"/>
        </w:pict>
      </w:r>
    </w:p>
    <w:bookmarkStart w:id="9" w:name="key-question"/>
    <w:p>
      <w:pPr>
        <w:pStyle w:val="Heading2"/>
      </w:pPr>
      <w:r>
        <w:t xml:space="preserve">Key Question</w:t>
      </w:r>
    </w:p>
    <w:p>
      <w:pPr>
        <w:pStyle w:val="FirstParagraph"/>
      </w:pPr>
      <w:r>
        <w:t xml:space="preserve">How do Black student suspension rates vary by school racial composition, and what are the teacher and administrator demographic characteristics of schools with the highest suspension rates?</w:t>
      </w:r>
    </w:p>
    <w:p>
      <w:r>
        <w:pict>
          <v:rect style="width:0;height:1.5pt" o:hralign="center" o:hrstd="t" o:hr="t"/>
        </w:pict>
      </w:r>
    </w:p>
    <w:bookmarkEnd w:id="9"/>
    <w:bookmarkStart w:id="14" w:name="major-findings"/>
    <w:p>
      <w:pPr>
        <w:pStyle w:val="Heading2"/>
      </w:pPr>
      <w:r>
        <w:t xml:space="preserve">Major Findings</w:t>
      </w:r>
    </w:p>
    <w:bookmarkStart w:id="10" w:name="Xdd0fc43ff7bcf04c1b1cf023bbd5d07e4fec1c6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Clear Suspension Rate Gradient by School Racial Composition</w:t>
      </w:r>
    </w:p>
    <w:p>
      <w:pPr>
        <w:pStyle w:val="FirstParagraph"/>
      </w:pPr>
      <w:r>
        <w:t xml:space="preserve">Schools are grouped into quartiles based on Black student enrollment share. In 2023-24: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5"/>
        <w:gridCol w:w="2022"/>
        <w:gridCol w:w="2274"/>
        <w:gridCol w:w="421"/>
        <w:gridCol w:w="758"/>
        <w:gridCol w:w="13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School Type</w:t>
            </w:r>
          </w:p>
        </w:tc>
        <w:tc>
          <w:tcPr/>
          <w:p>
            <w:pPr>
              <w:pStyle w:val="Compact"/>
            </w:pPr>
            <w:r>
              <w:t xml:space="preserve">Suspension Events Rate</w:t>
            </w:r>
          </w:p>
        </w:tc>
        <w:tc>
          <w:tcPr/>
          <w:p>
            <w:pPr>
              <w:pStyle w:val="Compact"/>
            </w:pPr>
            <w:r>
              <w:t xml:space="preserve">Unduplicated Student Rate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Schools</w:t>
            </w:r>
          </w:p>
        </w:tc>
        <w:tc>
          <w:tcPr/>
          <w:p>
            <w:pPr>
              <w:pStyle w:val="Compact"/>
            </w:pPr>
            <w:r>
              <w:t xml:space="preserve">Black Students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  <w:r>
              <w:t xml:space="preserve"> </w:t>
            </w:r>
            <w:r>
              <w:t xml:space="preserve">(Lowest % Black)</w:t>
            </w:r>
          </w:p>
        </w:tc>
        <w:tc>
          <w:tcPr/>
          <w:p>
            <w:pPr>
              <w:pStyle w:val="Compact"/>
            </w:pPr>
            <w:r>
              <w:t xml:space="preserve">9.77%</w:t>
            </w:r>
          </w:p>
        </w:tc>
        <w:tc>
          <w:tcPr/>
          <w:p>
            <w:pPr>
              <w:pStyle w:val="Compact"/>
            </w:pPr>
            <w:r>
              <w:t xml:space="preserve">5.98%</w:t>
            </w:r>
          </w:p>
        </w:tc>
        <w:tc>
          <w:tcPr/>
          <w:p>
            <w:pPr>
              <w:pStyle w:val="Compact"/>
            </w:pPr>
            <w:r>
              <w:t xml:space="preserve">3.79 pp</w:t>
            </w:r>
          </w:p>
        </w:tc>
        <w:tc>
          <w:tcPr/>
          <w:p>
            <w:pPr>
              <w:pStyle w:val="Compact"/>
            </w:pPr>
            <w:r>
              <w:t xml:space="preserve">1,283</w:t>
            </w:r>
          </w:p>
        </w:tc>
        <w:tc>
          <w:tcPr/>
          <w:p>
            <w:pPr>
              <w:pStyle w:val="Compact"/>
            </w:pPr>
            <w:r>
              <w:t xml:space="preserve">159,852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10.82%</w:t>
            </w:r>
          </w:p>
        </w:tc>
        <w:tc>
          <w:tcPr/>
          <w:p>
            <w:pPr>
              <w:pStyle w:val="Compact"/>
            </w:pPr>
            <w:r>
              <w:t xml:space="preserve">6.76%</w:t>
            </w:r>
          </w:p>
        </w:tc>
        <w:tc>
          <w:tcPr/>
          <w:p>
            <w:pPr>
              <w:pStyle w:val="Compact"/>
            </w:pPr>
            <w:r>
              <w:t xml:space="preserve">4.06 pp</w:t>
            </w:r>
          </w:p>
        </w:tc>
        <w:tc>
          <w:tcPr/>
          <w:p>
            <w:pPr>
              <w:pStyle w:val="Compact"/>
            </w:pPr>
            <w:r>
              <w:t xml:space="preserve">1,282</w:t>
            </w:r>
          </w:p>
        </w:tc>
        <w:tc>
          <w:tcPr/>
          <w:p>
            <w:pPr>
              <w:pStyle w:val="Compact"/>
            </w:pPr>
            <w:r>
              <w:t xml:space="preserve">272,226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12.99%</w:t>
            </w:r>
          </w:p>
        </w:tc>
        <w:tc>
          <w:tcPr/>
          <w:p>
            <w:pPr>
              <w:pStyle w:val="Compact"/>
            </w:pPr>
            <w:r>
              <w:t xml:space="preserve">7.86%</w:t>
            </w:r>
          </w:p>
        </w:tc>
        <w:tc>
          <w:tcPr/>
          <w:p>
            <w:pPr>
              <w:pStyle w:val="Compact"/>
            </w:pPr>
            <w:r>
              <w:t xml:space="preserve">5.13 pp</w:t>
            </w:r>
          </w:p>
        </w:tc>
        <w:tc>
          <w:tcPr/>
          <w:p>
            <w:pPr>
              <w:pStyle w:val="Compact"/>
            </w:pPr>
            <w:r>
              <w:t xml:space="preserve">1,282</w:t>
            </w:r>
          </w:p>
        </w:tc>
        <w:tc>
          <w:tcPr/>
          <w:p>
            <w:pPr>
              <w:pStyle w:val="Compact"/>
            </w:pPr>
            <w:r>
              <w:t xml:space="preserve">518,754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</w:t>
            </w:r>
            <w:r>
              <w:t xml:space="preserve"> </w:t>
            </w:r>
            <w:r>
              <w:t xml:space="preserve">(Highest % Black)</w:t>
            </w:r>
          </w:p>
        </w:tc>
        <w:tc>
          <w:tcPr/>
          <w:p>
            <w:pPr>
              <w:pStyle w:val="Compact"/>
            </w:pPr>
            <w:r>
              <w:t xml:space="preserve">15.22%</w:t>
            </w:r>
          </w:p>
        </w:tc>
        <w:tc>
          <w:tcPr/>
          <w:p>
            <w:pPr>
              <w:pStyle w:val="Compact"/>
            </w:pPr>
            <w:r>
              <w:t xml:space="preserve">8.87%</w:t>
            </w:r>
          </w:p>
        </w:tc>
        <w:tc>
          <w:tcPr/>
          <w:p>
            <w:pPr>
              <w:pStyle w:val="Compact"/>
            </w:pPr>
            <w:r>
              <w:t xml:space="preserve">6.35 pp</w:t>
            </w:r>
          </w:p>
        </w:tc>
        <w:tc>
          <w:tcPr/>
          <w:p>
            <w:pPr>
              <w:pStyle w:val="Compact"/>
            </w:pPr>
            <w:r>
              <w:t xml:space="preserve">1,282</w:t>
            </w:r>
          </w:p>
        </w:tc>
        <w:tc>
          <w:tcPr/>
          <w:p>
            <w:pPr>
              <w:pStyle w:val="Compact"/>
            </w:pPr>
            <w:r>
              <w:t xml:space="preserve">1,006,038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Schools with the highest Black student concentrations (Q4) show: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56% higher event rates</w:t>
      </w:r>
      <w:r>
        <w:t xml:space="preserve"> </w:t>
      </w:r>
      <w:r>
        <w:t xml:space="preserve">than Q1 schools (15.22% vs 9.77%)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48% higher student rates</w:t>
      </w:r>
      <w:r>
        <w:t xml:space="preserve"> </w:t>
      </w:r>
      <w:r>
        <w:t xml:space="preserve">than Q1 schools (8.87% vs 5.98%)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Widening gap</w:t>
      </w:r>
      <w:r>
        <w:t xml:space="preserve"> </w:t>
      </w:r>
      <w:r>
        <w:t xml:space="preserve">between events and students (6.35 pp vs 3.79 pp), indicating higher repeat suspension rates</w:t>
      </w:r>
    </w:p>
    <w:bookmarkEnd w:id="10"/>
    <w:bookmarkStart w:id="11" w:name="X0b18f5a8114ea569c898de9fe4d54e8ba6e27fd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Teacher Demographics in High-Suspension Schools</w:t>
      </w:r>
    </w:p>
    <w:p>
      <w:pPr>
        <w:pStyle w:val="FirstParagraph"/>
      </w:pPr>
      <w:r>
        <w:t xml:space="preserve">High-suspension schools (top 10% within each quartile) show concerning staffing patterns: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475"/>
        <w:gridCol w:w="148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Quartile</w:t>
            </w:r>
          </w:p>
        </w:tc>
        <w:tc>
          <w:tcPr/>
          <w:p>
            <w:pPr>
              <w:pStyle w:val="Compact"/>
            </w:pPr>
            <w:r>
              <w:t xml:space="preserve">% African American Staff</w:t>
            </w:r>
          </w:p>
        </w:tc>
        <w:tc>
          <w:tcPr/>
          <w:p>
            <w:pPr>
              <w:pStyle w:val="Compact"/>
            </w:pPr>
            <w:r>
              <w:t xml:space="preserve">% White Staff</w:t>
            </w:r>
          </w:p>
        </w:tc>
        <w:tc>
          <w:tcPr/>
          <w:p>
            <w:pPr>
              <w:pStyle w:val="Compact"/>
            </w:pPr>
            <w:r>
              <w:t xml:space="preserve">Teacher-Student Racial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  <w:r>
              <w:t xml:space="preserve"> </w:t>
            </w:r>
            <w:r>
              <w:t xml:space="preserve">(Lowest % Black)</w:t>
            </w:r>
          </w:p>
        </w:tc>
        <w:tc>
          <w:tcPr/>
          <w:p>
            <w:pPr>
              <w:pStyle w:val="Compact"/>
            </w:pPr>
            <w:r>
              <w:t xml:space="preserve">1.4%</w:t>
            </w:r>
          </w:p>
        </w:tc>
        <w:tc>
          <w:tcPr/>
          <w:p>
            <w:pPr>
              <w:pStyle w:val="Compact"/>
            </w:pPr>
            <w:r>
              <w:t xml:space="preserve">64.4%</w:t>
            </w:r>
          </w:p>
        </w:tc>
        <w:tc>
          <w:tcPr/>
          <w:p>
            <w:pPr>
              <w:pStyle w:val="Compact"/>
            </w:pPr>
            <w:r>
              <w:t xml:space="preserve">Severe mismatch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4.7%</w:t>
            </w:r>
          </w:p>
        </w:tc>
        <w:tc>
          <w:tcPr/>
          <w:p>
            <w:pPr>
              <w:pStyle w:val="Compact"/>
            </w:pPr>
            <w:r>
              <w:t xml:space="preserve">52.2%</w:t>
            </w:r>
          </w:p>
        </w:tc>
        <w:tc>
          <w:tcPr/>
          <w:p>
            <w:pPr>
              <w:pStyle w:val="Compact"/>
            </w:pPr>
            <w:r>
              <w:t xml:space="preserve">Large mismatch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5.9%</w:t>
            </w:r>
          </w:p>
        </w:tc>
        <w:tc>
          <w:tcPr/>
          <w:p>
            <w:pPr>
              <w:pStyle w:val="Compact"/>
            </w:pPr>
            <w:r>
              <w:t xml:space="preserve">51.6%</w:t>
            </w:r>
          </w:p>
        </w:tc>
        <w:tc>
          <w:tcPr/>
          <w:p>
            <w:pPr>
              <w:pStyle w:val="Compact"/>
            </w:pPr>
            <w:r>
              <w:t xml:space="preserve">Large mismatch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</w:t>
            </w:r>
            <w:r>
              <w:t xml:space="preserve"> </w:t>
            </w:r>
            <w:r>
              <w:t xml:space="preserve">(Highest % Black)</w:t>
            </w:r>
          </w:p>
        </w:tc>
        <w:tc>
          <w:tcPr/>
          <w:p>
            <w:pPr>
              <w:pStyle w:val="Compact"/>
            </w:pPr>
            <w:r>
              <w:t xml:space="preserve">14.6%</w:t>
            </w:r>
          </w:p>
        </w:tc>
        <w:tc>
          <w:tcPr/>
          <w:p>
            <w:pPr>
              <w:pStyle w:val="Compact"/>
            </w:pPr>
            <w:r>
              <w:t xml:space="preserve">43.9%</w:t>
            </w:r>
          </w:p>
        </w:tc>
        <w:tc>
          <w:tcPr/>
          <w:p>
            <w:pPr>
              <w:pStyle w:val="Compact"/>
            </w:pPr>
            <w:r>
              <w:t xml:space="preserve">Still majority-White staff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Even in schools with the highest Black student populations, high-suspension schools remain predominantly staffed by White teachers and administrators. Q4 high-suspension schools serve majority-Black students but have less than 15% African American staff.</w:t>
      </w:r>
    </w:p>
    <w:bookmarkEnd w:id="11"/>
    <w:bookmarkStart w:id="12" w:name="extreme-suspension-concentrations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Extreme Suspension Concentrations</w:t>
      </w:r>
    </w:p>
    <w:p>
      <w:pPr>
        <w:pStyle w:val="FirstParagraph"/>
      </w:pPr>
      <w:r>
        <w:t xml:space="preserve">Among the 515 schools in the top 10% of Black suspension rates (across all quartiles):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018"/>
        <w:gridCol w:w="1923"/>
        <w:gridCol w:w="2036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Quartile</w:t>
            </w:r>
          </w:p>
        </w:tc>
        <w:tc>
          <w:tcPr/>
          <w:p>
            <w:pPr>
              <w:pStyle w:val="Compact"/>
            </w:pPr>
            <w:r>
              <w:t xml:space="preserve">Schools</w:t>
            </w:r>
          </w:p>
        </w:tc>
        <w:tc>
          <w:tcPr/>
          <w:p>
            <w:pPr>
              <w:pStyle w:val="Compact"/>
            </w:pPr>
            <w:r>
              <w:t xml:space="preserve">Avg Events Rate</w:t>
            </w:r>
          </w:p>
        </w:tc>
        <w:tc>
          <w:tcPr/>
          <w:p>
            <w:pPr>
              <w:pStyle w:val="Compact"/>
            </w:pPr>
            <w:r>
              <w:t xml:space="preserve">Avg Student Rate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48.96%</w:t>
            </w:r>
          </w:p>
        </w:tc>
        <w:tc>
          <w:tcPr/>
          <w:p>
            <w:pPr>
              <w:pStyle w:val="Compact"/>
            </w:pPr>
            <w:r>
              <w:t xml:space="preserve">21.95%</w:t>
            </w:r>
          </w:p>
        </w:tc>
        <w:tc>
          <w:tcPr/>
          <w:p>
            <w:pPr>
              <w:pStyle w:val="Compact"/>
            </w:pPr>
            <w:r>
              <w:t xml:space="preserve">1 in 5 Black students suspended; repeat offenses push event rate to 49%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44.18%</w:t>
            </w:r>
          </w:p>
        </w:tc>
        <w:tc>
          <w:tcPr/>
          <w:p>
            <w:pPr>
              <w:pStyle w:val="Compact"/>
            </w:pPr>
            <w:r>
              <w:t xml:space="preserve">21.69%</w:t>
            </w:r>
          </w:p>
        </w:tc>
        <w:tc>
          <w:tcPr/>
          <w:p>
            <w:pPr>
              <w:pStyle w:val="Compact"/>
            </w:pPr>
            <w:r>
              <w:t xml:space="preserve">Similar pattern: ~22% suspended, multiple times 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50.22%</w:t>
            </w:r>
          </w:p>
        </w:tc>
        <w:tc>
          <w:tcPr/>
          <w:p>
            <w:pPr>
              <w:pStyle w:val="Compact"/>
            </w:pPr>
            <w:r>
              <w:t xml:space="preserve">24.82%</w:t>
            </w:r>
          </w:p>
        </w:tc>
        <w:tc>
          <w:tcPr/>
          <w:p>
            <w:pPr>
              <w:pStyle w:val="Compact"/>
            </w:pPr>
            <w:r>
              <w:t xml:space="preserve">1 in 4 Black students suspended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66.49%</w:t>
            </w:r>
          </w:p>
        </w:tc>
        <w:tc>
          <w:tcPr/>
          <w:p>
            <w:pPr>
              <w:pStyle w:val="Compact"/>
            </w:pPr>
            <w:r>
              <w:t xml:space="preserve">31.55%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Nearly 1 in 3 Black students suspended</w:t>
            </w:r>
            <w:r>
              <w:t xml:space="preserve">, averaging 2.1 suspensions per student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Finding</w:t>
      </w:r>
      <w:r>
        <w:t xml:space="preserve">: In Q4 high-suspension schools: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31.55%</w:t>
      </w:r>
      <w:r>
        <w:t xml:space="preserve"> </w:t>
      </w:r>
      <w:r>
        <w:t xml:space="preserve">of Black students experienced at least one suspension</w:t>
      </w:r>
      <w:r>
        <w:t xml:space="preserve"> </w:t>
      </w:r>
      <w:r>
        <w:t xml:space="preserve">- Total suspension events reached</w:t>
      </w:r>
      <w:r>
        <w:t xml:space="preserve"> </w:t>
      </w:r>
      <w:r>
        <w:rPr>
          <w:b/>
          <w:bCs/>
        </w:rPr>
        <w:t xml:space="preserve">66.49%</w:t>
      </w:r>
      <w:r>
        <w:t xml:space="preserve"> </w:t>
      </w:r>
      <w:r>
        <w:t xml:space="preserve">of Black enrollment</w:t>
      </w:r>
      <w:r>
        <w:t xml:space="preserve"> </w:t>
      </w:r>
      <w:r>
        <w:t xml:space="preserve">- This indicates students face an average of</w:t>
      </w:r>
      <w:r>
        <w:t xml:space="preserve"> </w:t>
      </w:r>
      <w:r>
        <w:rPr>
          <w:b/>
          <w:bCs/>
        </w:rPr>
        <w:t xml:space="preserve">~2.1 suspensions when disciplined</w:t>
      </w:r>
      <w:r>
        <w:t xml:space="preserve"> </w:t>
      </w:r>
      <w:r>
        <w:t xml:space="preserve">- Suggests limited use of alternative interventions for repeat offenses</w:t>
      </w:r>
    </w:p>
    <w:bookmarkEnd w:id="12"/>
    <w:bookmarkStart w:id="13" w:name="the-repeat-suspension-pattern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The Repeat Suspension Pattern</w:t>
      </w:r>
    </w:p>
    <w:p>
      <w:pPr>
        <w:pStyle w:val="FirstParagraph"/>
      </w:pPr>
      <w:r>
        <w:t xml:space="preserve">The gap between suspension events and unique students suspended reveals repeat discipline patterns:</w:t>
      </w:r>
    </w:p>
    <w:p>
      <w:pPr>
        <w:pStyle w:val="BodyText"/>
      </w:pPr>
      <w:r>
        <w:rPr>
          <w:b/>
          <w:bCs/>
        </w:rPr>
        <w:t xml:space="preserve">Overall by Quartile (2023-24)</w:t>
      </w:r>
      <w:r>
        <w:t xml:space="preserve">:</w:t>
      </w:r>
      <w:r>
        <w:t xml:space="preserve"> </w:t>
      </w:r>
      <w:r>
        <w:t xml:space="preserve">- Q1: 3.79 percentage points gap → Moderate repeat rates</w:t>
      </w:r>
      <w:r>
        <w:t xml:space="preserve"> </w:t>
      </w:r>
      <w:r>
        <w:t xml:space="preserve">- Q2: 4.06 pp gap → Similar pattern</w:t>
      </w:r>
      <w:r>
        <w:t xml:space="preserve"> </w:t>
      </w:r>
      <w:r>
        <w:t xml:space="preserve">- Q3: 5.13 pp gap → Increasing repeats</w:t>
      </w:r>
      <w:r>
        <w:t xml:space="preserve"> </w:t>
      </w:r>
      <w:r>
        <w:t xml:space="preserve">- Q4: 6.35 pp gap → Highest repeat suspension rate</w:t>
      </w:r>
    </w:p>
    <w:p>
      <w:pPr>
        <w:pStyle w:val="BodyText"/>
      </w:pPr>
      <w:r>
        <w:rPr>
          <w:b/>
          <w:bCs/>
        </w:rPr>
        <w:t xml:space="preserve">High-Suspension Schools</w:t>
      </w:r>
      <w:r>
        <w:t xml:space="preserve">:</w:t>
      </w:r>
      <w:r>
        <w:t xml:space="preserve"> </w:t>
      </w:r>
      <w:r>
        <w:t xml:space="preserve">- Q1: 27.01 pp gap → Students average 2.2 suspensions</w:t>
      </w:r>
      <w:r>
        <w:t xml:space="preserve"> </w:t>
      </w:r>
      <w:r>
        <w:t xml:space="preserve">- Q2: 22.49 pp gap → Students average 2.0 suspensions</w:t>
      </w:r>
      <w:r>
        <w:t xml:space="preserve"> </w:t>
      </w:r>
      <w:r>
        <w:t xml:space="preserve">- Q3: 25.40 pp gap → Students average 2.0 suspensions</w:t>
      </w:r>
      <w:r>
        <w:t xml:space="preserve"> </w:t>
      </w:r>
      <w:r>
        <w:t xml:space="preserve">- Q4: 34.94 pp gap → Students average 2.1 suspensions</w:t>
      </w:r>
    </w:p>
    <w:p>
      <w:pPr>
        <w:pStyle w:val="BodyText"/>
      </w:pPr>
      <w:r>
        <w:rPr>
          <w:b/>
          <w:bCs/>
        </w:rPr>
        <w:t xml:space="preserve">Implication</w:t>
      </w:r>
      <w:r>
        <w:t xml:space="preserve">: The gap between event and student rates grows with Black student concentration, indicating that repeat suspensions contribute disproportionately to the higher rates in majority-Black schools.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detailed-breakdowns"/>
    <w:p>
      <w:pPr>
        <w:pStyle w:val="Heading2"/>
      </w:pPr>
      <w:r>
        <w:t xml:space="preserve">Detailed Breakdowns</w:t>
      </w:r>
    </w:p>
    <w:bookmarkStart w:id="15" w:name="suspension-metrics-explained"/>
    <w:p>
      <w:pPr>
        <w:pStyle w:val="Heading3"/>
      </w:pPr>
      <w:r>
        <w:t xml:space="preserve">Suspension Metrics Explained</w:t>
      </w:r>
    </w:p>
    <w:p>
      <w:pPr>
        <w:pStyle w:val="FirstParagraph"/>
      </w:pPr>
      <w:r>
        <w:t xml:space="preserve">This analysis reports</w:t>
      </w:r>
      <w:r>
        <w:t xml:space="preserve"> </w:t>
      </w:r>
      <w:r>
        <w:rPr>
          <w:b/>
          <w:bCs/>
        </w:rPr>
        <w:t xml:space="preserve">two complementary suspension rate metrics</w:t>
      </w:r>
      <w:r>
        <w:t xml:space="preserve"> </w:t>
      </w:r>
      <w:r>
        <w:t xml:space="preserve">for transparency: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Events Rate</w:t>
      </w:r>
      <w:r>
        <w:t xml:space="preserve"> </w:t>
      </w:r>
      <w:r>
        <w:t xml:space="preserve">(Total Suspensions ÷ Enrollment)</w:t>
      </w:r>
    </w:p>
    <w:p>
      <w:pPr>
        <w:pStyle w:val="Compact"/>
        <w:numPr>
          <w:ilvl w:val="1"/>
          <w:numId w:val="1002"/>
        </w:numPr>
      </w:pPr>
      <w:r>
        <w:t xml:space="preserve">Counts all suspension incidents</w:t>
      </w:r>
    </w:p>
    <w:p>
      <w:pPr>
        <w:pStyle w:val="Compact"/>
        <w:numPr>
          <w:ilvl w:val="1"/>
          <w:numId w:val="1002"/>
        </w:numPr>
      </w:pPr>
      <w:r>
        <w:t xml:space="preserve">Can exceed 100% when students suspended multiple times</w:t>
      </w:r>
    </w:p>
    <w:p>
      <w:pPr>
        <w:pStyle w:val="Compact"/>
        <w:numPr>
          <w:ilvl w:val="1"/>
          <w:numId w:val="1002"/>
        </w:numPr>
      </w:pPr>
      <w:r>
        <w:t xml:space="preserve">Shows total disciplinary burden</w:t>
      </w:r>
    </w:p>
    <w:p>
      <w:pPr>
        <w:pStyle w:val="Compact"/>
        <w:numPr>
          <w:ilvl w:val="1"/>
          <w:numId w:val="1002"/>
        </w:numPr>
      </w:pPr>
      <w:r>
        <w:t xml:space="preserve">Used for identifying high-suspension schools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Students Rate</w:t>
      </w:r>
      <w:r>
        <w:t xml:space="preserve"> </w:t>
      </w:r>
      <w:r>
        <w:t xml:space="preserve">(Unduplicated Students Suspended ÷ Enrollment)</w:t>
      </w:r>
    </w:p>
    <w:p>
      <w:pPr>
        <w:pStyle w:val="Compact"/>
        <w:numPr>
          <w:ilvl w:val="1"/>
          <w:numId w:val="1003"/>
        </w:numPr>
      </w:pPr>
      <w:r>
        <w:t xml:space="preserve">Counts unique students who experienced suspension</w:t>
      </w:r>
    </w:p>
    <w:p>
      <w:pPr>
        <w:pStyle w:val="Compact"/>
        <w:numPr>
          <w:ilvl w:val="1"/>
          <w:numId w:val="1003"/>
        </w:numPr>
      </w:pPr>
      <w:r>
        <w:t xml:space="preserve">Always ≤ 100%</w:t>
      </w:r>
    </w:p>
    <w:p>
      <w:pPr>
        <w:pStyle w:val="Compact"/>
        <w:numPr>
          <w:ilvl w:val="1"/>
          <w:numId w:val="1003"/>
        </w:numPr>
      </w:pPr>
      <w:r>
        <w:t xml:space="preserve">Shows proportion of student body affected</w:t>
      </w:r>
    </w:p>
    <w:p>
      <w:pPr>
        <w:pStyle w:val="Compact"/>
        <w:numPr>
          <w:ilvl w:val="1"/>
          <w:numId w:val="1003"/>
        </w:numPr>
      </w:pPr>
      <w:r>
        <w:t xml:space="preserve">More comparable to other student outcomes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A school with 100 Black students where 30 students were suspended, with 10 suspended 3 times each:</w:t>
      </w:r>
      <w:r>
        <w:t xml:space="preserve"> </w:t>
      </w:r>
      <w:r>
        <w:t xml:space="preserve">- Events Rate: 50 suspensions ÷ 100 students =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- Students Rate: 30 unique students ÷ 100 students =</w:t>
      </w:r>
      <w:r>
        <w:t xml:space="preserve"> </w:t>
      </w:r>
      <w:r>
        <w:rPr>
          <w:b/>
          <w:bCs/>
        </w:rPr>
        <w:t xml:space="preserve">30%</w:t>
      </w:r>
      <w:r>
        <w:t xml:space="preserve"> </w:t>
      </w:r>
      <w:r>
        <w:t xml:space="preserve">- The 20-point gap reveals repeat suspensions drive the higher event rate</w:t>
      </w:r>
    </w:p>
    <w:bookmarkEnd w:id="15"/>
    <w:bookmarkStart w:id="16" w:name="data-scope"/>
    <w:p>
      <w:pPr>
        <w:pStyle w:val="Heading3"/>
      </w:pPr>
      <w:r>
        <w:t xml:space="preserve">Data Scope</w:t>
      </w:r>
    </w:p>
    <w:p>
      <w:pPr>
        <w:pStyle w:val="FirstParagraph"/>
      </w:pPr>
      <w:r>
        <w:rPr>
          <w:b/>
          <w:bCs/>
        </w:rPr>
        <w:t xml:space="preserve">Years Covered</w:t>
      </w:r>
      <w:r>
        <w:t xml:space="preserve">: 2017-18, 2018-19, 2019-20, 2021-22, 2022-23, 2023-24</w:t>
      </w:r>
      <w:r>
        <w:t xml:space="preserve"> </w:t>
      </w:r>
      <w:r>
        <w:t xml:space="preserve">- Note: 2020-21 excluded (COVID-19 disruption)</w:t>
      </w:r>
    </w:p>
    <w:p>
      <w:pPr>
        <w:pStyle w:val="BodyText"/>
      </w:pPr>
      <w:r>
        <w:rPr>
          <w:b/>
          <w:bCs/>
        </w:rPr>
        <w:t xml:space="preserve">Schools</w:t>
      </w:r>
      <w:r>
        <w:t xml:space="preserve">: 31,801 school-year observations</w:t>
      </w:r>
      <w:r>
        <w:t xml:space="preserve"> </w:t>
      </w:r>
      <w:r>
        <w:t xml:space="preserve">- Only schools with ≥10 Black students included</w:t>
      </w:r>
      <w:r>
        <w:t xml:space="preserve"> </w:t>
      </w:r>
      <w:r>
        <w:t xml:space="preserve">- Campus-level data only (excludes district aggregates)</w:t>
      </w:r>
      <w:r>
        <w:t xml:space="preserve"> </w:t>
      </w:r>
      <w:r>
        <w:t xml:space="preserve">- Special codes (0000000, 0000001) excluded</w:t>
      </w:r>
    </w:p>
    <w:p>
      <w:pPr>
        <w:pStyle w:val="BodyText"/>
      </w:pPr>
      <w:r>
        <w:rPr>
          <w:b/>
          <w:bCs/>
        </w:rPr>
        <w:t xml:space="preserve">Geographic Coverage</w:t>
      </w:r>
      <w:r>
        <w:t xml:space="preserve">: Statewide California public schools</w:t>
      </w:r>
    </w:p>
    <w:p>
      <w:pPr>
        <w:pStyle w:val="BodyText"/>
      </w:pPr>
      <w:r>
        <w:rPr>
          <w:b/>
          <w:bCs/>
        </w:rPr>
        <w:t xml:space="preserve">Student Focus</w:t>
      </w:r>
      <w:r>
        <w:t xml:space="preserve">: Black/African American students only</w:t>
      </w:r>
      <w:r>
        <w:t xml:space="preserve"> </w:t>
      </w:r>
      <w:r>
        <w:t xml:space="preserve">- 190,806 student-year-race records analyzed</w:t>
      </w:r>
      <w:r>
        <w:t xml:space="preserve"> </w:t>
      </w:r>
      <w:r>
        <w:t xml:space="preserve">- Approximately 1,956,870 cumulative Black student enrollment across all years</w:t>
      </w:r>
    </w:p>
    <w:bookmarkEnd w:id="16"/>
    <w:bookmarkStart w:id="17" w:name="teacher-demographics-available"/>
    <w:p>
      <w:pPr>
        <w:pStyle w:val="Heading3"/>
      </w:pPr>
      <w:r>
        <w:t xml:space="preserve">Teacher Demographics Available</w:t>
      </w:r>
    </w:p>
    <w:p>
      <w:pPr>
        <w:pStyle w:val="FirstParagraph"/>
      </w:pPr>
      <w:r>
        <w:t xml:space="preserve">Analysis includes comprehensive staff breakdowns:</w:t>
      </w:r>
    </w:p>
    <w:p>
      <w:pPr>
        <w:pStyle w:val="BodyText"/>
      </w:pPr>
      <w:r>
        <w:rPr>
          <w:b/>
          <w:bCs/>
        </w:rPr>
        <w:t xml:space="preserve">By Race/Ethnicity</w:t>
      </w:r>
      <w:r>
        <w:t xml:space="preserve">:</w:t>
      </w:r>
      <w:r>
        <w:t xml:space="preserve"> </w:t>
      </w:r>
      <w:r>
        <w:t xml:space="preserve">- African American</w:t>
      </w:r>
      <w:r>
        <w:t xml:space="preserve"> </w:t>
      </w:r>
      <w:r>
        <w:t xml:space="preserve">- White</w:t>
      </w:r>
      <w:r>
        <w:t xml:space="preserve"> </w:t>
      </w:r>
      <w:r>
        <w:t xml:space="preserve">- Hispanic/Latino</w:t>
      </w:r>
      <w:r>
        <w:t xml:space="preserve"> </w:t>
      </w:r>
      <w:r>
        <w:t xml:space="preserve">- Asian</w:t>
      </w:r>
      <w:r>
        <w:t xml:space="preserve"> </w:t>
      </w:r>
      <w:r>
        <w:t xml:space="preserve">- American Indian/Alaska Native</w:t>
      </w:r>
      <w:r>
        <w:t xml:space="preserve"> </w:t>
      </w:r>
      <w:r>
        <w:t xml:space="preserve">- Filipino</w:t>
      </w:r>
      <w:r>
        <w:t xml:space="preserve"> </w:t>
      </w:r>
      <w:r>
        <w:t xml:space="preserve">- Pacific Islander</w:t>
      </w:r>
      <w:r>
        <w:t xml:space="preserve"> </w:t>
      </w:r>
      <w:r>
        <w:t xml:space="preserve">- Two or More Races</w:t>
      </w:r>
      <w:r>
        <w:t xml:space="preserve"> </w:t>
      </w:r>
      <w:r>
        <w:t xml:space="preserve">- Not Reported</w:t>
      </w:r>
    </w:p>
    <w:p>
      <w:pPr>
        <w:pStyle w:val="BodyText"/>
      </w:pPr>
      <w:r>
        <w:rPr>
          <w:b/>
          <w:bCs/>
        </w:rPr>
        <w:t xml:space="preserve">By Staff Type</w:t>
      </w:r>
      <w:r>
        <w:t xml:space="preserve">:</w:t>
      </w:r>
      <w:r>
        <w:t xml:space="preserve"> </w:t>
      </w:r>
      <w:r>
        <w:t xml:space="preserve">- Teachers</w:t>
      </w:r>
      <w:r>
        <w:t xml:space="preserve"> </w:t>
      </w:r>
      <w:r>
        <w:t xml:space="preserve">- Administrators</w:t>
      </w:r>
      <w:r>
        <w:t xml:space="preserve"> </w:t>
      </w:r>
      <w:r>
        <w:t xml:space="preserve">- Pupil Services</w:t>
      </w:r>
      <w:r>
        <w:t xml:space="preserve"> </w:t>
      </w:r>
      <w:r>
        <w:t xml:space="preserve">- Other Staff</w:t>
      </w:r>
    </w:p>
    <w:p>
      <w:pPr>
        <w:pStyle w:val="BodyText"/>
      </w:pPr>
      <w:r>
        <w:rPr>
          <w:b/>
          <w:bCs/>
        </w:rPr>
        <w:t xml:space="preserve">Cross-tabulated</w:t>
      </w:r>
      <w:r>
        <w:t xml:space="preserve">: Race × Staff Type (e.g., African American teachers, White administrators)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implications-for-practice-and-policy"/>
    <w:p>
      <w:pPr>
        <w:pStyle w:val="Heading2"/>
      </w:pPr>
      <w:r>
        <w:t xml:space="preserve">Implications for Practice and Policy</w:t>
      </w:r>
    </w:p>
    <w:bookmarkStart w:id="19" w:name="intervention-priorities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Intervention Priorities</w:t>
      </w:r>
    </w:p>
    <w:p>
      <w:pPr>
        <w:pStyle w:val="FirstParagraph"/>
      </w:pPr>
      <w:r>
        <w:rPr>
          <w:b/>
          <w:bCs/>
        </w:rPr>
        <w:t xml:space="preserve">Immediate Concern</w:t>
      </w:r>
      <w:r>
        <w:t xml:space="preserve">: The 515 schools in the top 10% of suspension rates warrant immediate attention:</w:t>
      </w:r>
      <w:r>
        <w:t xml:space="preserve"> </w:t>
      </w:r>
      <w:r>
        <w:t xml:space="preserve">- Combined enrollment: ~260,000 Black students</w:t>
      </w:r>
      <w:r>
        <w:t xml:space="preserve"> </w:t>
      </w:r>
      <w:r>
        <w:t xml:space="preserve">- Many experiencing suspension rates exceeding 40-60%</w:t>
      </w:r>
      <w:r>
        <w:t xml:space="preserve"> </w:t>
      </w:r>
      <w:r>
        <w:t xml:space="preserve">- Clear need for alternative disciplinary approaches</w:t>
      </w:r>
    </w:p>
    <w:p>
      <w:pPr>
        <w:pStyle w:val="BodyText"/>
      </w:pPr>
      <w:r>
        <w:rPr>
          <w:b/>
          <w:bCs/>
        </w:rPr>
        <w:t xml:space="preserve">Targeted Support</w:t>
      </w:r>
      <w:r>
        <w:t xml:space="preserve">: Schools in Q4 with high suspension rates face compounded challenges:</w:t>
      </w:r>
      <w:r>
        <w:t xml:space="preserve"> </w:t>
      </w:r>
      <w:r>
        <w:t xml:space="preserve">- Serve majority-Black student populations</w:t>
      </w:r>
      <w:r>
        <w:t xml:space="preserve"> </w:t>
      </w:r>
      <w:r>
        <w:t xml:space="preserve">- Show highest repeat suspension patterns</w:t>
      </w:r>
      <w:r>
        <w:t xml:space="preserve"> </w:t>
      </w:r>
      <w:r>
        <w:t xml:space="preserve">- May lack resources for alternative interventions</w:t>
      </w:r>
    </w:p>
    <w:bookmarkEnd w:id="19"/>
    <w:bookmarkStart w:id="20" w:name="staffing-and-cultural-competency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Staffing and Cultural Competency</w:t>
      </w:r>
    </w:p>
    <w:p>
      <w:pPr>
        <w:pStyle w:val="FirstParagraph"/>
      </w:pPr>
      <w:r>
        <w:rPr>
          <w:b/>
          <w:bCs/>
        </w:rPr>
        <w:t xml:space="preserve">Teacher-Student Demographic Mismatch</w:t>
      </w:r>
      <w:r>
        <w:t xml:space="preserve">:</w:t>
      </w:r>
      <w:r>
        <w:t xml:space="preserve"> </w:t>
      </w:r>
      <w:r>
        <w:t xml:space="preserve">- Even Q4 schools (highest Black enrollment) have &lt;15% African American staff in high-suspension schools</w:t>
      </w:r>
      <w:r>
        <w:t xml:space="preserve"> </w:t>
      </w:r>
      <w:r>
        <w:t xml:space="preserve">- Research suggests teacher-student racial match correlates with better outcomes</w:t>
      </w:r>
      <w:r>
        <w:t xml:space="preserve"> </w:t>
      </w:r>
      <w:r>
        <w:t xml:space="preserve">- May indicate need for:</w:t>
      </w:r>
      <w:r>
        <w:t xml:space="preserve"> </w:t>
      </w:r>
      <w:r>
        <w:t xml:space="preserve">- Targeted recruitment of teachers of color</w:t>
      </w:r>
      <w:r>
        <w:t xml:space="preserve"> </w:t>
      </w:r>
      <w:r>
        <w:t xml:space="preserve">- Enhanced cultural competency training</w:t>
      </w:r>
      <w:r>
        <w:t xml:space="preserve"> </w:t>
      </w:r>
      <w:r>
        <w:t xml:space="preserve">- Review of implicit bias in disciplinary decisions</w:t>
      </w:r>
    </w:p>
    <w:p>
      <w:pPr>
        <w:pStyle w:val="BodyText"/>
      </w:pPr>
      <w:r>
        <w:rPr>
          <w:b/>
          <w:bCs/>
        </w:rPr>
        <w:t xml:space="preserve">Administrator Demographics</w:t>
      </w:r>
      <w:r>
        <w:t xml:space="preserve">:</w:t>
      </w:r>
      <w:r>
        <w:t xml:space="preserve"> </w:t>
      </w:r>
      <w:r>
        <w:t xml:space="preserve">- Similar patterns in administrative staff</w:t>
      </w:r>
      <w:r>
        <w:t xml:space="preserve"> </w:t>
      </w:r>
      <w:r>
        <w:t xml:space="preserve">- Leadership demographics may influence school disciplinary culture</w:t>
      </w:r>
    </w:p>
    <w:bookmarkEnd w:id="20"/>
    <w:bookmarkStart w:id="21" w:name="restorative-practices-need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Restorative Practices Need</w:t>
      </w:r>
    </w:p>
    <w:p>
      <w:pPr>
        <w:pStyle w:val="FirstParagraph"/>
      </w:pPr>
      <w:r>
        <w:rPr>
          <w:b/>
          <w:bCs/>
        </w:rPr>
        <w:t xml:space="preserve">Repeat Suspension Pattern Indicates</w:t>
      </w:r>
      <w:r>
        <w:t xml:space="preserve">:</w:t>
      </w:r>
      <w:r>
        <w:t xml:space="preserve"> </w:t>
      </w:r>
      <w:r>
        <w:t xml:space="preserve">- Current interventions not preventing repeat offenses</w:t>
      </w:r>
      <w:r>
        <w:t xml:space="preserve"> </w:t>
      </w:r>
      <w:r>
        <w:t xml:space="preserve">- Students cycling through suspensions without behavioral change</w:t>
      </w:r>
      <w:r>
        <w:t xml:space="preserve"> </w:t>
      </w:r>
      <w:r>
        <w:t xml:space="preserve">- Potential benefits from:</w:t>
      </w:r>
      <w:r>
        <w:t xml:space="preserve"> </w:t>
      </w:r>
      <w:r>
        <w:t xml:space="preserve">- Restorative justice programs</w:t>
      </w:r>
      <w:r>
        <w:t xml:space="preserve"> </w:t>
      </w:r>
      <w:r>
        <w:t xml:space="preserve">- Social-emotional learning supports</w:t>
      </w:r>
      <w:r>
        <w:t xml:space="preserve"> </w:t>
      </w:r>
      <w:r>
        <w:t xml:space="preserve">- Counseling and mental health services</w:t>
      </w:r>
      <w:r>
        <w:t xml:space="preserve"> </w:t>
      </w:r>
      <w:r>
        <w:t xml:space="preserve">- Tiered intervention systems (PBIS)</w:t>
      </w:r>
    </w:p>
    <w:bookmarkEnd w:id="21"/>
    <w:bookmarkStart w:id="22" w:name="equity-audit-recommendations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Equity Audit Recommendations</w:t>
      </w:r>
    </w:p>
    <w:p>
      <w:pPr>
        <w:pStyle w:val="FirstParagraph"/>
      </w:pPr>
      <w:r>
        <w:t xml:space="preserve">Schools should examine:</w:t>
      </w:r>
      <w:r>
        <w:t xml:space="preserve"> </w:t>
      </w:r>
      <w:r>
        <w:t xml:space="preserve">- Who is making referral decisions and for what infractions</w:t>
      </w:r>
      <w:r>
        <w:t xml:space="preserve"> </w:t>
      </w:r>
      <w:r>
        <w:t xml:space="preserve">- Whether subjective infractions (e.g.,</w:t>
      </w:r>
      <w:r>
        <w:t xml:space="preserve"> </w:t>
      </w:r>
      <w:r>
        <w:t xml:space="preserve">“willful defiance”</w:t>
      </w:r>
      <w:r>
        <w:t xml:space="preserve">) drive disparities</w:t>
      </w:r>
      <w:r>
        <w:t xml:space="preserve"> </w:t>
      </w:r>
      <w:r>
        <w:t xml:space="preserve">- Alternative consequences available before suspension</w:t>
      </w:r>
      <w:r>
        <w:t xml:space="preserve"> </w:t>
      </w:r>
      <w:r>
        <w:t xml:space="preserve">- Support systems for students returning from suspension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limitations-and-caveats"/>
    <w:p>
      <w:pPr>
        <w:pStyle w:val="Heading2"/>
      </w:pPr>
      <w:r>
        <w:t xml:space="preserve">Limitations and Caveats</w:t>
      </w:r>
    </w:p>
    <w:bookmarkStart w:id="24" w:name="correlational-not-causal"/>
    <w:p>
      <w:pPr>
        <w:pStyle w:val="Heading3"/>
      </w:pPr>
      <w:r>
        <w:rPr>
          <w:b/>
          <w:bCs/>
        </w:rPr>
        <w:t xml:space="preserve">Correlational, Not Causal</w:t>
      </w:r>
    </w:p>
    <w:p>
      <w:pPr>
        <w:pStyle w:val="FirstParagraph"/>
      </w:pPr>
      <w:r>
        <w:t xml:space="preserve">This analysis documents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between teacher demographics, school composition, and suspension rates. It does NOT establish causation. Many confounding factors influence outcomes:</w:t>
      </w:r>
    </w:p>
    <w:p>
      <w:pPr>
        <w:pStyle w:val="Compact"/>
        <w:numPr>
          <w:ilvl w:val="0"/>
          <w:numId w:val="1004"/>
        </w:numPr>
      </w:pPr>
      <w:r>
        <w:t xml:space="preserve">School funding levels</w:t>
      </w:r>
    </w:p>
    <w:p>
      <w:pPr>
        <w:pStyle w:val="Compact"/>
        <w:numPr>
          <w:ilvl w:val="0"/>
          <w:numId w:val="1004"/>
        </w:numPr>
      </w:pPr>
      <w:r>
        <w:t xml:space="preserve">Community socioeconomic context</w:t>
      </w:r>
    </w:p>
    <w:p>
      <w:pPr>
        <w:pStyle w:val="Compact"/>
        <w:numPr>
          <w:ilvl w:val="0"/>
          <w:numId w:val="1004"/>
        </w:numPr>
      </w:pPr>
      <w:r>
        <w:t xml:space="preserve">School leadership quality and policies</w:t>
      </w:r>
    </w:p>
    <w:p>
      <w:pPr>
        <w:pStyle w:val="Compact"/>
        <w:numPr>
          <w:ilvl w:val="0"/>
          <w:numId w:val="1004"/>
        </w:numPr>
      </w:pPr>
      <w:r>
        <w:t xml:space="preserve">Availability of counseling/support services</w:t>
      </w:r>
    </w:p>
    <w:p>
      <w:pPr>
        <w:pStyle w:val="Compact"/>
        <w:numPr>
          <w:ilvl w:val="0"/>
          <w:numId w:val="1004"/>
        </w:numPr>
      </w:pPr>
      <w:r>
        <w:t xml:space="preserve">Local law enforcement relationships</w:t>
      </w:r>
    </w:p>
    <w:p>
      <w:pPr>
        <w:pStyle w:val="Compact"/>
        <w:numPr>
          <w:ilvl w:val="0"/>
          <w:numId w:val="1004"/>
        </w:numPr>
      </w:pPr>
      <w:r>
        <w:t xml:space="preserve">Historical neighborhood factors</w:t>
      </w:r>
    </w:p>
    <w:p>
      <w:pPr>
        <w:pStyle w:val="Compact"/>
        <w:numPr>
          <w:ilvl w:val="0"/>
          <w:numId w:val="1004"/>
        </w:numPr>
      </w:pPr>
      <w:r>
        <w:t xml:space="preserve">State and district policy environments</w:t>
      </w:r>
    </w:p>
    <w:bookmarkEnd w:id="24"/>
    <w:bookmarkStart w:id="25" w:name="aggregation-masks-variation"/>
    <w:p>
      <w:pPr>
        <w:pStyle w:val="Heading3"/>
      </w:pPr>
      <w:r>
        <w:rPr>
          <w:b/>
          <w:bCs/>
        </w:rPr>
        <w:t xml:space="preserve">Aggregation Masks Variation</w:t>
      </w:r>
    </w:p>
    <w:p>
      <w:pPr>
        <w:pStyle w:val="Compact"/>
        <w:numPr>
          <w:ilvl w:val="0"/>
          <w:numId w:val="1005"/>
        </w:numPr>
      </w:pPr>
      <w:r>
        <w:t xml:space="preserve">School-level and quartile-level data hide within-school variation</w:t>
      </w:r>
    </w:p>
    <w:p>
      <w:pPr>
        <w:pStyle w:val="Compact"/>
        <w:numPr>
          <w:ilvl w:val="0"/>
          <w:numId w:val="1005"/>
        </w:numPr>
      </w:pPr>
      <w:r>
        <w:t xml:space="preserve">Not all teachers or administrators at a school contribute equally to disciplinary decisions</w:t>
      </w:r>
    </w:p>
    <w:p>
      <w:pPr>
        <w:pStyle w:val="Compact"/>
        <w:numPr>
          <w:ilvl w:val="0"/>
          <w:numId w:val="1005"/>
        </w:numPr>
      </w:pPr>
      <w:r>
        <w:t xml:space="preserve">Individual teacher-student interactions not captured</w:t>
      </w:r>
    </w:p>
    <w:p>
      <w:pPr>
        <w:pStyle w:val="Compact"/>
        <w:numPr>
          <w:ilvl w:val="0"/>
          <w:numId w:val="1005"/>
        </w:numPr>
      </w:pPr>
      <w:r>
        <w:t xml:space="preserve">Some schools in each quartile perform much better/worse than averages</w:t>
      </w:r>
    </w:p>
    <w:bookmarkEnd w:id="25"/>
    <w:bookmarkStart w:id="26" w:name="data-quality-considerations"/>
    <w:p>
      <w:pPr>
        <w:pStyle w:val="Heading3"/>
      </w:pPr>
      <w:r>
        <w:rPr>
          <w:b/>
          <w:bCs/>
        </w:rPr>
        <w:t xml:space="preserve">Data Quality Considerations</w:t>
      </w:r>
    </w:p>
    <w:p>
      <w:pPr>
        <w:pStyle w:val="Compact"/>
        <w:numPr>
          <w:ilvl w:val="0"/>
          <w:numId w:val="1006"/>
        </w:numPr>
      </w:pPr>
      <w:r>
        <w:t xml:space="preserve">Teacher demographic data coverage: ~100% for included schools</w:t>
      </w:r>
    </w:p>
    <w:p>
      <w:pPr>
        <w:pStyle w:val="Compact"/>
        <w:numPr>
          <w:ilvl w:val="0"/>
          <w:numId w:val="1006"/>
        </w:numPr>
      </w:pPr>
      <w:r>
        <w:t xml:space="preserve">Some schools excluded due to missing teacher data</w:t>
      </w:r>
    </w:p>
    <w:p>
      <w:pPr>
        <w:pStyle w:val="Compact"/>
        <w:numPr>
          <w:ilvl w:val="0"/>
          <w:numId w:val="1006"/>
        </w:numPr>
      </w:pPr>
      <w:r>
        <w:t xml:space="preserve">Suspension data self-reported by districts to CDE</w:t>
      </w:r>
    </w:p>
    <w:p>
      <w:pPr>
        <w:pStyle w:val="Compact"/>
        <w:numPr>
          <w:ilvl w:val="0"/>
          <w:numId w:val="1006"/>
        </w:numPr>
      </w:pPr>
      <w:r>
        <w:t xml:space="preserve">Unduplicated counts rely on student ID matching</w:t>
      </w:r>
    </w:p>
    <w:p>
      <w:pPr>
        <w:pStyle w:val="Compact"/>
        <w:numPr>
          <w:ilvl w:val="0"/>
          <w:numId w:val="1006"/>
        </w:numPr>
      </w:pPr>
      <w:r>
        <w:t xml:space="preserve">Small schools (&lt; 10 Black students) excluded from analysis</w:t>
      </w:r>
    </w:p>
    <w:bookmarkEnd w:id="26"/>
    <w:bookmarkStart w:id="27" w:name="scope-limitations"/>
    <w:p>
      <w:pPr>
        <w:pStyle w:val="Heading3"/>
      </w:pPr>
      <w:r>
        <w:rPr>
          <w:b/>
          <w:bCs/>
        </w:rPr>
        <w:t xml:space="preserve">Scope Limitations</w:t>
      </w:r>
    </w:p>
    <w:p>
      <w:pPr>
        <w:pStyle w:val="Compact"/>
        <w:numPr>
          <w:ilvl w:val="0"/>
          <w:numId w:val="1007"/>
        </w:numPr>
      </w:pPr>
      <w:r>
        <w:t xml:space="preserve">Analysis focuses only on Black students; patterns may differ for other groups</w:t>
      </w:r>
    </w:p>
    <w:p>
      <w:pPr>
        <w:pStyle w:val="Compact"/>
        <w:numPr>
          <w:ilvl w:val="0"/>
          <w:numId w:val="1007"/>
        </w:numPr>
      </w:pPr>
      <w:r>
        <w:t xml:space="preserve">Does not examine suspension reasons, lengths, or specific infractions</w:t>
      </w:r>
    </w:p>
    <w:p>
      <w:pPr>
        <w:pStyle w:val="Compact"/>
        <w:numPr>
          <w:ilvl w:val="0"/>
          <w:numId w:val="1007"/>
        </w:numPr>
      </w:pPr>
      <w:r>
        <w:t xml:space="preserve">Cannot determine if suspensions were in-school vs. out-of-school</w:t>
      </w:r>
    </w:p>
    <w:p>
      <w:pPr>
        <w:pStyle w:val="Compact"/>
        <w:numPr>
          <w:ilvl w:val="0"/>
          <w:numId w:val="1007"/>
        </w:numPr>
      </w:pPr>
      <w:r>
        <w:t xml:space="preserve">Does not track student outcomes post-suspension (academic impacts, graduation)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recommendations-for-further-analysis"/>
    <w:p>
      <w:pPr>
        <w:pStyle w:val="Heading2"/>
      </w:pPr>
      <w:r>
        <w:t xml:space="preserve">Recommendations for Further Analysis</w:t>
      </w:r>
    </w:p>
    <w:bookmarkStart w:id="29" w:name="deep-dive-studies"/>
    <w:p>
      <w:pPr>
        <w:pStyle w:val="Heading3"/>
      </w:pPr>
      <w:r>
        <w:rPr>
          <w:b/>
          <w:bCs/>
        </w:rPr>
        <w:t xml:space="preserve">Deep-Dive Studies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suspension reasons</w:t>
      </w:r>
      <w:r>
        <w:t xml:space="preserve"> </w:t>
      </w:r>
      <w:r>
        <w:t xml:space="preserve">by quartile and teacher demographics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Analyze in-school vs out-of-school</w:t>
      </w:r>
      <w:r>
        <w:t xml:space="preserve"> </w:t>
      </w:r>
      <w:r>
        <w:t xml:space="preserve">suspension 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Track student outcomes</w:t>
      </w:r>
      <w:r>
        <w:t xml:space="preserve"> </w:t>
      </w:r>
      <w:r>
        <w:t xml:space="preserve">after suspension (grades, attendance, graduation)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Compare policies</w:t>
      </w:r>
      <w:r>
        <w:t xml:space="preserve"> </w:t>
      </w:r>
      <w:r>
        <w:t xml:space="preserve">between high and low suspension schools in same quartile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Investigate administrator</w:t>
      </w:r>
      <w:r>
        <w:t xml:space="preserve"> </w:t>
      </w:r>
      <w:r>
        <w:t xml:space="preserve">vs teacher demographics separately</w:t>
      </w:r>
    </w:p>
    <w:bookmarkEnd w:id="29"/>
    <w:bookmarkStart w:id="30" w:name="comparative-analyses"/>
    <w:p>
      <w:pPr>
        <w:pStyle w:val="Heading3"/>
      </w:pPr>
      <w:r>
        <w:rPr>
          <w:b/>
          <w:bCs/>
        </w:rPr>
        <w:t xml:space="preserve">Comparative Analyses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Compare with other racial/ethnic groups</w:t>
      </w:r>
      <w:r>
        <w:t xml:space="preserve">: Do similar patterns exist for Hispanic, Asian, White students?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Longitudinal student tracking</w:t>
      </w:r>
      <w:r>
        <w:t xml:space="preserve">: Do early suspensions predict future suspensions?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School-level changes</w:t>
      </w:r>
      <w:r>
        <w:t xml:space="preserve">: Have schools reduced rates over time? What worked?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District-level patterns</w:t>
      </w:r>
      <w:r>
        <w:t xml:space="preserve">: Do some districts perform better across quartiles?</w:t>
      </w:r>
    </w:p>
    <w:bookmarkEnd w:id="30"/>
    <w:bookmarkStart w:id="31" w:name="qualitative-research"/>
    <w:p>
      <w:pPr>
        <w:pStyle w:val="Heading3"/>
      </w:pPr>
      <w:r>
        <w:rPr>
          <w:b/>
          <w:bCs/>
        </w:rPr>
        <w:t xml:space="preserve">Qualitative Research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Case studies</w:t>
      </w:r>
      <w:r>
        <w:t xml:space="preserve"> </w:t>
      </w:r>
      <w:r>
        <w:t xml:space="preserve">of Q4 schools with LOW suspension rates (positive deviants)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Interviews</w:t>
      </w:r>
      <w:r>
        <w:t xml:space="preserve"> </w:t>
      </w:r>
      <w:r>
        <w:t xml:space="preserve">with teachers, administrators, students in high-suspension schools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Policy analysis</w:t>
      </w:r>
      <w:r>
        <w:t xml:space="preserve"> </w:t>
      </w:r>
      <w:r>
        <w:t xml:space="preserve">of disciplinary codes and alternative intervention availability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Resource assessment</w:t>
      </w:r>
      <w:r>
        <w:t xml:space="preserve">: Correlation between funding/staffing and suspension rates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data-outputs-available"/>
    <w:p>
      <w:pPr>
        <w:pStyle w:val="Heading2"/>
      </w:pPr>
      <w:r>
        <w:t xml:space="preserve">Data Outputs Available</w:t>
      </w:r>
    </w:p>
    <w:bookmarkStart w:id="33" w:name="tables-csv-format"/>
    <w:p>
      <w:pPr>
        <w:pStyle w:val="Heading3"/>
      </w:pPr>
      <w:r>
        <w:rPr>
          <w:b/>
          <w:bCs/>
        </w:rPr>
        <w:t xml:space="preserve">Tables</w:t>
      </w:r>
      <w:r>
        <w:t xml:space="preserve"> </w:t>
      </w:r>
      <w:r>
        <w:t xml:space="preserve">(CSV format)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22_black_suspension_by_quartile_year_teacher.csv</w:t>
      </w:r>
      <w:r>
        <w:t xml:space="preserve"> </w:t>
      </w:r>
      <w:r>
        <w:t xml:space="preserve">- Trends by quartile and year with teacher demographics (24 quartile-year combinations)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22_high_suspension_schools_teacher_demographics.csv</w:t>
      </w:r>
      <w:r>
        <w:t xml:space="preserve"> </w:t>
      </w:r>
      <w:r>
        <w:t xml:space="preserve">- Aggregated data for top 10% schools by quartile-year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22_high_suspension_schools_detailed.csv</w:t>
      </w:r>
      <w:r>
        <w:t xml:space="preserve"> </w:t>
      </w:r>
      <w:r>
        <w:t xml:space="preserve">- Individual school-level detail for all 3,176 high-suspension school-year observations</w:t>
      </w:r>
    </w:p>
    <w:bookmarkEnd w:id="33"/>
    <w:bookmarkStart w:id="34" w:name="excel-workbook"/>
    <w:p>
      <w:pPr>
        <w:pStyle w:val="Heading3"/>
      </w:pPr>
      <w:r>
        <w:rPr>
          <w:b/>
          <w:bCs/>
        </w:rPr>
        <w:t xml:space="preserve">Excel Workbook</w:t>
      </w:r>
    </w:p>
    <w:p>
      <w:pPr>
        <w:pStyle w:val="FirstParagraph"/>
      </w:pPr>
      <w:r>
        <w:rPr>
          <w:rStyle w:val="VerbatimChar"/>
        </w:rPr>
        <w:t xml:space="preserve">22_black_suspension_teacher_analysis.xlsx</w:t>
      </w:r>
      <w:r>
        <w:t xml:space="preserve"> </w:t>
      </w:r>
      <w:r>
        <w:t xml:space="preserve">- All three tables in separate sheets for easy exploration</w:t>
      </w:r>
    </w:p>
    <w:bookmarkEnd w:id="34"/>
    <w:bookmarkStart w:id="35" w:name="visualizations-png-300-dpi"/>
    <w:p>
      <w:pPr>
        <w:pStyle w:val="Heading3"/>
      </w:pPr>
      <w:r>
        <w:rPr>
          <w:b/>
          <w:bCs/>
        </w:rPr>
        <w:t xml:space="preserve">Visualizations</w:t>
      </w:r>
      <w:r>
        <w:t xml:space="preserve"> </w:t>
      </w:r>
      <w:r>
        <w:t xml:space="preserve">(PNG, 300 DPI)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22_black_suspension_rates_by_quartile.png</w:t>
      </w:r>
      <w:r>
        <w:t xml:space="preserve"> </w:t>
      </w:r>
      <w:r>
        <w:t xml:space="preserve">- Line graph showing suspension rate trends 2017-24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22_teacher_demographics_comparison.png</w:t>
      </w:r>
      <w:r>
        <w:t xml:space="preserve"> </w:t>
      </w:r>
      <w:r>
        <w:t xml:space="preserve">- Bar charts comparing all schools vs high-suspension schools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22_admin_teacher_demographics_high_suspension.png</w:t>
      </w:r>
      <w:r>
        <w:t xml:space="preserve"> </w:t>
      </w:r>
      <w:r>
        <w:t xml:space="preserve">- Administrator vs teacher demographics in high-suspension schools</w:t>
      </w:r>
    </w:p>
    <w:p>
      <w:pPr>
        <w:pStyle w:val="FirstParagraph"/>
      </w:pPr>
      <w:r>
        <w:t xml:space="preserve">All files located in:</w:t>
      </w:r>
      <w:r>
        <w:t xml:space="preserve"> </w:t>
      </w:r>
      <w:r>
        <w:rPr>
          <w:rStyle w:val="VerbatimChar"/>
        </w:rPr>
        <w:t xml:space="preserve">outputs/tables/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outputs/graphs/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methodological-notes"/>
    <w:p>
      <w:pPr>
        <w:pStyle w:val="Heading2"/>
      </w:pPr>
      <w:r>
        <w:t xml:space="preserve">Methodological Notes</w:t>
      </w:r>
    </w:p>
    <w:bookmarkStart w:id="37" w:name="weighted-aggregation-approach"/>
    <w:p>
      <w:pPr>
        <w:pStyle w:val="Heading3"/>
      </w:pPr>
      <w:r>
        <w:rPr>
          <w:b/>
          <w:bCs/>
        </w:rPr>
        <w:t xml:space="preserve">Weighted Aggregation Approach</w:t>
      </w:r>
    </w:p>
    <w:p>
      <w:pPr>
        <w:pStyle w:val="FirstParagraph"/>
      </w:pPr>
      <w:r>
        <w:t xml:space="preserve">All quartile-level rates use</w:t>
      </w:r>
      <w:r>
        <w:t xml:space="preserve"> </w:t>
      </w:r>
      <w:r>
        <w:rPr>
          <w:b/>
          <w:bCs/>
        </w:rPr>
        <w:t xml:space="preserve">weighted averages</w:t>
      </w:r>
      <w:r>
        <w:t xml:space="preserve">:</w:t>
      </w:r>
      <w:r>
        <w:t xml:space="preserve"> </w:t>
      </w:r>
      <w:r>
        <w:t xml:space="preserve">- Formula: Sum of all suspensions ÷ Sum of all enrollment</w:t>
      </w:r>
      <w:r>
        <w:t xml:space="preserve"> </w:t>
      </w:r>
      <w:r>
        <w:t xml:space="preserve">- NOT: Average of school-level rates</w:t>
      </w:r>
      <w:r>
        <w:t xml:space="preserve"> </w:t>
      </w:r>
      <w:r>
        <w:t xml:space="preserve">- Ensures larger schools appropriately influence quartile estimates</w:t>
      </w:r>
      <w:r>
        <w:t xml:space="preserve"> </w:t>
      </w:r>
      <w:r>
        <w:t xml:space="preserve">- Prevents small schools from distorting patterns</w:t>
      </w:r>
    </w:p>
    <w:bookmarkEnd w:id="37"/>
    <w:bookmarkStart w:id="38" w:name="high-suspension-school-identification"/>
    <w:p>
      <w:pPr>
        <w:pStyle w:val="Heading3"/>
      </w:pPr>
      <w:r>
        <w:rPr>
          <w:b/>
          <w:bCs/>
        </w:rPr>
        <w:t xml:space="preserve">High-Suspension School Identification</w:t>
      </w:r>
    </w:p>
    <w:p>
      <w:pPr>
        <w:pStyle w:val="FirstParagraph"/>
      </w:pPr>
      <w:r>
        <w:t xml:space="preserve">Schools identified as</w:t>
      </w:r>
      <w:r>
        <w:t xml:space="preserve"> </w:t>
      </w:r>
      <w:r>
        <w:t xml:space="preserve">“high suspension”</w:t>
      </w:r>
      <w:r>
        <w:t xml:space="preserve"> </w:t>
      </w:r>
      <w:r>
        <w:t xml:space="preserve">if they fall in the</w:t>
      </w:r>
      <w:r>
        <w:t xml:space="preserve"> </w:t>
      </w:r>
      <w:r>
        <w:rPr>
          <w:b/>
          <w:bCs/>
        </w:rPr>
        <w:t xml:space="preserve">top 10% (90th percentile)</w:t>
      </w:r>
      <w:r>
        <w:t xml:space="preserve"> </w:t>
      </w:r>
      <w:r>
        <w:t xml:space="preserve">of Black suspension event rates</w:t>
      </w:r>
      <w:r>
        <w:t xml:space="preserve"> </w:t>
      </w:r>
      <w:r>
        <w:rPr>
          <w:b/>
          <w:bCs/>
        </w:rPr>
        <w:t xml:space="preserve">within their quartile</w:t>
      </w:r>
      <w:r>
        <w:t xml:space="preserve">:</w:t>
      </w:r>
      <w:r>
        <w:t xml:space="preserve"> </w:t>
      </w:r>
      <w:r>
        <w:t xml:space="preserve">- Ensures comparison among schools with similar racial composition</w:t>
      </w:r>
      <w:r>
        <w:t xml:space="preserve"> </w:t>
      </w:r>
      <w:r>
        <w:t xml:space="preserve">- A Q1 school at 30% might be</w:t>
      </w:r>
      <w:r>
        <w:t xml:space="preserve"> </w:t>
      </w:r>
      <w:r>
        <w:t xml:space="preserve">“high”</w:t>
      </w:r>
      <w:r>
        <w:t xml:space="preserve"> </w:t>
      </w:r>
      <w:r>
        <w:t xml:space="preserve">for Q1, while Q4 schools need &gt;50% to qualify</w:t>
      </w:r>
      <w:r>
        <w:t xml:space="preserve"> </w:t>
      </w:r>
      <w:r>
        <w:t xml:space="preserve">- Allows quartile-specific context</w:t>
      </w:r>
    </w:p>
    <w:bookmarkEnd w:id="38"/>
    <w:bookmarkStart w:id="39" w:name="teacher-demographics-aggregation"/>
    <w:p>
      <w:pPr>
        <w:pStyle w:val="Heading3"/>
      </w:pPr>
      <w:r>
        <w:rPr>
          <w:b/>
          <w:bCs/>
        </w:rPr>
        <w:t xml:space="preserve">Teacher Demographics Aggregation</w:t>
      </w:r>
    </w:p>
    <w:p>
      <w:pPr>
        <w:pStyle w:val="FirstParagraph"/>
      </w:pPr>
      <w:r>
        <w:t xml:space="preserve">Teacher data aggregated by:</w:t>
      </w:r>
      <w:r>
        <w:t xml:space="preserve"> </w:t>
      </w:r>
      <w:r>
        <w:t xml:space="preserve">- Summing staff counts within quartile-year groups</w:t>
      </w:r>
      <w:r>
        <w:t xml:space="preserve"> </w:t>
      </w:r>
      <w:r>
        <w:t xml:space="preserve">- Calculating percentages from aggregated totals (not averaging percentages)</w:t>
      </w:r>
      <w:r>
        <w:t xml:space="preserve"> </w:t>
      </w:r>
      <w:r>
        <w:t xml:space="preserve">- Consistent with weighted approach</w:t>
      </w:r>
    </w:p>
    <w:bookmarkEnd w:id="39"/>
    <w:bookmarkStart w:id="40" w:name="minimum-thresholds"/>
    <w:p>
      <w:pPr>
        <w:pStyle w:val="Heading3"/>
      </w:pPr>
      <w:r>
        <w:rPr>
          <w:b/>
          <w:bCs/>
        </w:rPr>
        <w:t xml:space="preserve">Minimum Thresholds</w:t>
      </w:r>
    </w:p>
    <w:p>
      <w:pPr>
        <w:pStyle w:val="Compact"/>
        <w:numPr>
          <w:ilvl w:val="0"/>
          <w:numId w:val="1013"/>
        </w:numPr>
      </w:pPr>
      <w:r>
        <w:t xml:space="preserve">Schools must have ≥10 Black students for inclusion</w:t>
      </w:r>
    </w:p>
    <w:p>
      <w:pPr>
        <w:pStyle w:val="Compact"/>
        <w:numPr>
          <w:ilvl w:val="0"/>
          <w:numId w:val="1013"/>
        </w:numPr>
      </w:pPr>
      <w:r>
        <w:t xml:space="preserve">Ensures rate stability</w:t>
      </w:r>
    </w:p>
    <w:p>
      <w:pPr>
        <w:pStyle w:val="Compact"/>
        <w:numPr>
          <w:ilvl w:val="0"/>
          <w:numId w:val="1013"/>
        </w:numPr>
      </w:pPr>
      <w:r>
        <w:t xml:space="preserve">Small-enrollment schools excluded to prevent outlier influence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itation"/>
    <w:p>
      <w:pPr>
        <w:pStyle w:val="Heading2"/>
      </w:pPr>
      <w:r>
        <w:t xml:space="preserve">Citation</w:t>
      </w:r>
    </w:p>
    <w:p>
      <w:pPr>
        <w:pStyle w:val="FirstParagraph"/>
      </w:pPr>
      <w:r>
        <w:rPr>
          <w:b/>
          <w:bCs/>
        </w:rPr>
        <w:t xml:space="preserve">Suggested Citation</w:t>
      </w:r>
      <w:r>
        <w:t xml:space="preserve">:</w:t>
      </w:r>
      <w:r>
        <w:t xml:space="preserve"> </w:t>
      </w:r>
      <w:r>
        <w:t xml:space="preserve">&gt; REACH Suspensions Analysis (2025).</w:t>
      </w:r>
      <w:r>
        <w:t xml:space="preserve"> </w:t>
      </w:r>
      <w:r>
        <w:t xml:space="preserve">“Black Student Suspension Rates by School Racial Composition and Teacher Demographics: Analysis of California Public Schools, 2017-24.”</w:t>
      </w:r>
      <w:r>
        <w:t xml:space="preserve"> </w:t>
      </w:r>
      <w:r>
        <w:t xml:space="preserve">UCLA Center for the Transformation of Schools.</w:t>
      </w:r>
    </w:p>
    <w:p>
      <w:pPr>
        <w:pStyle w:val="BodyText"/>
      </w:pPr>
      <w:r>
        <w:rPr>
          <w:b/>
          <w:bCs/>
        </w:rPr>
        <w:t xml:space="preserve">Data Source</w:t>
      </w:r>
      <w:r>
        <w:t xml:space="preserve">:</w:t>
      </w:r>
      <w:r>
        <w:t xml:space="preserve"> </w:t>
      </w:r>
      <w:r>
        <w:t xml:space="preserve">&gt; California Department of Education.</w:t>
      </w:r>
      <w:r>
        <w:t xml:space="preserve"> </w:t>
      </w:r>
      <w:r>
        <w:t xml:space="preserve">“Student Suspension Data Files, 2017-18 through 2023-24.”</w:t>
      </w:r>
      <w:r>
        <w:t xml:space="preserve"> </w:t>
      </w:r>
      <w:r>
        <w:t xml:space="preserve">Retrieved from https://www.cde.ca.gov/ds/sd/sd/</w:t>
      </w:r>
    </w:p>
    <w:p>
      <w:pPr>
        <w:pStyle w:val="BodyText"/>
      </w:pPr>
      <w:r>
        <w:rPr>
          <w:b/>
          <w:bCs/>
        </w:rPr>
        <w:t xml:space="preserve">Analysis Documentation</w:t>
      </w:r>
      <w:r>
        <w:t xml:space="preserve">:</w:t>
      </w:r>
      <w:r>
        <w:t xml:space="preserve"> </w:t>
      </w:r>
      <w:r>
        <w:t xml:space="preserve">&gt; Full methodology and code available at:</w:t>
      </w:r>
      <w:r>
        <w:t xml:space="preserve"> </w:t>
      </w:r>
      <w:r>
        <w:rPr>
          <w:rStyle w:val="VerbatimChar"/>
        </w:rPr>
        <w:t xml:space="preserve">Analysis/22_black_suspension_rates_teacher_demographics.R</w:t>
      </w:r>
      <w:r>
        <w:t xml:space="preserve"> </w:t>
      </w:r>
      <w:r>
        <w:t xml:space="preserve">&gt; Comprehensive guide:</w:t>
      </w:r>
      <w:r>
        <w:t xml:space="preserve"> </w:t>
      </w:r>
      <w:r>
        <w:rPr>
          <w:rStyle w:val="VerbatimChar"/>
        </w:rPr>
        <w:t xml:space="preserve">Analysis/22_ANALYSIS_GUIDE.md</w:t>
      </w:r>
    </w:p>
    <w:p>
      <w:r>
        <w:pict>
          <v:rect style="width:0;height:1.5pt" o:hralign="center" o:hrstd="t" o:hr="t"/>
        </w:pict>
      </w:r>
    </w:p>
    <w:bookmarkEnd w:id="42"/>
    <w:bookmarkStart w:id="43" w:name="contact-and-questions"/>
    <w:p>
      <w:pPr>
        <w:pStyle w:val="Heading2"/>
      </w:pPr>
      <w:r>
        <w:t xml:space="preserve">Contact and Questions</w:t>
      </w:r>
    </w:p>
    <w:p>
      <w:pPr>
        <w:pStyle w:val="FirstParagraph"/>
      </w:pPr>
      <w:r>
        <w:t xml:space="preserve">For questions about: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Methodology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Analysis/22_ANALYSIS_GUIDE.md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pipeline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(repository guide)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Teacher data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docs/guides/TEACHER_DATA_SETUP_GUIDE.md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 review</w:t>
      </w:r>
      <w:r>
        <w:t xml:space="preserve">: Script at</w:t>
      </w:r>
      <w:r>
        <w:t xml:space="preserve"> </w:t>
      </w:r>
      <w:r>
        <w:rPr>
          <w:rStyle w:val="VerbatimChar"/>
        </w:rPr>
        <w:t xml:space="preserve">Analysis/22_black_suspension_rates_teacher_demographics.R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2025-11-19</w:t>
      </w:r>
      <w:r>
        <w:t xml:space="preserve"> </w:t>
      </w:r>
      <w:r>
        <w:rPr>
          <w:b/>
          <w:bCs/>
        </w:rPr>
        <w:t xml:space="preserve">Analysis Script</w:t>
      </w:r>
      <w:r>
        <w:t xml:space="preserve">: Analysis/22_black_suspension_rates_teacher_demographics.R</w:t>
      </w:r>
      <w:r>
        <w:t xml:space="preserve"> </w:t>
      </w:r>
      <w:r>
        <w:rPr>
          <w:b/>
          <w:bCs/>
        </w:rPr>
        <w:t xml:space="preserve">Output Location</w:t>
      </w:r>
      <w:r>
        <w:t xml:space="preserve">: outputs/summaries/22_black_suspension_teacher_demographics_SUMMARY.md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2025-11-19T01:04:44Z</dcterms:created>
  <dcterms:modified xsi:type="dcterms:W3CDTF">2025-11-19T01:04:44Z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