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46" w:rsidRDefault="00CF0D46" w:rsidP="00CF0D46">
      <w:pPr>
        <w:pStyle w:val="NoSpacing"/>
        <w:rPr>
          <w:b/>
          <w:u w:val="single"/>
        </w:rPr>
      </w:pPr>
      <w:r w:rsidRPr="00B351AC">
        <w:rPr>
          <w:b/>
          <w:u w:val="single"/>
        </w:rPr>
        <w:t>Abstract</w:t>
      </w:r>
    </w:p>
    <w:p w:rsidR="00CF0D46" w:rsidRDefault="00CF0D46" w:rsidP="00CF0D46">
      <w:pPr>
        <w:pStyle w:val="NoSpacing"/>
        <w:ind w:firstLine="720"/>
      </w:pPr>
      <w:r>
        <w:t>In our experiment, we are using total 8 features to drive our agent. Namely, they are: Landing Height, Eroded Piece Cells, Row Transitions, Column Transitions, Number of Holes, Board Wells, Number of Rows with Holes, and Hole Depth. In order to make the features useful, we need to find the appropriate weight vector. To this end, we employed the use of a couple of well-known optimizers, specifically, Harmony Optimization and Genetic Optimization, to find these weights.</w:t>
      </w:r>
    </w:p>
    <w:p w:rsidR="00CF0D46" w:rsidRDefault="00CF0D46" w:rsidP="00CF0D46">
      <w:pPr>
        <w:pStyle w:val="NoSpacing"/>
        <w:ind w:firstLine="720"/>
      </w:pPr>
    </w:p>
    <w:p w:rsidR="00CF0D46" w:rsidRPr="00CF0D46" w:rsidRDefault="00CF0D46" w:rsidP="00CF0D46">
      <w:pPr>
        <w:pStyle w:val="NoSpacing"/>
        <w:jc w:val="both"/>
        <w:rPr>
          <w:b/>
          <w:u w:val="single"/>
        </w:rPr>
      </w:pPr>
      <w:r w:rsidRPr="00CF0D46">
        <w:rPr>
          <w:b/>
          <w:u w:val="single"/>
        </w:rPr>
        <w:t>Features</w:t>
      </w:r>
    </w:p>
    <w:p w:rsidR="00CF0D46" w:rsidRPr="00955695" w:rsidRDefault="00CF0D46" w:rsidP="00CF0D46">
      <w:pPr>
        <w:pStyle w:val="NoSpacing"/>
        <w:jc w:val="both"/>
        <w:rPr>
          <w:b/>
        </w:rPr>
      </w:pPr>
    </w:p>
    <w:tbl>
      <w:tblPr>
        <w:tblStyle w:val="TableGrid"/>
        <w:tblW w:w="0" w:type="auto"/>
        <w:tblLook w:val="04A0" w:firstRow="1" w:lastRow="0" w:firstColumn="1" w:lastColumn="0" w:noHBand="0" w:noVBand="1"/>
      </w:tblPr>
      <w:tblGrid>
        <w:gridCol w:w="1216"/>
        <w:gridCol w:w="4305"/>
        <w:gridCol w:w="3001"/>
      </w:tblGrid>
      <w:tr w:rsidR="00CF0D46" w:rsidRPr="00955695" w:rsidTr="0060523D">
        <w:tc>
          <w:tcPr>
            <w:tcW w:w="1216" w:type="dxa"/>
          </w:tcPr>
          <w:p w:rsidR="00CF0D46" w:rsidRPr="00955695" w:rsidRDefault="00CF0D46" w:rsidP="0060523D">
            <w:pPr>
              <w:pStyle w:val="NoSpacing"/>
              <w:jc w:val="both"/>
              <w:rPr>
                <w:b/>
              </w:rPr>
            </w:pPr>
            <w:r w:rsidRPr="00955695">
              <w:rPr>
                <w:b/>
              </w:rPr>
              <w:t>Feature</w:t>
            </w:r>
          </w:p>
        </w:tc>
        <w:tc>
          <w:tcPr>
            <w:tcW w:w="5012" w:type="dxa"/>
          </w:tcPr>
          <w:p w:rsidR="00CF0D46" w:rsidRPr="00955695" w:rsidRDefault="00CF0D46" w:rsidP="0060523D">
            <w:pPr>
              <w:pStyle w:val="NoSpacing"/>
              <w:jc w:val="both"/>
              <w:rPr>
                <w:b/>
              </w:rPr>
            </w:pPr>
            <w:r w:rsidRPr="00955695">
              <w:rPr>
                <w:b/>
              </w:rPr>
              <w:t>Description</w:t>
            </w:r>
          </w:p>
        </w:tc>
        <w:tc>
          <w:tcPr>
            <w:tcW w:w="3348" w:type="dxa"/>
          </w:tcPr>
          <w:p w:rsidR="00CF0D46" w:rsidRPr="00955695" w:rsidRDefault="00CF0D46" w:rsidP="0060523D">
            <w:pPr>
              <w:pStyle w:val="NoSpacing"/>
              <w:jc w:val="both"/>
              <w:rPr>
                <w:b/>
              </w:rPr>
            </w:pPr>
            <w:r w:rsidRPr="00955695">
              <w:rPr>
                <w:b/>
              </w:rPr>
              <w:t>Reason</w:t>
            </w:r>
          </w:p>
        </w:tc>
      </w:tr>
      <w:tr w:rsidR="00CF0D46" w:rsidRPr="00467F39" w:rsidTr="0060523D">
        <w:tc>
          <w:tcPr>
            <w:tcW w:w="1216" w:type="dxa"/>
          </w:tcPr>
          <w:p w:rsidR="00CF0D46" w:rsidRPr="00467F39" w:rsidRDefault="00CF0D46" w:rsidP="0060523D">
            <w:pPr>
              <w:pStyle w:val="NoSpacing"/>
              <w:jc w:val="both"/>
            </w:pPr>
            <w:r w:rsidRPr="00467F39">
              <w:t>Landing height</w:t>
            </w:r>
          </w:p>
        </w:tc>
        <w:tc>
          <w:tcPr>
            <w:tcW w:w="5012" w:type="dxa"/>
          </w:tcPr>
          <w:p w:rsidR="00CF0D46" w:rsidRPr="00467F39" w:rsidRDefault="00CF0D46" w:rsidP="0060523D">
            <w:pPr>
              <w:pStyle w:val="NoSpacing"/>
              <w:jc w:val="both"/>
            </w:pPr>
            <w:r w:rsidRPr="00467F39">
              <w:t>The height where the last piece is added into the board before any full row is cleared. (the row index of the topmost cell of the landed piece)</w:t>
            </w:r>
          </w:p>
        </w:tc>
        <w:tc>
          <w:tcPr>
            <w:tcW w:w="3348" w:type="dxa"/>
          </w:tcPr>
          <w:p w:rsidR="00CF0D46" w:rsidRPr="00467F39" w:rsidRDefault="00CF0D46" w:rsidP="0060523D">
            <w:pPr>
              <w:pStyle w:val="NoSpacing"/>
              <w:jc w:val="both"/>
            </w:pPr>
            <w:r w:rsidRPr="00467F39">
              <w:t>Punishes increasing pile heights.</w:t>
            </w:r>
          </w:p>
        </w:tc>
      </w:tr>
      <w:tr w:rsidR="00CF0D46" w:rsidRPr="00467F39" w:rsidTr="0060523D">
        <w:tc>
          <w:tcPr>
            <w:tcW w:w="1216" w:type="dxa"/>
          </w:tcPr>
          <w:p w:rsidR="00CF0D46" w:rsidRPr="00467F39" w:rsidRDefault="00CF0D46" w:rsidP="0060523D">
            <w:pPr>
              <w:pStyle w:val="NoSpacing"/>
              <w:jc w:val="both"/>
            </w:pPr>
            <w:r w:rsidRPr="00467F39">
              <w:t>Eroded piece cells</w:t>
            </w:r>
          </w:p>
        </w:tc>
        <w:tc>
          <w:tcPr>
            <w:tcW w:w="5012" w:type="dxa"/>
          </w:tcPr>
          <w:p w:rsidR="00CF0D46" w:rsidRPr="00467F39" w:rsidRDefault="00CF0D46" w:rsidP="0060523D">
            <w:pPr>
              <w:pStyle w:val="NoSpacing"/>
              <w:jc w:val="both"/>
            </w:pPr>
            <w:r>
              <w:t>(N</w:t>
            </w:r>
            <w:r w:rsidRPr="00467F39">
              <w:t xml:space="preserve">umber of rows cleared </w:t>
            </w:r>
            <w:r>
              <w:t>after landing the piece) x (N</w:t>
            </w:r>
            <w:r w:rsidRPr="00467F39">
              <w:t>umber of eliminated cells of the landed piece).</w:t>
            </w:r>
          </w:p>
        </w:tc>
        <w:tc>
          <w:tcPr>
            <w:tcW w:w="3348" w:type="dxa"/>
          </w:tcPr>
          <w:p w:rsidR="00CF0D46" w:rsidRPr="00467F39" w:rsidRDefault="00CF0D46" w:rsidP="0060523D">
            <w:pPr>
              <w:pStyle w:val="NoSpacing"/>
              <w:jc w:val="both"/>
            </w:pPr>
            <w:r w:rsidRPr="00467F39">
              <w:t xml:space="preserve">Encourages </w:t>
            </w:r>
            <w:r>
              <w:t>clearing rows</w:t>
            </w:r>
            <w:r w:rsidRPr="00467F39">
              <w:t>.</w:t>
            </w:r>
          </w:p>
        </w:tc>
      </w:tr>
      <w:tr w:rsidR="00CF0D46" w:rsidRPr="00467F39" w:rsidTr="0060523D">
        <w:tc>
          <w:tcPr>
            <w:tcW w:w="1216" w:type="dxa"/>
          </w:tcPr>
          <w:p w:rsidR="00CF0D46" w:rsidRPr="00467F39" w:rsidRDefault="00CF0D46" w:rsidP="0060523D">
            <w:pPr>
              <w:pStyle w:val="NoSpacing"/>
              <w:jc w:val="both"/>
            </w:pPr>
            <w:r w:rsidRPr="00467F39">
              <w:t>Row transitions</w:t>
            </w:r>
          </w:p>
        </w:tc>
        <w:tc>
          <w:tcPr>
            <w:tcW w:w="5012" w:type="dxa"/>
          </w:tcPr>
          <w:p w:rsidR="00CF0D46" w:rsidRPr="00467F39" w:rsidRDefault="00CF0D46" w:rsidP="0060523D">
            <w:pPr>
              <w:pStyle w:val="NoSpacing"/>
              <w:jc w:val="both"/>
            </w:pPr>
            <w:r w:rsidRPr="00467F39">
              <w:t xml:space="preserve">The number of horizontal transitions from occupied to unoccupied or </w:t>
            </w:r>
            <w:r>
              <w:t>vice versa</w:t>
            </w:r>
            <w:r w:rsidRPr="00467F39">
              <w:t xml:space="preserve"> on the board. (the left and right exteriors are considered occupied)  </w:t>
            </w:r>
          </w:p>
        </w:tc>
        <w:tc>
          <w:tcPr>
            <w:tcW w:w="3348" w:type="dxa"/>
          </w:tcPr>
          <w:p w:rsidR="00CF0D46" w:rsidRPr="00467F39" w:rsidRDefault="00CF0D46" w:rsidP="0060523D">
            <w:pPr>
              <w:pStyle w:val="NoSpacing"/>
              <w:jc w:val="both"/>
            </w:pPr>
            <w:r>
              <w:t xml:space="preserve">Discourages creating of </w:t>
            </w:r>
            <w:r w:rsidRPr="00467F39">
              <w:t>horiz</w:t>
            </w:r>
            <w:r>
              <w:t>ontal heterogeneous rows</w:t>
            </w:r>
            <w:r w:rsidRPr="00467F39">
              <w:t>.</w:t>
            </w:r>
          </w:p>
        </w:tc>
      </w:tr>
      <w:tr w:rsidR="00CF0D46" w:rsidRPr="00467F39" w:rsidTr="0060523D">
        <w:tc>
          <w:tcPr>
            <w:tcW w:w="1216" w:type="dxa"/>
          </w:tcPr>
          <w:p w:rsidR="00CF0D46" w:rsidRPr="00467F39" w:rsidRDefault="00CF0D46" w:rsidP="0060523D">
            <w:pPr>
              <w:pStyle w:val="NoSpacing"/>
              <w:jc w:val="both"/>
            </w:pPr>
            <w:r w:rsidRPr="00467F39">
              <w:t>Column transitions</w:t>
            </w:r>
          </w:p>
        </w:tc>
        <w:tc>
          <w:tcPr>
            <w:tcW w:w="5012" w:type="dxa"/>
          </w:tcPr>
          <w:p w:rsidR="00CF0D46" w:rsidRPr="00467F39" w:rsidRDefault="00CF0D46" w:rsidP="0060523D">
            <w:pPr>
              <w:pStyle w:val="NoSpacing"/>
              <w:jc w:val="both"/>
            </w:pPr>
            <w:r w:rsidRPr="00467F39">
              <w:t xml:space="preserve">Same ideas as row transitions. (the bottom and top exteriors are considered occupied and unoccupied </w:t>
            </w:r>
            <w:r>
              <w:t>respectively</w:t>
            </w:r>
            <w:r w:rsidRPr="00467F39">
              <w:t xml:space="preserve">) </w:t>
            </w:r>
          </w:p>
        </w:tc>
        <w:tc>
          <w:tcPr>
            <w:tcW w:w="3348" w:type="dxa"/>
          </w:tcPr>
          <w:p w:rsidR="00CF0D46" w:rsidRPr="00467F39" w:rsidRDefault="00CF0D46" w:rsidP="0060523D">
            <w:pPr>
              <w:pStyle w:val="NoSpacing"/>
              <w:jc w:val="both"/>
            </w:pPr>
            <w:r>
              <w:t>Discourages creating of vertical heterogeneous columns</w:t>
            </w:r>
            <w:r w:rsidRPr="00467F39">
              <w:t>.</w:t>
            </w:r>
          </w:p>
        </w:tc>
      </w:tr>
      <w:tr w:rsidR="00CF0D46" w:rsidRPr="00467F39" w:rsidTr="0060523D">
        <w:tc>
          <w:tcPr>
            <w:tcW w:w="1216" w:type="dxa"/>
          </w:tcPr>
          <w:p w:rsidR="00CF0D46" w:rsidRPr="00467F39" w:rsidRDefault="00CF0D46" w:rsidP="0060523D">
            <w:pPr>
              <w:pStyle w:val="NoSpacing"/>
              <w:jc w:val="both"/>
            </w:pPr>
            <w:r w:rsidRPr="00467F39">
              <w:t>Holes</w:t>
            </w:r>
          </w:p>
        </w:tc>
        <w:tc>
          <w:tcPr>
            <w:tcW w:w="5012" w:type="dxa"/>
          </w:tcPr>
          <w:p w:rsidR="00CF0D46" w:rsidRPr="00467F39" w:rsidRDefault="00CF0D46" w:rsidP="0060523D">
            <w:pPr>
              <w:pStyle w:val="NoSpacing"/>
              <w:jc w:val="both"/>
            </w:pPr>
            <w:r w:rsidRPr="00467F39">
              <w:t>The number of unoccupied cells covered by at least one occupied cell above.</w:t>
            </w:r>
          </w:p>
        </w:tc>
        <w:tc>
          <w:tcPr>
            <w:tcW w:w="3348" w:type="dxa"/>
          </w:tcPr>
          <w:p w:rsidR="00CF0D46" w:rsidRPr="00467F39" w:rsidRDefault="00CF0D46" w:rsidP="0060523D">
            <w:pPr>
              <w:pStyle w:val="NoSpacing"/>
              <w:jc w:val="both"/>
            </w:pPr>
            <w:r w:rsidRPr="00467F39">
              <w:t xml:space="preserve">Punishes </w:t>
            </w:r>
            <w:r>
              <w:t>creating of holes</w:t>
            </w:r>
          </w:p>
        </w:tc>
      </w:tr>
      <w:tr w:rsidR="00CF0D46" w:rsidRPr="00467F39" w:rsidTr="0060523D">
        <w:tc>
          <w:tcPr>
            <w:tcW w:w="1216" w:type="dxa"/>
          </w:tcPr>
          <w:p w:rsidR="00CF0D46" w:rsidRPr="00467F39" w:rsidRDefault="00CF0D46" w:rsidP="0060523D">
            <w:pPr>
              <w:pStyle w:val="NoSpacing"/>
              <w:jc w:val="both"/>
            </w:pPr>
            <w:r w:rsidRPr="00467F39">
              <w:t>Board wells</w:t>
            </w:r>
          </w:p>
        </w:tc>
        <w:tc>
          <w:tcPr>
            <w:tcW w:w="5012" w:type="dxa"/>
          </w:tcPr>
          <w:p w:rsidR="00CF0D46" w:rsidRPr="00467F39" w:rsidRDefault="00CF0D46" w:rsidP="0060523D">
            <w:pPr>
              <w:pStyle w:val="NoSpacing"/>
              <w:jc w:val="both"/>
            </w:pPr>
            <w:r w:rsidRPr="00467F39">
              <w:t>∑</w:t>
            </w:r>
            <w:r w:rsidRPr="00467F39">
              <w:rPr>
                <w:vertAlign w:val="subscript"/>
              </w:rPr>
              <w:t>w</w:t>
            </w:r>
            <w:r w:rsidRPr="00467F39">
              <w:rPr>
                <w:rFonts w:ascii="Cambria Math" w:hAnsi="Cambria Math"/>
                <w:vertAlign w:val="subscript"/>
              </w:rPr>
              <w:t>∈</w:t>
            </w:r>
            <w:r w:rsidRPr="00467F39">
              <w:rPr>
                <w:vertAlign w:val="subscript"/>
              </w:rPr>
              <w:t>wells</w:t>
            </w:r>
            <w:r w:rsidRPr="00467F39">
              <w:t>(1 + 2 + … + depth(w)).</w:t>
            </w:r>
          </w:p>
        </w:tc>
        <w:tc>
          <w:tcPr>
            <w:tcW w:w="3348" w:type="dxa"/>
          </w:tcPr>
          <w:p w:rsidR="00CF0D46" w:rsidRPr="00467F39" w:rsidRDefault="00CF0D46" w:rsidP="0060523D">
            <w:pPr>
              <w:pStyle w:val="NoSpacing"/>
              <w:jc w:val="both"/>
            </w:pPr>
            <w:r>
              <w:t>Discourages</w:t>
            </w:r>
            <w:r w:rsidRPr="00467F39">
              <w:t xml:space="preserve"> making</w:t>
            </w:r>
            <w:r>
              <w:t xml:space="preserve"> deep</w:t>
            </w:r>
            <w:r w:rsidRPr="00467F39">
              <w:t xml:space="preserve"> wells</w:t>
            </w:r>
            <w:r w:rsidRPr="00467F39">
              <w:rPr>
                <w:vertAlign w:val="superscript"/>
              </w:rPr>
              <w:t>1</w:t>
            </w:r>
            <w:r w:rsidRPr="00467F39">
              <w:t xml:space="preserve"> because </w:t>
            </w:r>
            <w:r>
              <w:t>they are harder to clear.</w:t>
            </w:r>
          </w:p>
        </w:tc>
      </w:tr>
      <w:tr w:rsidR="00CF0D46" w:rsidRPr="00467F39" w:rsidTr="0060523D">
        <w:tc>
          <w:tcPr>
            <w:tcW w:w="1216" w:type="dxa"/>
          </w:tcPr>
          <w:p w:rsidR="00CF0D46" w:rsidRPr="00467F39" w:rsidRDefault="00CF0D46" w:rsidP="0060523D">
            <w:pPr>
              <w:pStyle w:val="NoSpacing"/>
              <w:jc w:val="both"/>
            </w:pPr>
            <w:r w:rsidRPr="00467F39">
              <w:t>Row holes</w:t>
            </w:r>
          </w:p>
        </w:tc>
        <w:tc>
          <w:tcPr>
            <w:tcW w:w="5012" w:type="dxa"/>
          </w:tcPr>
          <w:p w:rsidR="00CF0D46" w:rsidRPr="00467F39" w:rsidRDefault="00CF0D46" w:rsidP="0060523D">
            <w:pPr>
              <w:pStyle w:val="NoSpacing"/>
              <w:jc w:val="both"/>
            </w:pPr>
            <w:r>
              <w:t>The number of rows having at least one hole.</w:t>
            </w:r>
          </w:p>
        </w:tc>
        <w:tc>
          <w:tcPr>
            <w:tcW w:w="3348" w:type="dxa"/>
          </w:tcPr>
          <w:p w:rsidR="00CF0D46" w:rsidRPr="00467F39" w:rsidRDefault="00CF0D46" w:rsidP="0060523D">
            <w:pPr>
              <w:pStyle w:val="NoSpacing"/>
              <w:jc w:val="both"/>
            </w:pPr>
            <w:r>
              <w:t>Discourages creating row holes.</w:t>
            </w:r>
          </w:p>
        </w:tc>
      </w:tr>
      <w:tr w:rsidR="00CF0D46" w:rsidRPr="00467F39" w:rsidTr="0060523D">
        <w:tc>
          <w:tcPr>
            <w:tcW w:w="1216" w:type="dxa"/>
          </w:tcPr>
          <w:p w:rsidR="00CF0D46" w:rsidRPr="00467F39" w:rsidRDefault="00CF0D46" w:rsidP="0060523D">
            <w:pPr>
              <w:pStyle w:val="NoSpacing"/>
              <w:jc w:val="both"/>
            </w:pPr>
            <w:r w:rsidRPr="00467F39">
              <w:t>Hole depth</w:t>
            </w:r>
          </w:p>
        </w:tc>
        <w:tc>
          <w:tcPr>
            <w:tcW w:w="5012" w:type="dxa"/>
          </w:tcPr>
          <w:p w:rsidR="00CF0D46" w:rsidRPr="00467F39" w:rsidRDefault="00CF0D46" w:rsidP="0060523D">
            <w:pPr>
              <w:pStyle w:val="NoSpacing"/>
              <w:jc w:val="both"/>
            </w:pPr>
            <w:r>
              <w:t>Sum of the value of each hole where the value of a hole is the number of occupied cells above it.</w:t>
            </w:r>
          </w:p>
        </w:tc>
        <w:tc>
          <w:tcPr>
            <w:tcW w:w="3348" w:type="dxa"/>
          </w:tcPr>
          <w:p w:rsidR="00CF0D46" w:rsidRPr="00467F39" w:rsidRDefault="00CF0D46" w:rsidP="0060523D">
            <w:pPr>
              <w:pStyle w:val="NoSpacing"/>
              <w:jc w:val="both"/>
            </w:pPr>
            <w:r>
              <w:t>Discourages placing of pieces above a column with hole(s).</w:t>
            </w:r>
          </w:p>
        </w:tc>
      </w:tr>
    </w:tbl>
    <w:p w:rsidR="00CF0D46" w:rsidRDefault="00CF0D46" w:rsidP="00CF0D46">
      <w:pPr>
        <w:pStyle w:val="NoSpacing"/>
        <w:jc w:val="both"/>
        <w:rPr>
          <w:sz w:val="18"/>
          <w:szCs w:val="18"/>
        </w:rPr>
      </w:pPr>
      <w:r w:rsidRPr="00467F39">
        <w:rPr>
          <w:sz w:val="18"/>
          <w:szCs w:val="18"/>
          <w:vertAlign w:val="superscript"/>
        </w:rPr>
        <w:t>1</w:t>
      </w:r>
      <w:r w:rsidRPr="00467F39">
        <w:rPr>
          <w:sz w:val="18"/>
          <w:szCs w:val="18"/>
        </w:rPr>
        <w:t xml:space="preserve"> A well is a succession of unoccupied cells whose left cells and right cells are both occupied.</w:t>
      </w:r>
    </w:p>
    <w:p w:rsidR="00CF0D46" w:rsidRDefault="00CF0D46" w:rsidP="00CF0D46">
      <w:pPr>
        <w:pStyle w:val="NoSpacing"/>
        <w:jc w:val="both"/>
      </w:pPr>
    </w:p>
    <w:p w:rsidR="00CF0D46" w:rsidRDefault="00CF0D46" w:rsidP="00CF0D46">
      <w:pPr>
        <w:pStyle w:val="NoSpacing"/>
        <w:jc w:val="both"/>
      </w:pPr>
      <w:r>
        <w:t xml:space="preserve">Because the evaluation function to pick the best move for each turn is a linear combination, all the points of the 8-dimensional search space of weight vectors that fall on the same line passing through the origin have the same evaluated value. In order to adapt to this characteristic, we limit the search space of weight vectors to the surface of the 8-dimensional unit sphere. This means we need to normalize weight vectors.   </w:t>
      </w:r>
    </w:p>
    <w:p w:rsidR="00CF0D46" w:rsidRDefault="00CF0D46" w:rsidP="00CF0D46">
      <w:pPr>
        <w:pStyle w:val="NoSpacing"/>
        <w:jc w:val="both"/>
      </w:pPr>
    </w:p>
    <w:p w:rsidR="00CF0D46" w:rsidRDefault="00CF0D46" w:rsidP="00CF0D46">
      <w:pPr>
        <w:pStyle w:val="NoSpacing"/>
        <w:jc w:val="both"/>
      </w:pPr>
      <w:r>
        <w:t>As some features are meant to reinforce various actions whilst others discourages, hence they are assigned positive and negative weights respectively.</w:t>
      </w:r>
    </w:p>
    <w:p w:rsidR="00CF0D46" w:rsidRDefault="00CF0D46" w:rsidP="00CF0D46">
      <w:pPr>
        <w:pStyle w:val="NoSpacing"/>
        <w:jc w:val="both"/>
      </w:pPr>
    </w:p>
    <w:p w:rsidR="00CF0D46" w:rsidRDefault="00CF0D46" w:rsidP="00CF0D46">
      <w:pPr>
        <w:pStyle w:val="NoSpacing"/>
        <w:jc w:val="both"/>
      </w:pPr>
      <w:r>
        <w:t>After applying the 2 observations above to the search space of weight vectors, we can minimize the search space, thus increasing the convergence rate of weight vectors. The table below displays the range for each feature weight:</w:t>
      </w:r>
    </w:p>
    <w:p w:rsidR="00CF0D46" w:rsidRDefault="00CF0D46" w:rsidP="00CF0D46">
      <w:pPr>
        <w:pStyle w:val="NoSpacing"/>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2628"/>
        <w:gridCol w:w="1260"/>
      </w:tblGrid>
      <w:tr w:rsidR="00CF0D46" w:rsidRPr="00955695" w:rsidTr="0060523D">
        <w:tc>
          <w:tcPr>
            <w:tcW w:w="2628" w:type="dxa"/>
          </w:tcPr>
          <w:p w:rsidR="00CF0D46" w:rsidRPr="00955695" w:rsidRDefault="00CF0D46" w:rsidP="0060523D">
            <w:pPr>
              <w:pStyle w:val="NoSpacing"/>
              <w:jc w:val="both"/>
              <w:rPr>
                <w:b/>
              </w:rPr>
            </w:pPr>
          </w:p>
        </w:tc>
        <w:tc>
          <w:tcPr>
            <w:tcW w:w="1260" w:type="dxa"/>
          </w:tcPr>
          <w:p w:rsidR="00CF0D46" w:rsidRPr="00955695" w:rsidRDefault="00CF0D46" w:rsidP="0060523D">
            <w:pPr>
              <w:pStyle w:val="NoSpacing"/>
              <w:jc w:val="both"/>
              <w:rPr>
                <w:b/>
              </w:rPr>
            </w:pPr>
            <w:r w:rsidRPr="00955695">
              <w:rPr>
                <w:b/>
              </w:rPr>
              <w:t>Range</w:t>
            </w:r>
          </w:p>
        </w:tc>
      </w:tr>
      <w:tr w:rsidR="00CF0D46" w:rsidTr="0060523D">
        <w:tc>
          <w:tcPr>
            <w:tcW w:w="2628" w:type="dxa"/>
          </w:tcPr>
          <w:p w:rsidR="00CF0D46" w:rsidRDefault="00CF0D46" w:rsidP="0060523D">
            <w:pPr>
              <w:pStyle w:val="NoSpacing"/>
              <w:jc w:val="both"/>
            </w:pPr>
            <w:r>
              <w:t>One positive feature: eroded piece cells.</w:t>
            </w:r>
          </w:p>
        </w:tc>
        <w:tc>
          <w:tcPr>
            <w:tcW w:w="1260" w:type="dxa"/>
          </w:tcPr>
          <w:p w:rsidR="00CF0D46" w:rsidRDefault="00CF0D46" w:rsidP="0060523D">
            <w:pPr>
              <w:pStyle w:val="NoSpacing"/>
              <w:jc w:val="both"/>
            </w:pPr>
            <w:r>
              <w:t>[0.0, 1.0]</w:t>
            </w:r>
          </w:p>
        </w:tc>
      </w:tr>
      <w:tr w:rsidR="00CF0D46" w:rsidTr="0060523D">
        <w:tc>
          <w:tcPr>
            <w:tcW w:w="2628" w:type="dxa"/>
          </w:tcPr>
          <w:p w:rsidR="00CF0D46" w:rsidRDefault="00CF0D46" w:rsidP="0060523D">
            <w:pPr>
              <w:pStyle w:val="NoSpacing"/>
              <w:jc w:val="both"/>
            </w:pPr>
            <w:r>
              <w:t>The remaining features are negative.</w:t>
            </w:r>
          </w:p>
        </w:tc>
        <w:tc>
          <w:tcPr>
            <w:tcW w:w="1260" w:type="dxa"/>
          </w:tcPr>
          <w:p w:rsidR="00CF0D46" w:rsidRDefault="00CF0D46" w:rsidP="0060523D">
            <w:pPr>
              <w:pStyle w:val="NoSpacing"/>
              <w:jc w:val="both"/>
            </w:pPr>
            <w:r>
              <w:t>[-1.0, 0.0]</w:t>
            </w:r>
          </w:p>
        </w:tc>
      </w:tr>
    </w:tbl>
    <w:p w:rsidR="00CF0D46" w:rsidRDefault="00CF0D46" w:rsidP="00CF0D46">
      <w:pPr>
        <w:pStyle w:val="NoSpacing"/>
        <w:jc w:val="both"/>
      </w:pPr>
      <w:r>
        <w:t>Due to the random nature of Tetris, we have to test a weight vector in an adequate number of games in order to obtain an accurate fitness value – this is done by taking the average.</w:t>
      </w:r>
    </w:p>
    <w:p w:rsidR="00CF0D46" w:rsidRDefault="00CF0D46" w:rsidP="00CF0D46">
      <w:pPr>
        <w:pStyle w:val="NoSpacing"/>
        <w:jc w:val="both"/>
      </w:pPr>
    </w:p>
    <w:p w:rsidR="00CF0D46" w:rsidRDefault="00CF0D46" w:rsidP="00F03F7D">
      <w:pPr>
        <w:pStyle w:val="NoSpacing"/>
        <w:jc w:val="both"/>
      </w:pPr>
      <w:r>
        <w:t xml:space="preserve">Additionally, in order to expedite the weight vector optimization procedure, we simulate the game on a “hard” version of Tetris which increases the convergence rate of weight vectors. The only difference between the “hard” version and the normal one is the frequency at which each piece is produced. In the “hard” version, the probabilities of S and Z pieces are 3/11, whilst the probabilities for the rest are 1/11.  </w:t>
      </w:r>
    </w:p>
    <w:p w:rsidR="00F03F7D" w:rsidRDefault="00F03F7D" w:rsidP="00F03F7D">
      <w:pPr>
        <w:pStyle w:val="NoSpacing"/>
        <w:jc w:val="both"/>
      </w:pPr>
    </w:p>
    <w:p w:rsidR="00CF0D46" w:rsidRDefault="00CF0D46">
      <w:pPr>
        <w:rPr>
          <w:lang w:val="en-SG"/>
        </w:rPr>
      </w:pPr>
      <w:r>
        <w:rPr>
          <w:b/>
          <w:u w:val="single"/>
          <w:lang w:val="en-SG"/>
        </w:rPr>
        <w:t>Experiment Analysis</w:t>
      </w:r>
    </w:p>
    <w:p w:rsidR="002B2222" w:rsidRDefault="002B2222" w:rsidP="002B2222">
      <w:pPr>
        <w:pStyle w:val="NoSpacing"/>
        <w:jc w:val="both"/>
      </w:pPr>
      <w:r>
        <w:t>In order to measure the performance of weight vectors, we introduce the term the ratio of spawned pieces (SP) / cleared rows (CR). Theoretically, given 10-cells rows and 4-cells pieces, the best case for Tetris is to be able to clear one row using 2.5 spawned pieces on average. Hence, the lower bound for the ratio of spawned pieces / cleared rows is 2.5.</w:t>
      </w:r>
    </w:p>
    <w:p w:rsidR="002B2222" w:rsidRDefault="002B2222" w:rsidP="002B2222">
      <w:pPr>
        <w:pStyle w:val="NoSpacing"/>
        <w:jc w:val="both"/>
      </w:pPr>
    </w:p>
    <w:p w:rsidR="002B2222" w:rsidRDefault="002B2222" w:rsidP="002B2222">
      <w:pPr>
        <w:jc w:val="both"/>
      </w:pPr>
      <w:r>
        <w:t xml:space="preserve">We consider the two different weight vectors having different SP/CR ratio, </w:t>
      </w:r>
      <w:r>
        <w:rPr>
          <w:rFonts w:cstheme="minorHAnsi"/>
        </w:rPr>
        <w:t>α</w:t>
      </w:r>
      <w:r>
        <w:t xml:space="preserve"> and </w:t>
      </w:r>
      <w:r>
        <w:rPr>
          <w:rFonts w:cstheme="minorHAnsi"/>
        </w:rPr>
        <w:t>β</w:t>
      </w:r>
      <w:r>
        <w:t xml:space="preserve">. If the two weight vectors are evaluated with the same number of spawned pieces and </w:t>
      </w:r>
      <w:r>
        <w:rPr>
          <w:rFonts w:cstheme="minorHAnsi"/>
        </w:rPr>
        <w:t>α</w:t>
      </w:r>
      <w:r>
        <w:t xml:space="preserve"> &lt; </w:t>
      </w:r>
      <w:r>
        <w:rPr>
          <w:rFonts w:cstheme="minorHAnsi"/>
        </w:rPr>
        <w:t>β</w:t>
      </w:r>
      <w:r>
        <w:t xml:space="preserve">, the number of cleared rows of the </w:t>
      </w:r>
      <w:r>
        <w:rPr>
          <w:rFonts w:cstheme="minorHAnsi"/>
        </w:rPr>
        <w:t>α</w:t>
      </w:r>
      <w:r>
        <w:t xml:space="preserve">-weight vector is more than that of the </w:t>
      </w:r>
      <w:r>
        <w:rPr>
          <w:rFonts w:cstheme="minorHAnsi"/>
        </w:rPr>
        <w:t>β</w:t>
      </w:r>
      <w:r>
        <w:t xml:space="preserve">-weight vectors. In other words, the nearer the ratio SP/CR of a weight vector to 2.5 is, the better its performance is in terms of the number of cleared rows.   </w:t>
      </w:r>
    </w:p>
    <w:p w:rsidR="00D73FC1" w:rsidRDefault="00D73FC1" w:rsidP="002B2222">
      <w:pPr>
        <w:jc w:val="both"/>
      </w:pPr>
      <w:r>
        <w:t xml:space="preserve">In our experiment, we make an assumption that using “hard” case to perform optimization process provides a lower bound for the “Normal” case and speed up our experiment. </w:t>
      </w:r>
    </w:p>
    <w:p w:rsidR="002569CB" w:rsidRDefault="00D73FC1" w:rsidP="002B2222">
      <w:pPr>
        <w:jc w:val="both"/>
      </w:pPr>
      <w:r>
        <w:t>For o</w:t>
      </w:r>
      <w:r w:rsidR="002B2222">
        <w:t>ur experimental protocol</w:t>
      </w:r>
      <w:r>
        <w:t>, we use</w:t>
      </w:r>
      <w:r w:rsidR="002B2222">
        <w:t xml:space="preserve"> the best weight vectors found by the “hard” version</w:t>
      </w:r>
      <w:r w:rsidR="00F03F7D">
        <w:t>, as shown in Table 1 and Table 3,</w:t>
      </w:r>
      <w:r w:rsidR="002B2222">
        <w:t xml:space="preserve"> of Tetris to play on the normal version</w:t>
      </w:r>
      <w:r w:rsidR="00F03F7D">
        <w:t>, as shown in Table 2 and Table 4</w:t>
      </w:r>
      <w:r w:rsidR="002B2222">
        <w:t>. From our collected data, the ratios SP/CR of both “hard” and normal versions converge at values very near to the optimal point, 2.5. This shows that our best weight vectors perform well. Additionally, the evidences that the convergence rate and the number of cleared rows in the normal version are better than those in the “hard” version support our assumption of using the “hard” version to approximate the normal version.</w:t>
      </w:r>
      <w:r w:rsidR="00DB7D08">
        <w:tab/>
      </w:r>
    </w:p>
    <w:tbl>
      <w:tblPr>
        <w:tblStyle w:val="TableGrid"/>
        <w:tblW w:w="0" w:type="auto"/>
        <w:tblLook w:val="04A0" w:firstRow="1" w:lastRow="0" w:firstColumn="1" w:lastColumn="0" w:noHBand="0" w:noVBand="1"/>
      </w:tblPr>
      <w:tblGrid>
        <w:gridCol w:w="2093"/>
        <w:gridCol w:w="2126"/>
        <w:gridCol w:w="2172"/>
        <w:gridCol w:w="2131"/>
      </w:tblGrid>
      <w:tr w:rsidR="00C1069F" w:rsidRPr="00C1069F" w:rsidTr="00976A34">
        <w:tc>
          <w:tcPr>
            <w:tcW w:w="8522" w:type="dxa"/>
            <w:gridSpan w:val="4"/>
          </w:tcPr>
          <w:p w:rsidR="00C1069F" w:rsidRPr="00C1069F" w:rsidRDefault="00C1069F" w:rsidP="00C1069F">
            <w:pPr>
              <w:pStyle w:val="NoSpacing"/>
              <w:jc w:val="center"/>
              <w:rPr>
                <w:vertAlign w:val="superscript"/>
              </w:rPr>
            </w:pPr>
            <w:r w:rsidRPr="00C1069F">
              <w:t>Genetic Approach Hard Case</w:t>
            </w:r>
          </w:p>
        </w:tc>
      </w:tr>
      <w:tr w:rsidR="00C1069F" w:rsidRPr="00C1069F" w:rsidTr="00CF0D46">
        <w:tc>
          <w:tcPr>
            <w:tcW w:w="2093" w:type="dxa"/>
            <w:vAlign w:val="bottom"/>
          </w:tcPr>
          <w:p w:rsidR="00C1069F" w:rsidRPr="00C1069F" w:rsidRDefault="00C1069F" w:rsidP="00C1069F">
            <w:pPr>
              <w:pStyle w:val="NoSpacing"/>
              <w:jc w:val="center"/>
            </w:pPr>
            <w:r w:rsidRPr="00C1069F">
              <w:t>Weight Set Number</w:t>
            </w:r>
          </w:p>
        </w:tc>
        <w:tc>
          <w:tcPr>
            <w:tcW w:w="2126" w:type="dxa"/>
            <w:vAlign w:val="bottom"/>
          </w:tcPr>
          <w:p w:rsidR="00C1069F" w:rsidRPr="00C1069F" w:rsidRDefault="00C1069F" w:rsidP="00C1069F">
            <w:pPr>
              <w:pStyle w:val="NoSpacing"/>
              <w:jc w:val="center"/>
            </w:pPr>
            <w:r w:rsidRPr="00C1069F">
              <w:t>Average</w:t>
            </w:r>
            <w:r w:rsidR="00CF0D46">
              <w:rPr>
                <w:vertAlign w:val="superscript"/>
              </w:rPr>
              <w:t>1</w:t>
            </w:r>
            <w:r w:rsidRPr="00C1069F">
              <w:t xml:space="preserve"> Row cleared</w:t>
            </w:r>
          </w:p>
        </w:tc>
        <w:tc>
          <w:tcPr>
            <w:tcW w:w="2172" w:type="dxa"/>
            <w:vAlign w:val="bottom"/>
          </w:tcPr>
          <w:p w:rsidR="00C1069F" w:rsidRPr="00C1069F" w:rsidRDefault="00C1069F" w:rsidP="00C1069F">
            <w:pPr>
              <w:pStyle w:val="NoSpacing"/>
              <w:jc w:val="center"/>
            </w:pPr>
            <w:r w:rsidRPr="00C1069F">
              <w:t>Average</w:t>
            </w:r>
            <w:r w:rsidR="00CF0D46">
              <w:rPr>
                <w:vertAlign w:val="superscript"/>
              </w:rPr>
              <w:t>1</w:t>
            </w:r>
            <w:r w:rsidRPr="00C1069F">
              <w:t xml:space="preserve"> Piece Spawn</w:t>
            </w:r>
          </w:p>
        </w:tc>
        <w:tc>
          <w:tcPr>
            <w:tcW w:w="2131" w:type="dxa"/>
            <w:vAlign w:val="bottom"/>
          </w:tcPr>
          <w:p w:rsidR="00C1069F" w:rsidRPr="00CF0D46" w:rsidRDefault="00C1069F" w:rsidP="00C1069F">
            <w:pPr>
              <w:pStyle w:val="NoSpacing"/>
              <w:jc w:val="center"/>
              <w:rPr>
                <w:vertAlign w:val="superscript"/>
              </w:rPr>
            </w:pPr>
            <w:r w:rsidRPr="00C1069F">
              <w:t>Average Ratio</w:t>
            </w:r>
            <w:r w:rsidR="00CF0D46">
              <w:rPr>
                <w:vertAlign w:val="superscript"/>
              </w:rPr>
              <w:t>2</w:t>
            </w:r>
          </w:p>
        </w:tc>
      </w:tr>
      <w:tr w:rsidR="00C1069F" w:rsidRPr="00C1069F" w:rsidTr="00CF0D46">
        <w:tc>
          <w:tcPr>
            <w:tcW w:w="2093" w:type="dxa"/>
            <w:vAlign w:val="bottom"/>
          </w:tcPr>
          <w:p w:rsidR="00C1069F" w:rsidRPr="00C1069F" w:rsidRDefault="00C1069F" w:rsidP="00C1069F">
            <w:pPr>
              <w:pStyle w:val="NoSpacing"/>
              <w:jc w:val="center"/>
            </w:pPr>
            <w:r w:rsidRPr="00C1069F">
              <w:t>1</w:t>
            </w:r>
          </w:p>
        </w:tc>
        <w:tc>
          <w:tcPr>
            <w:tcW w:w="2126" w:type="dxa"/>
            <w:vAlign w:val="bottom"/>
          </w:tcPr>
          <w:p w:rsidR="00C1069F" w:rsidRPr="00C1069F" w:rsidRDefault="00C1069F" w:rsidP="00C1069F">
            <w:pPr>
              <w:pStyle w:val="NoSpacing"/>
              <w:jc w:val="center"/>
            </w:pPr>
            <w:r w:rsidRPr="00C1069F">
              <w:t>870</w:t>
            </w:r>
          </w:p>
        </w:tc>
        <w:tc>
          <w:tcPr>
            <w:tcW w:w="2172" w:type="dxa"/>
            <w:vAlign w:val="bottom"/>
          </w:tcPr>
          <w:p w:rsidR="00C1069F" w:rsidRPr="00C1069F" w:rsidRDefault="00C1069F" w:rsidP="00C1069F">
            <w:pPr>
              <w:pStyle w:val="NoSpacing"/>
              <w:jc w:val="center"/>
            </w:pPr>
            <w:r w:rsidRPr="00C1069F">
              <w:t>2207.12</w:t>
            </w:r>
          </w:p>
        </w:tc>
        <w:tc>
          <w:tcPr>
            <w:tcW w:w="2131" w:type="dxa"/>
            <w:vAlign w:val="bottom"/>
          </w:tcPr>
          <w:p w:rsidR="00C1069F" w:rsidRPr="00C1069F" w:rsidRDefault="00C1069F" w:rsidP="00C1069F">
            <w:pPr>
              <w:pStyle w:val="NoSpacing"/>
              <w:jc w:val="center"/>
            </w:pPr>
            <w:r w:rsidRPr="00C1069F">
              <w:t>2.53691954</w:t>
            </w:r>
          </w:p>
        </w:tc>
      </w:tr>
      <w:tr w:rsidR="00C1069F" w:rsidRPr="00C1069F" w:rsidTr="00CF0D46">
        <w:tc>
          <w:tcPr>
            <w:tcW w:w="2093" w:type="dxa"/>
            <w:vAlign w:val="bottom"/>
          </w:tcPr>
          <w:p w:rsidR="00C1069F" w:rsidRPr="00C1069F" w:rsidRDefault="00C1069F" w:rsidP="00C1069F">
            <w:pPr>
              <w:pStyle w:val="NoSpacing"/>
              <w:jc w:val="center"/>
            </w:pPr>
            <w:r w:rsidRPr="00C1069F">
              <w:t>2</w:t>
            </w:r>
          </w:p>
        </w:tc>
        <w:tc>
          <w:tcPr>
            <w:tcW w:w="2126" w:type="dxa"/>
            <w:vAlign w:val="bottom"/>
          </w:tcPr>
          <w:p w:rsidR="00C1069F" w:rsidRPr="00C1069F" w:rsidRDefault="00C1069F" w:rsidP="00C1069F">
            <w:pPr>
              <w:pStyle w:val="NoSpacing"/>
              <w:jc w:val="center"/>
            </w:pPr>
            <w:r w:rsidRPr="00C1069F">
              <w:t>798.42</w:t>
            </w:r>
          </w:p>
        </w:tc>
        <w:tc>
          <w:tcPr>
            <w:tcW w:w="2172" w:type="dxa"/>
            <w:vAlign w:val="bottom"/>
          </w:tcPr>
          <w:p w:rsidR="00C1069F" w:rsidRPr="00C1069F" w:rsidRDefault="00C1069F" w:rsidP="00C1069F">
            <w:pPr>
              <w:pStyle w:val="NoSpacing"/>
              <w:jc w:val="center"/>
            </w:pPr>
            <w:r w:rsidRPr="00C1069F">
              <w:t>2028.68</w:t>
            </w:r>
          </w:p>
        </w:tc>
        <w:tc>
          <w:tcPr>
            <w:tcW w:w="2131" w:type="dxa"/>
            <w:vAlign w:val="bottom"/>
          </w:tcPr>
          <w:p w:rsidR="00C1069F" w:rsidRPr="00C1069F" w:rsidRDefault="00C1069F" w:rsidP="00C1069F">
            <w:pPr>
              <w:pStyle w:val="NoSpacing"/>
              <w:jc w:val="center"/>
            </w:pPr>
            <w:r w:rsidRPr="00C1069F">
              <w:t>2.540868215</w:t>
            </w:r>
          </w:p>
        </w:tc>
      </w:tr>
      <w:tr w:rsidR="00C1069F" w:rsidRPr="00C1069F" w:rsidTr="00CF0D46">
        <w:tc>
          <w:tcPr>
            <w:tcW w:w="2093" w:type="dxa"/>
            <w:vAlign w:val="bottom"/>
          </w:tcPr>
          <w:p w:rsidR="00C1069F" w:rsidRPr="00C1069F" w:rsidRDefault="00C1069F" w:rsidP="00C1069F">
            <w:pPr>
              <w:pStyle w:val="NoSpacing"/>
              <w:jc w:val="center"/>
            </w:pPr>
            <w:r w:rsidRPr="00C1069F">
              <w:t>3</w:t>
            </w:r>
          </w:p>
        </w:tc>
        <w:tc>
          <w:tcPr>
            <w:tcW w:w="2126" w:type="dxa"/>
            <w:vAlign w:val="bottom"/>
          </w:tcPr>
          <w:p w:rsidR="00C1069F" w:rsidRPr="00C1069F" w:rsidRDefault="00C1069F" w:rsidP="00C1069F">
            <w:pPr>
              <w:pStyle w:val="NoSpacing"/>
              <w:jc w:val="center"/>
            </w:pPr>
            <w:r w:rsidRPr="00C1069F">
              <w:t>752.24</w:t>
            </w:r>
          </w:p>
        </w:tc>
        <w:tc>
          <w:tcPr>
            <w:tcW w:w="2172" w:type="dxa"/>
            <w:vAlign w:val="bottom"/>
          </w:tcPr>
          <w:p w:rsidR="00C1069F" w:rsidRPr="00C1069F" w:rsidRDefault="00C1069F" w:rsidP="00C1069F">
            <w:pPr>
              <w:pStyle w:val="NoSpacing"/>
              <w:jc w:val="center"/>
            </w:pPr>
            <w:r w:rsidRPr="00C1069F">
              <w:t>1912.68</w:t>
            </w:r>
          </w:p>
        </w:tc>
        <w:tc>
          <w:tcPr>
            <w:tcW w:w="2131" w:type="dxa"/>
            <w:vAlign w:val="bottom"/>
          </w:tcPr>
          <w:p w:rsidR="00C1069F" w:rsidRPr="00C1069F" w:rsidRDefault="00C1069F" w:rsidP="00C1069F">
            <w:pPr>
              <w:pStyle w:val="NoSpacing"/>
              <w:jc w:val="center"/>
            </w:pPr>
            <w:r w:rsidRPr="00C1069F">
              <w:t>2.542645964</w:t>
            </w:r>
          </w:p>
        </w:tc>
      </w:tr>
      <w:tr w:rsidR="00C1069F" w:rsidRPr="00C1069F" w:rsidTr="00CF0D46">
        <w:tc>
          <w:tcPr>
            <w:tcW w:w="2093" w:type="dxa"/>
            <w:vAlign w:val="bottom"/>
          </w:tcPr>
          <w:p w:rsidR="00C1069F" w:rsidRPr="00C1069F" w:rsidRDefault="00C1069F" w:rsidP="00C1069F">
            <w:pPr>
              <w:pStyle w:val="NoSpacing"/>
              <w:jc w:val="center"/>
            </w:pPr>
            <w:r w:rsidRPr="00C1069F">
              <w:t>4</w:t>
            </w:r>
          </w:p>
        </w:tc>
        <w:tc>
          <w:tcPr>
            <w:tcW w:w="2126" w:type="dxa"/>
            <w:vAlign w:val="bottom"/>
          </w:tcPr>
          <w:p w:rsidR="00C1069F" w:rsidRPr="00C1069F" w:rsidRDefault="00C1069F" w:rsidP="00C1069F">
            <w:pPr>
              <w:pStyle w:val="NoSpacing"/>
              <w:jc w:val="center"/>
            </w:pPr>
            <w:r w:rsidRPr="00C1069F">
              <w:t>732.9</w:t>
            </w:r>
          </w:p>
        </w:tc>
        <w:tc>
          <w:tcPr>
            <w:tcW w:w="2172" w:type="dxa"/>
            <w:vAlign w:val="bottom"/>
          </w:tcPr>
          <w:p w:rsidR="00C1069F" w:rsidRPr="00C1069F" w:rsidRDefault="00C1069F" w:rsidP="00C1069F">
            <w:pPr>
              <w:pStyle w:val="NoSpacing"/>
              <w:jc w:val="center"/>
            </w:pPr>
            <w:r w:rsidRPr="00C1069F">
              <w:t>1863.68</w:t>
            </w:r>
          </w:p>
        </w:tc>
        <w:tc>
          <w:tcPr>
            <w:tcW w:w="2131" w:type="dxa"/>
            <w:vAlign w:val="bottom"/>
          </w:tcPr>
          <w:p w:rsidR="00C1069F" w:rsidRPr="00C1069F" w:rsidRDefault="00C1069F" w:rsidP="00C1069F">
            <w:pPr>
              <w:pStyle w:val="NoSpacing"/>
              <w:jc w:val="center"/>
            </w:pPr>
            <w:r w:rsidRPr="00C1069F">
              <w:t>2.542884432</w:t>
            </w:r>
          </w:p>
        </w:tc>
      </w:tr>
    </w:tbl>
    <w:p w:rsidR="00C1069F" w:rsidRPr="00447BCD" w:rsidRDefault="00CF0D46" w:rsidP="00447BCD">
      <w:pPr>
        <w:jc w:val="center"/>
        <w:rPr>
          <w:szCs w:val="24"/>
          <w:lang w:val="en-SG"/>
        </w:rPr>
      </w:pPr>
      <w:r>
        <w:rPr>
          <w:szCs w:val="24"/>
          <w:lang w:val="en-SG"/>
        </w:rPr>
        <w:t>Table 1</w:t>
      </w:r>
    </w:p>
    <w:tbl>
      <w:tblPr>
        <w:tblStyle w:val="TableGrid"/>
        <w:tblW w:w="0" w:type="auto"/>
        <w:tblLook w:val="04A0" w:firstRow="1" w:lastRow="0" w:firstColumn="1" w:lastColumn="0" w:noHBand="0" w:noVBand="1"/>
      </w:tblPr>
      <w:tblGrid>
        <w:gridCol w:w="2130"/>
        <w:gridCol w:w="2130"/>
        <w:gridCol w:w="2131"/>
        <w:gridCol w:w="2131"/>
      </w:tblGrid>
      <w:tr w:rsidR="00C1069F" w:rsidTr="008670DB">
        <w:tc>
          <w:tcPr>
            <w:tcW w:w="8522" w:type="dxa"/>
            <w:gridSpan w:val="4"/>
          </w:tcPr>
          <w:p w:rsidR="00C1069F" w:rsidRPr="00C1069F" w:rsidRDefault="00C1069F" w:rsidP="00C1069F">
            <w:pPr>
              <w:jc w:val="center"/>
              <w:rPr>
                <w:color w:val="000000"/>
                <w:szCs w:val="24"/>
              </w:rPr>
            </w:pPr>
            <w:r w:rsidRPr="00C1069F">
              <w:rPr>
                <w:color w:val="000000"/>
                <w:szCs w:val="24"/>
              </w:rPr>
              <w:lastRenderedPageBreak/>
              <w:t>Genetic Approach  Normal Case</w:t>
            </w:r>
          </w:p>
        </w:tc>
      </w:tr>
      <w:tr w:rsidR="00C1069F" w:rsidTr="006A5C87">
        <w:tc>
          <w:tcPr>
            <w:tcW w:w="2130" w:type="dxa"/>
            <w:vAlign w:val="bottom"/>
          </w:tcPr>
          <w:p w:rsidR="00C1069F" w:rsidRPr="00C1069F" w:rsidRDefault="00C1069F">
            <w:pPr>
              <w:jc w:val="center"/>
              <w:rPr>
                <w:color w:val="000000"/>
                <w:szCs w:val="24"/>
              </w:rPr>
            </w:pPr>
            <w:r w:rsidRPr="00C1069F">
              <w:rPr>
                <w:color w:val="000000"/>
                <w:szCs w:val="24"/>
              </w:rPr>
              <w:t>Weight Set Number</w:t>
            </w:r>
          </w:p>
        </w:tc>
        <w:tc>
          <w:tcPr>
            <w:tcW w:w="2130" w:type="dxa"/>
            <w:vAlign w:val="bottom"/>
          </w:tcPr>
          <w:p w:rsidR="00C1069F" w:rsidRPr="00C1069F" w:rsidRDefault="00C1069F">
            <w:pPr>
              <w:jc w:val="center"/>
              <w:rPr>
                <w:color w:val="000000"/>
                <w:szCs w:val="24"/>
              </w:rPr>
            </w:pPr>
            <w:r w:rsidRPr="00C1069F">
              <w:rPr>
                <w:color w:val="000000"/>
                <w:szCs w:val="24"/>
              </w:rPr>
              <w:t>Average</w:t>
            </w:r>
            <w:r w:rsidR="00620EB2">
              <w:rPr>
                <w:color w:val="000000"/>
                <w:szCs w:val="24"/>
                <w:vertAlign w:val="superscript"/>
              </w:rPr>
              <w:t>3</w:t>
            </w:r>
            <w:r w:rsidRPr="00C1069F">
              <w:rPr>
                <w:color w:val="000000"/>
                <w:szCs w:val="24"/>
              </w:rPr>
              <w:t xml:space="preserve"> Row Cleared</w:t>
            </w:r>
          </w:p>
        </w:tc>
        <w:tc>
          <w:tcPr>
            <w:tcW w:w="2131" w:type="dxa"/>
            <w:vAlign w:val="bottom"/>
          </w:tcPr>
          <w:p w:rsidR="00C1069F" w:rsidRPr="00C1069F" w:rsidRDefault="00C1069F">
            <w:pPr>
              <w:jc w:val="center"/>
              <w:rPr>
                <w:color w:val="000000"/>
                <w:szCs w:val="24"/>
              </w:rPr>
            </w:pPr>
            <w:r w:rsidRPr="00C1069F">
              <w:rPr>
                <w:color w:val="000000"/>
                <w:szCs w:val="24"/>
              </w:rPr>
              <w:t>Average</w:t>
            </w:r>
            <w:r w:rsidR="00620EB2">
              <w:rPr>
                <w:color w:val="000000"/>
                <w:szCs w:val="24"/>
                <w:vertAlign w:val="superscript"/>
              </w:rPr>
              <w:t>3</w:t>
            </w:r>
            <w:r w:rsidRPr="00C1069F">
              <w:rPr>
                <w:color w:val="000000"/>
                <w:szCs w:val="24"/>
              </w:rPr>
              <w:t xml:space="preserve"> Piece Spawn</w:t>
            </w:r>
          </w:p>
        </w:tc>
        <w:tc>
          <w:tcPr>
            <w:tcW w:w="2131" w:type="dxa"/>
            <w:vAlign w:val="bottom"/>
          </w:tcPr>
          <w:p w:rsidR="00C1069F" w:rsidRPr="00CF0D46" w:rsidRDefault="00C1069F">
            <w:pPr>
              <w:jc w:val="center"/>
              <w:rPr>
                <w:color w:val="000000"/>
                <w:szCs w:val="24"/>
                <w:vertAlign w:val="superscript"/>
              </w:rPr>
            </w:pPr>
            <w:r w:rsidRPr="00C1069F">
              <w:rPr>
                <w:color w:val="000000"/>
                <w:szCs w:val="24"/>
              </w:rPr>
              <w:t>Average Ratio</w:t>
            </w:r>
            <w:r w:rsidR="00CF0D46">
              <w:rPr>
                <w:color w:val="000000"/>
                <w:szCs w:val="24"/>
                <w:vertAlign w:val="superscript"/>
              </w:rPr>
              <w:t>2</w:t>
            </w:r>
          </w:p>
        </w:tc>
      </w:tr>
      <w:tr w:rsidR="00C44879" w:rsidTr="006A5C87">
        <w:tc>
          <w:tcPr>
            <w:tcW w:w="2130" w:type="dxa"/>
            <w:vAlign w:val="bottom"/>
          </w:tcPr>
          <w:p w:rsidR="00C44879" w:rsidRPr="008A771D" w:rsidRDefault="00C44879" w:rsidP="008A771D">
            <w:pPr>
              <w:pStyle w:val="NoSpacing"/>
              <w:jc w:val="center"/>
            </w:pPr>
            <w:r w:rsidRPr="008A771D">
              <w:t>1</w:t>
            </w:r>
          </w:p>
        </w:tc>
        <w:tc>
          <w:tcPr>
            <w:tcW w:w="2130" w:type="dxa"/>
            <w:vAlign w:val="bottom"/>
          </w:tcPr>
          <w:p w:rsidR="00C44879" w:rsidRPr="008A771D" w:rsidRDefault="00C44879" w:rsidP="008A771D">
            <w:pPr>
              <w:pStyle w:val="NoSpacing"/>
              <w:jc w:val="center"/>
            </w:pPr>
            <w:r w:rsidRPr="008A771D">
              <w:t>487200</w:t>
            </w:r>
          </w:p>
        </w:tc>
        <w:tc>
          <w:tcPr>
            <w:tcW w:w="2131" w:type="dxa"/>
            <w:vAlign w:val="bottom"/>
          </w:tcPr>
          <w:p w:rsidR="00C44879" w:rsidRPr="008A771D" w:rsidRDefault="00C44879" w:rsidP="008A771D">
            <w:pPr>
              <w:pStyle w:val="NoSpacing"/>
              <w:jc w:val="center"/>
            </w:pPr>
            <w:r w:rsidRPr="008A771D">
              <w:t>1218030.7</w:t>
            </w:r>
          </w:p>
        </w:tc>
        <w:tc>
          <w:tcPr>
            <w:tcW w:w="2131" w:type="dxa"/>
            <w:vAlign w:val="bottom"/>
          </w:tcPr>
          <w:p w:rsidR="00C44879" w:rsidRDefault="00C44879" w:rsidP="00C44879">
            <w:pPr>
              <w:pStyle w:val="NoSpacing"/>
              <w:jc w:val="center"/>
            </w:pPr>
            <w:r>
              <w:t>2.500063013</w:t>
            </w:r>
          </w:p>
        </w:tc>
      </w:tr>
      <w:tr w:rsidR="00C44879" w:rsidTr="006A5C87">
        <w:tc>
          <w:tcPr>
            <w:tcW w:w="2130" w:type="dxa"/>
            <w:vAlign w:val="bottom"/>
          </w:tcPr>
          <w:p w:rsidR="00C44879" w:rsidRPr="008A771D" w:rsidRDefault="00C44879" w:rsidP="008A771D">
            <w:pPr>
              <w:pStyle w:val="NoSpacing"/>
              <w:jc w:val="center"/>
            </w:pPr>
            <w:r w:rsidRPr="008A771D">
              <w:t>2</w:t>
            </w:r>
          </w:p>
        </w:tc>
        <w:tc>
          <w:tcPr>
            <w:tcW w:w="2130" w:type="dxa"/>
            <w:vAlign w:val="bottom"/>
          </w:tcPr>
          <w:p w:rsidR="00C44879" w:rsidRPr="008A771D" w:rsidRDefault="00C44879" w:rsidP="008A771D">
            <w:pPr>
              <w:pStyle w:val="NoSpacing"/>
              <w:jc w:val="center"/>
            </w:pPr>
            <w:r w:rsidRPr="008A771D">
              <w:t>389329.7</w:t>
            </w:r>
          </w:p>
        </w:tc>
        <w:tc>
          <w:tcPr>
            <w:tcW w:w="2131" w:type="dxa"/>
            <w:vAlign w:val="bottom"/>
          </w:tcPr>
          <w:p w:rsidR="00C44879" w:rsidRPr="008A771D" w:rsidRDefault="00C44879" w:rsidP="008A771D">
            <w:pPr>
              <w:pStyle w:val="NoSpacing"/>
              <w:jc w:val="center"/>
            </w:pPr>
            <w:r w:rsidRPr="008A771D">
              <w:t>973356.3</w:t>
            </w:r>
          </w:p>
        </w:tc>
        <w:tc>
          <w:tcPr>
            <w:tcW w:w="2131" w:type="dxa"/>
            <w:vAlign w:val="bottom"/>
          </w:tcPr>
          <w:p w:rsidR="00C44879" w:rsidRDefault="00C44879" w:rsidP="00C44879">
            <w:pPr>
              <w:pStyle w:val="NoSpacing"/>
              <w:jc w:val="center"/>
            </w:pPr>
            <w:r>
              <w:t>2.500082321</w:t>
            </w:r>
          </w:p>
        </w:tc>
      </w:tr>
      <w:tr w:rsidR="00C44879" w:rsidTr="006A5C87">
        <w:tc>
          <w:tcPr>
            <w:tcW w:w="2130" w:type="dxa"/>
            <w:vAlign w:val="bottom"/>
          </w:tcPr>
          <w:p w:rsidR="00C44879" w:rsidRPr="008A771D" w:rsidRDefault="00C44879" w:rsidP="008A771D">
            <w:pPr>
              <w:pStyle w:val="NoSpacing"/>
              <w:jc w:val="center"/>
            </w:pPr>
            <w:r w:rsidRPr="008A771D">
              <w:t>4</w:t>
            </w:r>
          </w:p>
        </w:tc>
        <w:tc>
          <w:tcPr>
            <w:tcW w:w="2130" w:type="dxa"/>
            <w:vAlign w:val="bottom"/>
          </w:tcPr>
          <w:p w:rsidR="00C44879" w:rsidRPr="008A771D" w:rsidRDefault="00C44879" w:rsidP="008A771D">
            <w:pPr>
              <w:pStyle w:val="NoSpacing"/>
              <w:jc w:val="center"/>
            </w:pPr>
            <w:r w:rsidRPr="008A771D">
              <w:t>293160.2</w:t>
            </w:r>
          </w:p>
        </w:tc>
        <w:tc>
          <w:tcPr>
            <w:tcW w:w="2131" w:type="dxa"/>
            <w:vAlign w:val="bottom"/>
          </w:tcPr>
          <w:p w:rsidR="00C44879" w:rsidRPr="008A771D" w:rsidRDefault="00C44879" w:rsidP="008A771D">
            <w:pPr>
              <w:pStyle w:val="NoSpacing"/>
              <w:jc w:val="center"/>
            </w:pPr>
            <w:r w:rsidRPr="008A771D">
              <w:t>732931.5</w:t>
            </w:r>
          </w:p>
        </w:tc>
        <w:tc>
          <w:tcPr>
            <w:tcW w:w="2131" w:type="dxa"/>
            <w:vAlign w:val="bottom"/>
          </w:tcPr>
          <w:p w:rsidR="00C44879" w:rsidRDefault="00C44879" w:rsidP="00C44879">
            <w:pPr>
              <w:pStyle w:val="NoSpacing"/>
              <w:jc w:val="center"/>
            </w:pPr>
            <w:r>
              <w:t>2.500105744</w:t>
            </w:r>
          </w:p>
        </w:tc>
      </w:tr>
      <w:tr w:rsidR="00C44879" w:rsidTr="006A5C87">
        <w:tc>
          <w:tcPr>
            <w:tcW w:w="2130" w:type="dxa"/>
            <w:vAlign w:val="bottom"/>
          </w:tcPr>
          <w:p w:rsidR="00C44879" w:rsidRPr="008A771D" w:rsidRDefault="00C44879" w:rsidP="008A771D">
            <w:pPr>
              <w:pStyle w:val="NoSpacing"/>
              <w:jc w:val="center"/>
            </w:pPr>
            <w:r w:rsidRPr="008A771D">
              <w:t>3</w:t>
            </w:r>
          </w:p>
        </w:tc>
        <w:tc>
          <w:tcPr>
            <w:tcW w:w="2130" w:type="dxa"/>
            <w:vAlign w:val="bottom"/>
          </w:tcPr>
          <w:p w:rsidR="00C44879" w:rsidRPr="008A771D" w:rsidRDefault="00C44879" w:rsidP="008A771D">
            <w:pPr>
              <w:pStyle w:val="NoSpacing"/>
              <w:jc w:val="center"/>
            </w:pPr>
            <w:r w:rsidRPr="008A771D">
              <w:t>210670.6</w:t>
            </w:r>
          </w:p>
        </w:tc>
        <w:tc>
          <w:tcPr>
            <w:tcW w:w="2131" w:type="dxa"/>
            <w:vAlign w:val="bottom"/>
          </w:tcPr>
          <w:p w:rsidR="00C44879" w:rsidRPr="008A771D" w:rsidRDefault="00C44879" w:rsidP="008A771D">
            <w:pPr>
              <w:pStyle w:val="NoSpacing"/>
              <w:jc w:val="center"/>
            </w:pPr>
            <w:r w:rsidRPr="008A771D">
              <w:t>526708.5</w:t>
            </w:r>
          </w:p>
        </w:tc>
        <w:tc>
          <w:tcPr>
            <w:tcW w:w="2131" w:type="dxa"/>
            <w:vAlign w:val="bottom"/>
          </w:tcPr>
          <w:p w:rsidR="00C44879" w:rsidRDefault="00C44879" w:rsidP="00C44879">
            <w:pPr>
              <w:pStyle w:val="NoSpacing"/>
              <w:jc w:val="center"/>
            </w:pPr>
            <w:r>
              <w:t>2.500151896</w:t>
            </w:r>
          </w:p>
        </w:tc>
      </w:tr>
    </w:tbl>
    <w:p w:rsidR="00C1069F" w:rsidRDefault="00CF0D46" w:rsidP="002B2222">
      <w:pPr>
        <w:jc w:val="center"/>
        <w:rPr>
          <w:szCs w:val="24"/>
        </w:rPr>
      </w:pPr>
      <w:r>
        <w:rPr>
          <w:szCs w:val="24"/>
        </w:rPr>
        <w:t>Table 2</w:t>
      </w:r>
    </w:p>
    <w:tbl>
      <w:tblPr>
        <w:tblStyle w:val="TableGrid"/>
        <w:tblW w:w="0" w:type="auto"/>
        <w:tblLook w:val="04A0" w:firstRow="1" w:lastRow="0" w:firstColumn="1" w:lastColumn="0" w:noHBand="0" w:noVBand="1"/>
      </w:tblPr>
      <w:tblGrid>
        <w:gridCol w:w="2093"/>
        <w:gridCol w:w="2167"/>
        <w:gridCol w:w="2131"/>
        <w:gridCol w:w="2131"/>
      </w:tblGrid>
      <w:tr w:rsidR="00F41910" w:rsidTr="00114075">
        <w:tc>
          <w:tcPr>
            <w:tcW w:w="8522" w:type="dxa"/>
            <w:gridSpan w:val="4"/>
          </w:tcPr>
          <w:p w:rsidR="00F41910" w:rsidRDefault="00F41910" w:rsidP="00E724B0">
            <w:pPr>
              <w:pStyle w:val="NoSpacing"/>
              <w:jc w:val="center"/>
            </w:pPr>
            <w:r w:rsidRPr="00F41910">
              <w:t>Harmony Approach  Hard Case</w:t>
            </w:r>
          </w:p>
        </w:tc>
      </w:tr>
      <w:tr w:rsidR="00F41910" w:rsidTr="0062101F">
        <w:tc>
          <w:tcPr>
            <w:tcW w:w="2093" w:type="dxa"/>
            <w:vAlign w:val="bottom"/>
          </w:tcPr>
          <w:p w:rsidR="00F41910" w:rsidRDefault="00F41910" w:rsidP="00C44879">
            <w:pPr>
              <w:pStyle w:val="NoSpacing"/>
              <w:jc w:val="center"/>
            </w:pPr>
            <w:r>
              <w:t>Weight Set Number</w:t>
            </w:r>
          </w:p>
        </w:tc>
        <w:tc>
          <w:tcPr>
            <w:tcW w:w="2167" w:type="dxa"/>
            <w:vAlign w:val="bottom"/>
          </w:tcPr>
          <w:p w:rsidR="00F41910" w:rsidRDefault="00F41910" w:rsidP="00C44879">
            <w:pPr>
              <w:pStyle w:val="NoSpacing"/>
              <w:jc w:val="center"/>
            </w:pPr>
            <w:r>
              <w:t>Average</w:t>
            </w:r>
            <w:r w:rsidR="00596531">
              <w:rPr>
                <w:rStyle w:val="FootnoteReference"/>
                <w:rFonts w:ascii="Calibri" w:hAnsi="Calibri" w:cs="Calibri"/>
                <w:color w:val="000000"/>
                <w:sz w:val="22"/>
              </w:rPr>
              <w:footnoteReference w:id="1"/>
            </w:r>
            <w:r>
              <w:t xml:space="preserve"> Row</w:t>
            </w:r>
            <w:r w:rsidR="0062101F">
              <w:rPr>
                <w:vertAlign w:val="superscript"/>
              </w:rPr>
              <w:t xml:space="preserve"> </w:t>
            </w:r>
            <w:r>
              <w:t>Cleared</w:t>
            </w:r>
          </w:p>
        </w:tc>
        <w:tc>
          <w:tcPr>
            <w:tcW w:w="2131" w:type="dxa"/>
            <w:vAlign w:val="bottom"/>
          </w:tcPr>
          <w:p w:rsidR="00F41910" w:rsidRDefault="00F41910" w:rsidP="00C44879">
            <w:pPr>
              <w:pStyle w:val="NoSpacing"/>
              <w:jc w:val="center"/>
            </w:pPr>
            <w:r>
              <w:t>Average</w:t>
            </w:r>
            <w:r w:rsidR="00620EB2">
              <w:rPr>
                <w:vertAlign w:val="superscript"/>
              </w:rPr>
              <w:t>1</w:t>
            </w:r>
            <w:r>
              <w:t xml:space="preserve"> Piece Spawn</w:t>
            </w:r>
          </w:p>
        </w:tc>
        <w:tc>
          <w:tcPr>
            <w:tcW w:w="2131" w:type="dxa"/>
            <w:vAlign w:val="bottom"/>
          </w:tcPr>
          <w:p w:rsidR="00F41910" w:rsidRDefault="00F41910" w:rsidP="00C44879">
            <w:pPr>
              <w:pStyle w:val="NoSpacing"/>
              <w:jc w:val="center"/>
            </w:pPr>
            <w:r>
              <w:t>Average</w:t>
            </w:r>
            <w:r w:rsidR="00596531">
              <w:rPr>
                <w:rStyle w:val="FootnoteReference"/>
                <w:rFonts w:ascii="Calibri" w:hAnsi="Calibri" w:cs="Calibri"/>
                <w:color w:val="000000"/>
                <w:sz w:val="22"/>
              </w:rPr>
              <w:footnoteReference w:id="2"/>
            </w:r>
            <w:r>
              <w:t xml:space="preserve"> Ratio</w:t>
            </w:r>
          </w:p>
        </w:tc>
      </w:tr>
      <w:tr w:rsidR="000F01A3" w:rsidTr="0062101F">
        <w:tc>
          <w:tcPr>
            <w:tcW w:w="2093" w:type="dxa"/>
            <w:vAlign w:val="bottom"/>
          </w:tcPr>
          <w:p w:rsidR="000F01A3" w:rsidRDefault="000F01A3" w:rsidP="000F01A3">
            <w:pPr>
              <w:pStyle w:val="NoSpacing"/>
              <w:jc w:val="center"/>
            </w:pPr>
            <w:r>
              <w:t>1</w:t>
            </w:r>
          </w:p>
        </w:tc>
        <w:tc>
          <w:tcPr>
            <w:tcW w:w="2167" w:type="dxa"/>
            <w:vAlign w:val="bottom"/>
          </w:tcPr>
          <w:p w:rsidR="000F01A3" w:rsidRDefault="000F01A3" w:rsidP="000F01A3">
            <w:pPr>
              <w:pStyle w:val="NoSpacing"/>
              <w:jc w:val="center"/>
            </w:pPr>
            <w:r>
              <w:t>962.38</w:t>
            </w:r>
          </w:p>
        </w:tc>
        <w:tc>
          <w:tcPr>
            <w:tcW w:w="2131" w:type="dxa"/>
            <w:vAlign w:val="bottom"/>
          </w:tcPr>
          <w:p w:rsidR="000F01A3" w:rsidRDefault="000F01A3" w:rsidP="000F01A3">
            <w:pPr>
              <w:pStyle w:val="NoSpacing"/>
              <w:jc w:val="center"/>
            </w:pPr>
            <w:r>
              <w:t>2439.32</w:t>
            </w:r>
          </w:p>
        </w:tc>
        <w:tc>
          <w:tcPr>
            <w:tcW w:w="2131" w:type="dxa"/>
            <w:vAlign w:val="bottom"/>
          </w:tcPr>
          <w:p w:rsidR="000F01A3" w:rsidRDefault="000F01A3" w:rsidP="000F01A3">
            <w:pPr>
              <w:pStyle w:val="NoSpacing"/>
              <w:jc w:val="center"/>
            </w:pPr>
            <w:r>
              <w:t>2.534674453</w:t>
            </w:r>
          </w:p>
        </w:tc>
      </w:tr>
      <w:tr w:rsidR="000F01A3" w:rsidTr="0062101F">
        <w:tc>
          <w:tcPr>
            <w:tcW w:w="2093" w:type="dxa"/>
            <w:vAlign w:val="bottom"/>
          </w:tcPr>
          <w:p w:rsidR="000F01A3" w:rsidRDefault="000F01A3" w:rsidP="000F01A3">
            <w:pPr>
              <w:pStyle w:val="NoSpacing"/>
              <w:jc w:val="center"/>
            </w:pPr>
            <w:r>
              <w:t>2</w:t>
            </w:r>
          </w:p>
        </w:tc>
        <w:tc>
          <w:tcPr>
            <w:tcW w:w="2167" w:type="dxa"/>
            <w:vAlign w:val="bottom"/>
          </w:tcPr>
          <w:p w:rsidR="000F01A3" w:rsidRDefault="000F01A3" w:rsidP="000F01A3">
            <w:pPr>
              <w:pStyle w:val="NoSpacing"/>
              <w:jc w:val="center"/>
            </w:pPr>
            <w:r>
              <w:t>820.4</w:t>
            </w:r>
          </w:p>
        </w:tc>
        <w:tc>
          <w:tcPr>
            <w:tcW w:w="2131" w:type="dxa"/>
            <w:vAlign w:val="bottom"/>
          </w:tcPr>
          <w:p w:rsidR="000F01A3" w:rsidRDefault="000F01A3" w:rsidP="000F01A3">
            <w:pPr>
              <w:pStyle w:val="NoSpacing"/>
              <w:jc w:val="center"/>
            </w:pPr>
            <w:r>
              <w:t>2083.26</w:t>
            </w:r>
          </w:p>
        </w:tc>
        <w:tc>
          <w:tcPr>
            <w:tcW w:w="2131" w:type="dxa"/>
            <w:vAlign w:val="bottom"/>
          </w:tcPr>
          <w:p w:rsidR="000F01A3" w:rsidRDefault="000F01A3" w:rsidP="000F01A3">
            <w:pPr>
              <w:pStyle w:val="NoSpacing"/>
              <w:jc w:val="center"/>
            </w:pPr>
            <w:r>
              <w:t>2.539322282</w:t>
            </w:r>
          </w:p>
        </w:tc>
      </w:tr>
      <w:tr w:rsidR="000F01A3" w:rsidTr="0062101F">
        <w:tc>
          <w:tcPr>
            <w:tcW w:w="2093" w:type="dxa"/>
            <w:vAlign w:val="bottom"/>
          </w:tcPr>
          <w:p w:rsidR="000F01A3" w:rsidRDefault="000F01A3" w:rsidP="000F01A3">
            <w:pPr>
              <w:pStyle w:val="NoSpacing"/>
              <w:jc w:val="center"/>
            </w:pPr>
            <w:r>
              <w:t>3</w:t>
            </w:r>
          </w:p>
        </w:tc>
        <w:tc>
          <w:tcPr>
            <w:tcW w:w="2167" w:type="dxa"/>
            <w:vAlign w:val="bottom"/>
          </w:tcPr>
          <w:p w:rsidR="000F01A3" w:rsidRDefault="000F01A3" w:rsidP="000F01A3">
            <w:pPr>
              <w:pStyle w:val="NoSpacing"/>
              <w:jc w:val="center"/>
            </w:pPr>
            <w:r>
              <w:t>824.64</w:t>
            </w:r>
          </w:p>
        </w:tc>
        <w:tc>
          <w:tcPr>
            <w:tcW w:w="2131" w:type="dxa"/>
            <w:vAlign w:val="bottom"/>
          </w:tcPr>
          <w:p w:rsidR="000F01A3" w:rsidRDefault="000F01A3" w:rsidP="000F01A3">
            <w:pPr>
              <w:pStyle w:val="NoSpacing"/>
              <w:jc w:val="center"/>
            </w:pPr>
            <w:r>
              <w:t>2094.44</w:t>
            </w:r>
          </w:p>
        </w:tc>
        <w:tc>
          <w:tcPr>
            <w:tcW w:w="2131" w:type="dxa"/>
            <w:vAlign w:val="bottom"/>
          </w:tcPr>
          <w:p w:rsidR="000F01A3" w:rsidRDefault="000F01A3" w:rsidP="000F01A3">
            <w:pPr>
              <w:pStyle w:val="NoSpacing"/>
              <w:jc w:val="center"/>
            </w:pPr>
            <w:r>
              <w:t>2.539823438</w:t>
            </w:r>
          </w:p>
        </w:tc>
      </w:tr>
      <w:tr w:rsidR="000F01A3" w:rsidTr="0062101F">
        <w:tc>
          <w:tcPr>
            <w:tcW w:w="2093" w:type="dxa"/>
            <w:vAlign w:val="bottom"/>
          </w:tcPr>
          <w:p w:rsidR="000F01A3" w:rsidRDefault="000F01A3" w:rsidP="000F01A3">
            <w:pPr>
              <w:pStyle w:val="NoSpacing"/>
              <w:jc w:val="center"/>
            </w:pPr>
            <w:r>
              <w:t>4</w:t>
            </w:r>
          </w:p>
        </w:tc>
        <w:tc>
          <w:tcPr>
            <w:tcW w:w="2167" w:type="dxa"/>
            <w:vAlign w:val="bottom"/>
          </w:tcPr>
          <w:p w:rsidR="000F01A3" w:rsidRDefault="000F01A3" w:rsidP="000F01A3">
            <w:pPr>
              <w:pStyle w:val="NoSpacing"/>
              <w:jc w:val="center"/>
            </w:pPr>
            <w:r>
              <w:t>788.28</w:t>
            </w:r>
          </w:p>
        </w:tc>
        <w:tc>
          <w:tcPr>
            <w:tcW w:w="2131" w:type="dxa"/>
            <w:vAlign w:val="bottom"/>
          </w:tcPr>
          <w:p w:rsidR="000F01A3" w:rsidRDefault="000F01A3" w:rsidP="000F01A3">
            <w:pPr>
              <w:pStyle w:val="NoSpacing"/>
              <w:jc w:val="center"/>
            </w:pPr>
            <w:r>
              <w:t>2002.64</w:t>
            </w:r>
          </w:p>
        </w:tc>
        <w:tc>
          <w:tcPr>
            <w:tcW w:w="2131" w:type="dxa"/>
            <w:vAlign w:val="bottom"/>
          </w:tcPr>
          <w:p w:rsidR="000F01A3" w:rsidRDefault="000F01A3" w:rsidP="000F01A3">
            <w:pPr>
              <w:pStyle w:val="NoSpacing"/>
              <w:jc w:val="center"/>
            </w:pPr>
            <w:r>
              <w:t>2.540518597</w:t>
            </w:r>
          </w:p>
        </w:tc>
      </w:tr>
      <w:tr w:rsidR="000F01A3" w:rsidTr="0062101F">
        <w:tc>
          <w:tcPr>
            <w:tcW w:w="2093" w:type="dxa"/>
            <w:vAlign w:val="bottom"/>
          </w:tcPr>
          <w:p w:rsidR="000F01A3" w:rsidRDefault="000F01A3" w:rsidP="000F01A3">
            <w:pPr>
              <w:pStyle w:val="NoSpacing"/>
              <w:jc w:val="center"/>
            </w:pPr>
            <w:r>
              <w:t>5</w:t>
            </w:r>
          </w:p>
        </w:tc>
        <w:tc>
          <w:tcPr>
            <w:tcW w:w="2167" w:type="dxa"/>
            <w:vAlign w:val="bottom"/>
          </w:tcPr>
          <w:p w:rsidR="000F01A3" w:rsidRDefault="000F01A3" w:rsidP="000F01A3">
            <w:pPr>
              <w:pStyle w:val="NoSpacing"/>
              <w:jc w:val="center"/>
            </w:pPr>
            <w:r>
              <w:t>772.68</w:t>
            </w:r>
          </w:p>
        </w:tc>
        <w:tc>
          <w:tcPr>
            <w:tcW w:w="2131" w:type="dxa"/>
            <w:vAlign w:val="bottom"/>
          </w:tcPr>
          <w:p w:rsidR="000F01A3" w:rsidRDefault="000F01A3" w:rsidP="000F01A3">
            <w:pPr>
              <w:pStyle w:val="NoSpacing"/>
              <w:jc w:val="center"/>
            </w:pPr>
            <w:r>
              <w:t>1964.4</w:t>
            </w:r>
          </w:p>
        </w:tc>
        <w:tc>
          <w:tcPr>
            <w:tcW w:w="2131" w:type="dxa"/>
            <w:vAlign w:val="bottom"/>
          </w:tcPr>
          <w:p w:rsidR="000F01A3" w:rsidRDefault="000F01A3" w:rsidP="000F01A3">
            <w:pPr>
              <w:pStyle w:val="NoSpacing"/>
              <w:jc w:val="center"/>
            </w:pPr>
            <w:r>
              <w:t>2.542320236</w:t>
            </w:r>
          </w:p>
        </w:tc>
      </w:tr>
    </w:tbl>
    <w:p w:rsidR="00C1069F" w:rsidRDefault="00F41910" w:rsidP="000F01A3">
      <w:pPr>
        <w:pStyle w:val="NoSpacing"/>
        <w:jc w:val="center"/>
      </w:pPr>
      <w:r>
        <w:t>Table 3</w:t>
      </w:r>
    </w:p>
    <w:p w:rsidR="00192989" w:rsidRDefault="00192989" w:rsidP="000F01A3">
      <w:pPr>
        <w:pStyle w:val="NoSpacing"/>
        <w:jc w:val="center"/>
      </w:pPr>
    </w:p>
    <w:tbl>
      <w:tblPr>
        <w:tblStyle w:val="TableGrid"/>
        <w:tblW w:w="0" w:type="auto"/>
        <w:tblLook w:val="04A0" w:firstRow="1" w:lastRow="0" w:firstColumn="1" w:lastColumn="0" w:noHBand="0" w:noVBand="1"/>
      </w:tblPr>
      <w:tblGrid>
        <w:gridCol w:w="2130"/>
        <w:gridCol w:w="2130"/>
        <w:gridCol w:w="2131"/>
        <w:gridCol w:w="2131"/>
      </w:tblGrid>
      <w:tr w:rsidR="00F41910" w:rsidTr="00283855">
        <w:tc>
          <w:tcPr>
            <w:tcW w:w="8522" w:type="dxa"/>
            <w:gridSpan w:val="4"/>
          </w:tcPr>
          <w:p w:rsidR="00F41910" w:rsidRDefault="00F41910" w:rsidP="000F01A3">
            <w:pPr>
              <w:pStyle w:val="NoSpacing"/>
              <w:jc w:val="center"/>
            </w:pPr>
            <w:r w:rsidRPr="00F41910">
              <w:t>Harmony Approach Normal Case</w:t>
            </w:r>
          </w:p>
        </w:tc>
      </w:tr>
      <w:tr w:rsidR="00F41910" w:rsidTr="0031356B">
        <w:tc>
          <w:tcPr>
            <w:tcW w:w="2130" w:type="dxa"/>
            <w:vAlign w:val="bottom"/>
          </w:tcPr>
          <w:p w:rsidR="00F41910" w:rsidRDefault="00F41910" w:rsidP="000F01A3">
            <w:pPr>
              <w:pStyle w:val="NoSpacing"/>
              <w:jc w:val="center"/>
            </w:pPr>
            <w:r>
              <w:t>Weight Set Number</w:t>
            </w:r>
          </w:p>
        </w:tc>
        <w:tc>
          <w:tcPr>
            <w:tcW w:w="2130" w:type="dxa"/>
            <w:vAlign w:val="bottom"/>
          </w:tcPr>
          <w:p w:rsidR="00F41910" w:rsidRDefault="00F41910" w:rsidP="000F01A3">
            <w:pPr>
              <w:pStyle w:val="NoSpacing"/>
              <w:jc w:val="center"/>
            </w:pPr>
            <w:r>
              <w:t>Average</w:t>
            </w:r>
            <w:r w:rsidR="00AC0AAF">
              <w:rPr>
                <w:rStyle w:val="FootnoteReference"/>
                <w:rFonts w:ascii="Calibri" w:hAnsi="Calibri" w:cs="Calibri"/>
                <w:color w:val="000000"/>
                <w:sz w:val="22"/>
              </w:rPr>
              <w:footnoteReference w:id="3"/>
            </w:r>
            <w:r>
              <w:t xml:space="preserve"> Row Cleared</w:t>
            </w:r>
          </w:p>
        </w:tc>
        <w:tc>
          <w:tcPr>
            <w:tcW w:w="2131" w:type="dxa"/>
            <w:vAlign w:val="bottom"/>
          </w:tcPr>
          <w:p w:rsidR="00F41910" w:rsidRDefault="00F41910" w:rsidP="000F01A3">
            <w:pPr>
              <w:pStyle w:val="NoSpacing"/>
              <w:jc w:val="center"/>
            </w:pPr>
            <w:r>
              <w:t>Average</w:t>
            </w:r>
            <w:r w:rsidR="00620EB2">
              <w:rPr>
                <w:vertAlign w:val="superscript"/>
              </w:rPr>
              <w:t>3</w:t>
            </w:r>
            <w:r>
              <w:t xml:space="preserve"> Piece Spawn</w:t>
            </w:r>
          </w:p>
        </w:tc>
        <w:tc>
          <w:tcPr>
            <w:tcW w:w="2131" w:type="dxa"/>
            <w:vAlign w:val="bottom"/>
          </w:tcPr>
          <w:p w:rsidR="00F41910" w:rsidRDefault="00F41910" w:rsidP="000F01A3">
            <w:pPr>
              <w:pStyle w:val="NoSpacing"/>
              <w:jc w:val="center"/>
            </w:pPr>
            <w:r>
              <w:t>Average</w:t>
            </w:r>
            <w:r w:rsidR="0062101F">
              <w:rPr>
                <w:vertAlign w:val="superscript"/>
              </w:rPr>
              <w:t>2</w:t>
            </w:r>
            <w:r>
              <w:t xml:space="preserve"> Ratio</w:t>
            </w:r>
          </w:p>
        </w:tc>
      </w:tr>
      <w:tr w:rsidR="000F01A3" w:rsidTr="0031356B">
        <w:tc>
          <w:tcPr>
            <w:tcW w:w="2130" w:type="dxa"/>
            <w:vAlign w:val="bottom"/>
          </w:tcPr>
          <w:p w:rsidR="000F01A3" w:rsidRDefault="000F01A3" w:rsidP="000F01A3">
            <w:pPr>
              <w:pStyle w:val="NoSpacing"/>
              <w:jc w:val="center"/>
            </w:pPr>
            <w:r>
              <w:t>4</w:t>
            </w:r>
          </w:p>
        </w:tc>
        <w:tc>
          <w:tcPr>
            <w:tcW w:w="2130" w:type="dxa"/>
            <w:vAlign w:val="bottom"/>
          </w:tcPr>
          <w:p w:rsidR="000F01A3" w:rsidRDefault="000F01A3" w:rsidP="000F01A3">
            <w:pPr>
              <w:pStyle w:val="NoSpacing"/>
              <w:jc w:val="center"/>
            </w:pPr>
            <w:r>
              <w:t>651838</w:t>
            </w:r>
          </w:p>
        </w:tc>
        <w:tc>
          <w:tcPr>
            <w:tcW w:w="2131" w:type="dxa"/>
            <w:vAlign w:val="bottom"/>
          </w:tcPr>
          <w:p w:rsidR="000F01A3" w:rsidRDefault="000F01A3" w:rsidP="000F01A3">
            <w:pPr>
              <w:pStyle w:val="NoSpacing"/>
              <w:jc w:val="center"/>
            </w:pPr>
            <w:r>
              <w:t>1629629</w:t>
            </w:r>
          </w:p>
        </w:tc>
        <w:tc>
          <w:tcPr>
            <w:tcW w:w="2131" w:type="dxa"/>
            <w:vAlign w:val="bottom"/>
          </w:tcPr>
          <w:p w:rsidR="000F01A3" w:rsidRDefault="000F01A3" w:rsidP="000F01A3">
            <w:pPr>
              <w:pStyle w:val="NoSpacing"/>
              <w:jc w:val="center"/>
            </w:pPr>
            <w:r>
              <w:t>2.500052160</w:t>
            </w:r>
          </w:p>
        </w:tc>
      </w:tr>
      <w:tr w:rsidR="000F01A3" w:rsidTr="0031356B">
        <w:tc>
          <w:tcPr>
            <w:tcW w:w="2130" w:type="dxa"/>
            <w:vAlign w:val="bottom"/>
          </w:tcPr>
          <w:p w:rsidR="000F01A3" w:rsidRDefault="000F01A3" w:rsidP="000F01A3">
            <w:pPr>
              <w:pStyle w:val="NoSpacing"/>
              <w:jc w:val="center"/>
            </w:pPr>
            <w:r>
              <w:t>3</w:t>
            </w:r>
          </w:p>
        </w:tc>
        <w:tc>
          <w:tcPr>
            <w:tcW w:w="2130" w:type="dxa"/>
            <w:vAlign w:val="bottom"/>
          </w:tcPr>
          <w:p w:rsidR="000F01A3" w:rsidRDefault="000F01A3" w:rsidP="000F01A3">
            <w:pPr>
              <w:pStyle w:val="NoSpacing"/>
              <w:jc w:val="center"/>
            </w:pPr>
            <w:r>
              <w:t>532657</w:t>
            </w:r>
          </w:p>
        </w:tc>
        <w:tc>
          <w:tcPr>
            <w:tcW w:w="2131" w:type="dxa"/>
            <w:vAlign w:val="bottom"/>
          </w:tcPr>
          <w:p w:rsidR="000F01A3" w:rsidRDefault="000F01A3" w:rsidP="000F01A3">
            <w:pPr>
              <w:pStyle w:val="NoSpacing"/>
              <w:jc w:val="center"/>
            </w:pPr>
            <w:r>
              <w:t>1331674</w:t>
            </w:r>
          </w:p>
        </w:tc>
        <w:tc>
          <w:tcPr>
            <w:tcW w:w="2131" w:type="dxa"/>
            <w:vAlign w:val="bottom"/>
          </w:tcPr>
          <w:p w:rsidR="000F01A3" w:rsidRDefault="000F01A3" w:rsidP="000F01A3">
            <w:pPr>
              <w:pStyle w:val="NoSpacing"/>
              <w:jc w:val="center"/>
            </w:pPr>
            <w:r>
              <w:t>2.500059137</w:t>
            </w:r>
          </w:p>
        </w:tc>
      </w:tr>
      <w:tr w:rsidR="000F01A3" w:rsidTr="0031356B">
        <w:tc>
          <w:tcPr>
            <w:tcW w:w="2130" w:type="dxa"/>
            <w:vAlign w:val="bottom"/>
          </w:tcPr>
          <w:p w:rsidR="000F01A3" w:rsidRDefault="000F01A3" w:rsidP="000F01A3">
            <w:pPr>
              <w:pStyle w:val="NoSpacing"/>
              <w:jc w:val="center"/>
            </w:pPr>
            <w:r>
              <w:t>2</w:t>
            </w:r>
          </w:p>
        </w:tc>
        <w:tc>
          <w:tcPr>
            <w:tcW w:w="2130" w:type="dxa"/>
            <w:vAlign w:val="bottom"/>
          </w:tcPr>
          <w:p w:rsidR="000F01A3" w:rsidRDefault="000F01A3" w:rsidP="000F01A3">
            <w:pPr>
              <w:pStyle w:val="NoSpacing"/>
              <w:jc w:val="center"/>
            </w:pPr>
            <w:r>
              <w:t>518466</w:t>
            </w:r>
          </w:p>
        </w:tc>
        <w:tc>
          <w:tcPr>
            <w:tcW w:w="2131" w:type="dxa"/>
            <w:vAlign w:val="bottom"/>
          </w:tcPr>
          <w:p w:rsidR="000F01A3" w:rsidRDefault="000F01A3" w:rsidP="000F01A3">
            <w:pPr>
              <w:pStyle w:val="NoSpacing"/>
              <w:jc w:val="center"/>
            </w:pPr>
            <w:r>
              <w:t>1296196</w:t>
            </w:r>
          </w:p>
        </w:tc>
        <w:tc>
          <w:tcPr>
            <w:tcW w:w="2131" w:type="dxa"/>
            <w:vAlign w:val="bottom"/>
          </w:tcPr>
          <w:p w:rsidR="000F01A3" w:rsidRDefault="000F01A3" w:rsidP="000F01A3">
            <w:pPr>
              <w:pStyle w:val="NoSpacing"/>
              <w:jc w:val="center"/>
            </w:pPr>
            <w:r>
              <w:t>2.500059792</w:t>
            </w:r>
          </w:p>
        </w:tc>
      </w:tr>
      <w:tr w:rsidR="000F01A3" w:rsidTr="0031356B">
        <w:tc>
          <w:tcPr>
            <w:tcW w:w="2130" w:type="dxa"/>
            <w:vAlign w:val="bottom"/>
          </w:tcPr>
          <w:p w:rsidR="000F01A3" w:rsidRDefault="000F01A3" w:rsidP="000F01A3">
            <w:pPr>
              <w:pStyle w:val="NoSpacing"/>
              <w:jc w:val="center"/>
            </w:pPr>
            <w:r>
              <w:t>1</w:t>
            </w:r>
          </w:p>
        </w:tc>
        <w:tc>
          <w:tcPr>
            <w:tcW w:w="2130" w:type="dxa"/>
            <w:vAlign w:val="bottom"/>
          </w:tcPr>
          <w:p w:rsidR="000F01A3" w:rsidRDefault="000F01A3" w:rsidP="000F01A3">
            <w:pPr>
              <w:pStyle w:val="NoSpacing"/>
              <w:jc w:val="center"/>
            </w:pPr>
            <w:r>
              <w:t>471700</w:t>
            </w:r>
          </w:p>
        </w:tc>
        <w:tc>
          <w:tcPr>
            <w:tcW w:w="2131" w:type="dxa"/>
            <w:vAlign w:val="bottom"/>
          </w:tcPr>
          <w:p w:rsidR="000F01A3" w:rsidRDefault="000F01A3" w:rsidP="000F01A3">
            <w:pPr>
              <w:pStyle w:val="NoSpacing"/>
              <w:jc w:val="center"/>
            </w:pPr>
            <w:r>
              <w:t>1179282</w:t>
            </w:r>
          </w:p>
        </w:tc>
        <w:tc>
          <w:tcPr>
            <w:tcW w:w="2131" w:type="dxa"/>
            <w:vAlign w:val="bottom"/>
          </w:tcPr>
          <w:p w:rsidR="000F01A3" w:rsidRDefault="000F01A3" w:rsidP="000F01A3">
            <w:pPr>
              <w:pStyle w:val="NoSpacing"/>
              <w:jc w:val="center"/>
            </w:pPr>
            <w:r>
              <w:t>2.500067840</w:t>
            </w:r>
          </w:p>
        </w:tc>
      </w:tr>
      <w:tr w:rsidR="000F01A3" w:rsidTr="0031356B">
        <w:tc>
          <w:tcPr>
            <w:tcW w:w="2130" w:type="dxa"/>
            <w:vAlign w:val="bottom"/>
          </w:tcPr>
          <w:p w:rsidR="000F01A3" w:rsidRDefault="000F01A3" w:rsidP="000F01A3">
            <w:pPr>
              <w:pStyle w:val="NoSpacing"/>
              <w:jc w:val="center"/>
            </w:pPr>
            <w:r>
              <w:t>5</w:t>
            </w:r>
          </w:p>
        </w:tc>
        <w:tc>
          <w:tcPr>
            <w:tcW w:w="2130" w:type="dxa"/>
            <w:vAlign w:val="bottom"/>
          </w:tcPr>
          <w:p w:rsidR="000F01A3" w:rsidRDefault="000F01A3" w:rsidP="000F01A3">
            <w:pPr>
              <w:pStyle w:val="NoSpacing"/>
              <w:jc w:val="center"/>
            </w:pPr>
            <w:r>
              <w:t>366425</w:t>
            </w:r>
          </w:p>
        </w:tc>
        <w:tc>
          <w:tcPr>
            <w:tcW w:w="2131" w:type="dxa"/>
            <w:vAlign w:val="bottom"/>
          </w:tcPr>
          <w:p w:rsidR="000F01A3" w:rsidRDefault="000F01A3" w:rsidP="000F01A3">
            <w:pPr>
              <w:pStyle w:val="NoSpacing"/>
              <w:jc w:val="center"/>
            </w:pPr>
            <w:r>
              <w:t>916096</w:t>
            </w:r>
          </w:p>
        </w:tc>
        <w:tc>
          <w:tcPr>
            <w:tcW w:w="2131" w:type="dxa"/>
            <w:vAlign w:val="bottom"/>
          </w:tcPr>
          <w:p w:rsidR="000F01A3" w:rsidRDefault="000F01A3" w:rsidP="000F01A3">
            <w:pPr>
              <w:pStyle w:val="NoSpacing"/>
              <w:jc w:val="center"/>
            </w:pPr>
            <w:r>
              <w:t>2.500091424</w:t>
            </w:r>
          </w:p>
        </w:tc>
      </w:tr>
    </w:tbl>
    <w:p w:rsidR="00F41910" w:rsidRDefault="00F41910" w:rsidP="00F41910">
      <w:pPr>
        <w:jc w:val="center"/>
        <w:rPr>
          <w:szCs w:val="24"/>
        </w:rPr>
      </w:pPr>
      <w:r>
        <w:rPr>
          <w:szCs w:val="24"/>
        </w:rPr>
        <w:t>Table 4</w:t>
      </w:r>
    </w:p>
    <w:p w:rsidR="00F41910" w:rsidRPr="00596531" w:rsidRDefault="00C44879" w:rsidP="00C44879">
      <w:pPr>
        <w:pStyle w:val="NoSpacing"/>
        <w:rPr>
          <w:szCs w:val="24"/>
        </w:rPr>
      </w:pPr>
      <w:r>
        <w:rPr>
          <w:szCs w:val="24"/>
        </w:rPr>
        <w:t xml:space="preserve">From the two approaches we employ in this experiment, we get the best average ratio </w:t>
      </w:r>
      <w:r>
        <w:t>2.500063013</w:t>
      </w:r>
      <w:r>
        <w:t xml:space="preserve"> </w:t>
      </w:r>
      <w:r>
        <w:rPr>
          <w:szCs w:val="24"/>
        </w:rPr>
        <w:t xml:space="preserve">and </w:t>
      </w:r>
      <w:r w:rsidRPr="00C44879">
        <w:t>2.500052160</w:t>
      </w:r>
      <w:r>
        <w:rPr>
          <w:rFonts w:ascii="Calibri" w:hAnsi="Calibri" w:cs="Calibri"/>
          <w:color w:val="000000"/>
          <w:sz w:val="22"/>
        </w:rPr>
        <w:t xml:space="preserve"> </w:t>
      </w:r>
      <w:r>
        <w:rPr>
          <w:szCs w:val="24"/>
        </w:rPr>
        <w:t>for genetic and harmony approach respectively.</w:t>
      </w:r>
      <w:r w:rsidR="00D55669">
        <w:rPr>
          <w:szCs w:val="24"/>
        </w:rPr>
        <w:t xml:space="preserve"> Given these two ratio, we can conclude</w:t>
      </w:r>
      <w:r w:rsidR="00641CF4">
        <w:rPr>
          <w:rStyle w:val="FootnoteReference"/>
          <w:szCs w:val="24"/>
        </w:rPr>
        <w:footnoteReference w:id="4"/>
      </w:r>
      <w:r w:rsidR="00D55669">
        <w:rPr>
          <w:szCs w:val="24"/>
        </w:rPr>
        <w:t xml:space="preserve"> that the weight set we get from harmony approach is perform better than the genetic approach. </w:t>
      </w:r>
      <w:r w:rsidR="008F68FD">
        <w:rPr>
          <w:szCs w:val="24"/>
        </w:rPr>
        <w:t>The</w:t>
      </w:r>
      <w:r w:rsidR="004F104C">
        <w:rPr>
          <w:szCs w:val="24"/>
        </w:rPr>
        <w:t xml:space="preserve"> best</w:t>
      </w:r>
      <w:r w:rsidR="008F68FD">
        <w:rPr>
          <w:szCs w:val="24"/>
        </w:rPr>
        <w:t xml:space="preserve"> weight set we obtained is {</w:t>
      </w:r>
      <w:r w:rsidR="00E9681E" w:rsidRPr="00E9681E">
        <w:rPr>
          <w:szCs w:val="24"/>
        </w:rPr>
        <w:t>-0.37550838569759515, 0.2330609762288089, -0.30192169246015765, -0.5978769335300016, -0.19864323164772435, -0.3133256472174362, -0.03688152</w:t>
      </w:r>
      <w:r w:rsidR="00E9681E">
        <w:rPr>
          <w:szCs w:val="24"/>
        </w:rPr>
        <w:t>862554421, -0.4659078833496842</w:t>
      </w:r>
      <w:r w:rsidR="008F68FD">
        <w:rPr>
          <w:szCs w:val="24"/>
        </w:rPr>
        <w:t>}</w:t>
      </w:r>
      <w:r w:rsidR="004F104C">
        <w:rPr>
          <w:szCs w:val="24"/>
        </w:rPr>
        <w:t>. From statistical point of view, the confidence for this weight set is low since the sample size is small.</w:t>
      </w:r>
      <w:bookmarkStart w:id="0" w:name="_GoBack"/>
      <w:bookmarkEnd w:id="0"/>
    </w:p>
    <w:sectPr w:rsidR="00F41910" w:rsidRPr="0059653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543" w:rsidRDefault="00477543" w:rsidP="00620EB2">
      <w:pPr>
        <w:spacing w:after="0" w:line="240" w:lineRule="auto"/>
      </w:pPr>
      <w:r>
        <w:separator/>
      </w:r>
    </w:p>
  </w:endnote>
  <w:endnote w:type="continuationSeparator" w:id="0">
    <w:p w:rsidR="00477543" w:rsidRDefault="00477543" w:rsidP="00620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543" w:rsidRDefault="00477543" w:rsidP="00620EB2">
      <w:pPr>
        <w:spacing w:after="0" w:line="240" w:lineRule="auto"/>
      </w:pPr>
      <w:r>
        <w:separator/>
      </w:r>
    </w:p>
  </w:footnote>
  <w:footnote w:type="continuationSeparator" w:id="0">
    <w:p w:rsidR="00477543" w:rsidRDefault="00477543" w:rsidP="00620EB2">
      <w:pPr>
        <w:spacing w:after="0" w:line="240" w:lineRule="auto"/>
      </w:pPr>
      <w:r>
        <w:continuationSeparator/>
      </w:r>
    </w:p>
  </w:footnote>
  <w:footnote w:id="1">
    <w:p w:rsidR="00596531" w:rsidRPr="00AC0AAF" w:rsidRDefault="00596531" w:rsidP="00AC0AAF">
      <w:pPr>
        <w:pStyle w:val="NoSpacing"/>
        <w:rPr>
          <w:sz w:val="20"/>
          <w:szCs w:val="20"/>
        </w:rPr>
      </w:pPr>
      <w:r>
        <w:rPr>
          <w:rStyle w:val="FootnoteReference"/>
        </w:rPr>
        <w:footnoteRef/>
      </w:r>
      <w:r>
        <w:t xml:space="preserve"> </w:t>
      </w:r>
      <w:r w:rsidRPr="00FA4908">
        <w:rPr>
          <w:sz w:val="20"/>
          <w:szCs w:val="20"/>
        </w:rPr>
        <w:t>We using 50 runs to get the averages for each weight set.</w:t>
      </w:r>
    </w:p>
  </w:footnote>
  <w:footnote w:id="2">
    <w:p w:rsidR="00596531" w:rsidRDefault="00596531">
      <w:pPr>
        <w:pStyle w:val="FootnoteText"/>
      </w:pPr>
      <w:r>
        <w:rPr>
          <w:rStyle w:val="FootnoteReference"/>
        </w:rPr>
        <w:footnoteRef/>
      </w:r>
      <w:r>
        <w:t xml:space="preserve"> </w:t>
      </w:r>
      <w:r w:rsidRPr="00FA4908">
        <w:t>Average ratio is taken from the ratio of average piece spawn against average row cleared. Theoretically, the optimum average ratio is exactly 2.5 given that the size of Tetris with 10 columns and each piece contains exactly 4 cells.</w:t>
      </w:r>
    </w:p>
  </w:footnote>
  <w:footnote w:id="3">
    <w:p w:rsidR="00AC0AAF" w:rsidRPr="00641CF4" w:rsidRDefault="00AC0AAF" w:rsidP="00641CF4">
      <w:pPr>
        <w:pStyle w:val="NoSpacing"/>
        <w:rPr>
          <w:sz w:val="20"/>
          <w:szCs w:val="20"/>
        </w:rPr>
      </w:pPr>
      <w:r>
        <w:rPr>
          <w:rStyle w:val="FootnoteReference"/>
        </w:rPr>
        <w:footnoteRef/>
      </w:r>
      <w:r>
        <w:t xml:space="preserve"> </w:t>
      </w:r>
      <w:r w:rsidRPr="00FA4908">
        <w:rPr>
          <w:sz w:val="20"/>
          <w:szCs w:val="20"/>
        </w:rPr>
        <w:t>We using 10 runs to get the averages for each weight set.</w:t>
      </w:r>
    </w:p>
  </w:footnote>
  <w:footnote w:id="4">
    <w:p w:rsidR="00641CF4" w:rsidRDefault="00641CF4">
      <w:pPr>
        <w:pStyle w:val="FootnoteText"/>
      </w:pPr>
      <w:r>
        <w:rPr>
          <w:rStyle w:val="FootnoteReference"/>
        </w:rPr>
        <w:footnoteRef/>
      </w:r>
      <w:r>
        <w:t xml:space="preserve"> This conclusion is showing the best result up to the point of our experiment.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69F"/>
    <w:rsid w:val="000F01A3"/>
    <w:rsid w:val="00102118"/>
    <w:rsid w:val="0011566E"/>
    <w:rsid w:val="00192989"/>
    <w:rsid w:val="002569CB"/>
    <w:rsid w:val="002B2222"/>
    <w:rsid w:val="002B5237"/>
    <w:rsid w:val="00400081"/>
    <w:rsid w:val="00400A03"/>
    <w:rsid w:val="00447BCD"/>
    <w:rsid w:val="00477543"/>
    <w:rsid w:val="004C0C05"/>
    <w:rsid w:val="004F104C"/>
    <w:rsid w:val="00596531"/>
    <w:rsid w:val="00620EB2"/>
    <w:rsid w:val="0062101F"/>
    <w:rsid w:val="00641CF4"/>
    <w:rsid w:val="007F6822"/>
    <w:rsid w:val="008A771D"/>
    <w:rsid w:val="008F68FD"/>
    <w:rsid w:val="009E4319"/>
    <w:rsid w:val="00AC0AAF"/>
    <w:rsid w:val="00BC23FE"/>
    <w:rsid w:val="00BF6849"/>
    <w:rsid w:val="00C0622C"/>
    <w:rsid w:val="00C1069F"/>
    <w:rsid w:val="00C4160C"/>
    <w:rsid w:val="00C44879"/>
    <w:rsid w:val="00CF0D46"/>
    <w:rsid w:val="00D55669"/>
    <w:rsid w:val="00D73FC1"/>
    <w:rsid w:val="00DB7D08"/>
    <w:rsid w:val="00E724B0"/>
    <w:rsid w:val="00E9681E"/>
    <w:rsid w:val="00F03F7D"/>
    <w:rsid w:val="00F41910"/>
    <w:rsid w:val="00FA49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A03"/>
    <w:rPr>
      <w:rFonts w:ascii="Times New Roman" w:eastAsia="Calibri" w:hAnsi="Times New Roman" w:cs="Times New Roman"/>
      <w:sz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849"/>
    <w:pPr>
      <w:spacing w:after="0" w:line="240" w:lineRule="auto"/>
    </w:pPr>
    <w:rPr>
      <w:rFonts w:ascii="Times New Roman" w:hAnsi="Times New Roman"/>
      <w:sz w:val="24"/>
    </w:rPr>
  </w:style>
  <w:style w:type="table" w:styleId="TableGrid">
    <w:name w:val="Table Grid"/>
    <w:basedOn w:val="TableNormal"/>
    <w:uiPriority w:val="59"/>
    <w:rsid w:val="00C10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C0C05"/>
    <w:rPr>
      <w:color w:val="808080"/>
    </w:rPr>
  </w:style>
  <w:style w:type="paragraph" w:styleId="BalloonText">
    <w:name w:val="Balloon Text"/>
    <w:basedOn w:val="Normal"/>
    <w:link w:val="BalloonTextChar"/>
    <w:uiPriority w:val="99"/>
    <w:semiHidden/>
    <w:unhideWhenUsed/>
    <w:rsid w:val="004C0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C05"/>
    <w:rPr>
      <w:rFonts w:ascii="Tahoma" w:eastAsia="Calibri" w:hAnsi="Tahoma" w:cs="Tahoma"/>
      <w:sz w:val="16"/>
      <w:szCs w:val="16"/>
      <w:lang w:val="en-US" w:eastAsia="en-US"/>
    </w:rPr>
  </w:style>
  <w:style w:type="paragraph" w:styleId="Header">
    <w:name w:val="header"/>
    <w:basedOn w:val="Normal"/>
    <w:link w:val="HeaderChar"/>
    <w:uiPriority w:val="99"/>
    <w:unhideWhenUsed/>
    <w:rsid w:val="00620EB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0EB2"/>
    <w:rPr>
      <w:rFonts w:ascii="Times New Roman" w:eastAsia="Calibri" w:hAnsi="Times New Roman" w:cs="Times New Roman"/>
      <w:sz w:val="24"/>
      <w:lang w:val="en-US" w:eastAsia="en-US"/>
    </w:rPr>
  </w:style>
  <w:style w:type="paragraph" w:styleId="Footer">
    <w:name w:val="footer"/>
    <w:basedOn w:val="Normal"/>
    <w:link w:val="FooterChar"/>
    <w:uiPriority w:val="99"/>
    <w:unhideWhenUsed/>
    <w:rsid w:val="00620EB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0EB2"/>
    <w:rPr>
      <w:rFonts w:ascii="Times New Roman" w:eastAsia="Calibri" w:hAnsi="Times New Roman" w:cs="Times New Roman"/>
      <w:sz w:val="24"/>
      <w:lang w:val="en-US" w:eastAsia="en-US"/>
    </w:rPr>
  </w:style>
  <w:style w:type="paragraph" w:styleId="FootnoteText">
    <w:name w:val="footnote text"/>
    <w:basedOn w:val="Normal"/>
    <w:link w:val="FootnoteTextChar"/>
    <w:uiPriority w:val="99"/>
    <w:semiHidden/>
    <w:unhideWhenUsed/>
    <w:rsid w:val="005965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531"/>
    <w:rPr>
      <w:rFonts w:ascii="Times New Roman" w:eastAsia="Calibri" w:hAnsi="Times New Roman" w:cs="Times New Roman"/>
      <w:sz w:val="20"/>
      <w:szCs w:val="20"/>
      <w:lang w:val="en-US" w:eastAsia="en-US"/>
    </w:rPr>
  </w:style>
  <w:style w:type="character" w:styleId="FootnoteReference">
    <w:name w:val="footnote reference"/>
    <w:basedOn w:val="DefaultParagraphFont"/>
    <w:uiPriority w:val="99"/>
    <w:semiHidden/>
    <w:unhideWhenUsed/>
    <w:rsid w:val="005965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A03"/>
    <w:rPr>
      <w:rFonts w:ascii="Times New Roman" w:eastAsia="Calibri" w:hAnsi="Times New Roman" w:cs="Times New Roman"/>
      <w:sz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849"/>
    <w:pPr>
      <w:spacing w:after="0" w:line="240" w:lineRule="auto"/>
    </w:pPr>
    <w:rPr>
      <w:rFonts w:ascii="Times New Roman" w:hAnsi="Times New Roman"/>
      <w:sz w:val="24"/>
    </w:rPr>
  </w:style>
  <w:style w:type="table" w:styleId="TableGrid">
    <w:name w:val="Table Grid"/>
    <w:basedOn w:val="TableNormal"/>
    <w:uiPriority w:val="59"/>
    <w:rsid w:val="00C10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C0C05"/>
    <w:rPr>
      <w:color w:val="808080"/>
    </w:rPr>
  </w:style>
  <w:style w:type="paragraph" w:styleId="BalloonText">
    <w:name w:val="Balloon Text"/>
    <w:basedOn w:val="Normal"/>
    <w:link w:val="BalloonTextChar"/>
    <w:uiPriority w:val="99"/>
    <w:semiHidden/>
    <w:unhideWhenUsed/>
    <w:rsid w:val="004C0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C05"/>
    <w:rPr>
      <w:rFonts w:ascii="Tahoma" w:eastAsia="Calibri" w:hAnsi="Tahoma" w:cs="Tahoma"/>
      <w:sz w:val="16"/>
      <w:szCs w:val="16"/>
      <w:lang w:val="en-US" w:eastAsia="en-US"/>
    </w:rPr>
  </w:style>
  <w:style w:type="paragraph" w:styleId="Header">
    <w:name w:val="header"/>
    <w:basedOn w:val="Normal"/>
    <w:link w:val="HeaderChar"/>
    <w:uiPriority w:val="99"/>
    <w:unhideWhenUsed/>
    <w:rsid w:val="00620EB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0EB2"/>
    <w:rPr>
      <w:rFonts w:ascii="Times New Roman" w:eastAsia="Calibri" w:hAnsi="Times New Roman" w:cs="Times New Roman"/>
      <w:sz w:val="24"/>
      <w:lang w:val="en-US" w:eastAsia="en-US"/>
    </w:rPr>
  </w:style>
  <w:style w:type="paragraph" w:styleId="Footer">
    <w:name w:val="footer"/>
    <w:basedOn w:val="Normal"/>
    <w:link w:val="FooterChar"/>
    <w:uiPriority w:val="99"/>
    <w:unhideWhenUsed/>
    <w:rsid w:val="00620EB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0EB2"/>
    <w:rPr>
      <w:rFonts w:ascii="Times New Roman" w:eastAsia="Calibri" w:hAnsi="Times New Roman" w:cs="Times New Roman"/>
      <w:sz w:val="24"/>
      <w:lang w:val="en-US" w:eastAsia="en-US"/>
    </w:rPr>
  </w:style>
  <w:style w:type="paragraph" w:styleId="FootnoteText">
    <w:name w:val="footnote text"/>
    <w:basedOn w:val="Normal"/>
    <w:link w:val="FootnoteTextChar"/>
    <w:uiPriority w:val="99"/>
    <w:semiHidden/>
    <w:unhideWhenUsed/>
    <w:rsid w:val="005965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531"/>
    <w:rPr>
      <w:rFonts w:ascii="Times New Roman" w:eastAsia="Calibri" w:hAnsi="Times New Roman" w:cs="Times New Roman"/>
      <w:sz w:val="20"/>
      <w:szCs w:val="20"/>
      <w:lang w:val="en-US" w:eastAsia="en-US"/>
    </w:rPr>
  </w:style>
  <w:style w:type="character" w:styleId="FootnoteReference">
    <w:name w:val="footnote reference"/>
    <w:basedOn w:val="DefaultParagraphFont"/>
    <w:uiPriority w:val="99"/>
    <w:semiHidden/>
    <w:unhideWhenUsed/>
    <w:rsid w:val="005965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88256">
      <w:bodyDiv w:val="1"/>
      <w:marLeft w:val="0"/>
      <w:marRight w:val="0"/>
      <w:marTop w:val="0"/>
      <w:marBottom w:val="0"/>
      <w:divBdr>
        <w:top w:val="none" w:sz="0" w:space="0" w:color="auto"/>
        <w:left w:val="none" w:sz="0" w:space="0" w:color="auto"/>
        <w:bottom w:val="none" w:sz="0" w:space="0" w:color="auto"/>
        <w:right w:val="none" w:sz="0" w:space="0" w:color="auto"/>
      </w:divBdr>
    </w:div>
    <w:div w:id="11526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F237A-A08B-47B2-BC8D-9FE99F34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Marcel Workstation</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David</dc:creator>
  <cp:lastModifiedBy>Marcel David</cp:lastModifiedBy>
  <cp:revision>21</cp:revision>
  <dcterms:created xsi:type="dcterms:W3CDTF">2011-04-12T15:47:00Z</dcterms:created>
  <dcterms:modified xsi:type="dcterms:W3CDTF">2011-04-13T06:31:00Z</dcterms:modified>
</cp:coreProperties>
</file>