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240" w:after="180" w:line="360" w:lineRule="auto"/>
      </w:pPr>
      <w:r>
        <w:rPr>
          <w:rFonts w:ascii="Times New Roman" w:hAnsi="Times New Roman" w:cs="Times New Roman"/>
          <w:sz w:val="32"/>
          <w:szCs w:val="32"/>
          <w:b/>
        </w:rPr>
        <w:t xml:space="preserve">CHAPTER 2</w:t>
      </w:r>
    </w:p>
    <w:p>
      <w:pPr>
        <w:jc w:val="center"/>
        <w:spacing w:before="240" w:after="180" w:line="360" w:lineRule="auto"/>
      </w:pPr>
      <w:r>
        <w:rPr>
          <w:rFonts w:ascii="Times New Roman" w:hAnsi="Times New Roman" w:cs="Times New Roman"/>
          <w:sz w:val="32"/>
          <w:szCs w:val="32"/>
          <w:b/>
        </w:rPr>
        <w:t xml:space="preserve">LITERATURE REVIEW</w:t>
      </w:r>
    </w:p>
    <w:p>
      <w:pPr>
        <w:jc w:val="both"/>
        <w:spacing w:before="100" w:after="10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2.1 JAVA PROGRAMMING LANGUAGE</w:t>
      </w:r>
    </w:p>
    <w:p>
      <w:pPr>
        <w:jc w:val="left"/>
        <w:spacing w:before="160" w:after="100" w:line="360" w:lineRule="auto"/>
      </w:pPr>
      <w:r>
        <w:rPr>
          <w:rFonts w:ascii="Times New Roman" w:hAnsi="Times New Roman" w:cs="Times New Roman"/>
          <w:sz w:val="26"/>
          <w:szCs w:val="26"/>
          <w:b/>
        </w:rPr>
        <w:t xml:space="preserve">2.1.1 Overview and Architectural Foundations of Java</w:t>
      </w:r>
    </w:p>
    <w:p>
      <w:pPr>
        <w:jc w:val="both"/>
        <w:spacing w:before="100" w:after="100" w:line="360" w:lineRule="auto"/>
      </w:pPr>
      <w:r>
        <w:rPr>
          <w:rFonts w:ascii="Times New Roman" w:hAnsi="Times New Roman" w:cs="Times New Roman"/>
          <w:sz w:val="24"/>
          <w:szCs w:val="24"/>
        </w:rPr>
        <w:t xml:space="preserve">Java is a high-level, class-based, object-oriented, concurrent, and robust programming language originally conceived by James Gosling at Sun Microsystems (subsequently acquired by Oracle Corporation). Formulated around the foundational design ethos of "Write Once, Run Anywhere" (WORA), Java achieves architectural neutrality through the compilation of human-readable source code into platform-independent intermediate representations known as bytecode (.class files). This intermediate bytecode is executed within the Java Virtual Machine (JVM), an abstract computing machine that provides hardware-level virtualization across operating systems, including Linux, macOS, and Microsoft Windows.</w:t>
      </w:r>
    </w:p>
    <w:p>
      <w:pPr>
        <w:jc w:val="both"/>
        <w:spacing w:before="100" w:after="100" w:line="360" w:lineRule="auto"/>
      </w:pPr>
      <w:r>
        <w:rPr>
          <w:rFonts w:ascii="Times New Roman" w:hAnsi="Times New Roman" w:cs="Times New Roman"/>
          <w:sz w:val="24"/>
          <w:szCs w:val="24"/>
        </w:rPr>
        <w:t xml:space="preserve">In computational finance and distributed enterprise platforms, Java has established itself as the preeminent standard for executing high-throughput, low-latency transactional workflows. The execution lifecycle within modern JVM implementations is optimized through a sophisticated Multi-Tiered Just-In-Time (JIT) compiler (HotSpot C1 and C2 compilers) combined with adaptive optimization techniques. The JIT dynamically monitors method invocation frequencies and runtime control flow, compiling hot bytecode segments into native processor machine instructions during execution. Furthermore, Java incorporates automated garbage collection (GC) subsystems—such as the Garbage-First (G1) collector, Z Garbage Collector (ZGC), and Shenandoah GC—which eliminate manual memory allocation vulnerabilities by reclaiming unreachable heap allocations with deterministic sub-millisecond pauses.</w:t>
      </w:r>
    </w:p>
    <w:p>
      <w:pPr>
        <w:jc w:val="left"/>
        <w:spacing w:before="160" w:after="100" w:line="360" w:lineRule="auto"/>
      </w:pPr>
      <w:r>
        <w:rPr>
          <w:rFonts w:ascii="Times New Roman" w:hAnsi="Times New Roman" w:cs="Times New Roman"/>
          <w:sz w:val="26"/>
          <w:szCs w:val="26"/>
          <w:b/>
        </w:rPr>
        <w:t xml:space="preserve">2.1.2 Object-Oriented Programming (OOP) Paradigms in Financial Software Engineering</w:t>
      </w:r>
    </w:p>
    <w:p>
      <w:pPr>
        <w:jc w:val="both"/>
        <w:spacing w:before="100" w:after="100" w:line="360" w:lineRule="auto"/>
      </w:pPr>
      <w:r>
        <w:rPr>
          <w:rFonts w:ascii="Times New Roman" w:hAnsi="Times New Roman" w:cs="Times New Roman"/>
          <w:sz w:val="24"/>
          <w:szCs w:val="24"/>
        </w:rPr>
        <w:t xml:space="preserve">The modeling of modern financial platforms necessitates an architectural paradigm capable of handling domain complexity, high cohesion, and loose coupling. Object-Oriented Programming (OOP) decomposes complex real-world financial ecosystems into self-contained objects encapsulating both state and behavioral procedures. In designing cryptocurrency management and trading platforms, the four cardinal pillars of OOP provide critical structural guarantees:</w:t>
      </w:r>
    </w:p>
    <w:p>
      <w:pPr>
        <w:jc w:val="both"/>
        <w:spacing w:before="100" w:after="100" w:line="360" w:lineRule="auto"/>
      </w:pPr>
      <w:r>
        <w:rPr>
          <w:rFonts w:ascii="Times New Roman" w:hAnsi="Times New Roman" w:cs="Times New Roman"/>
          <w:sz w:val="24"/>
          <w:szCs w:val="24"/>
          <w:b/>
        </w:rPr>
        <w:t xml:space="preserve">1. Encapsulation: </w:t>
      </w:r>
      <w:r>
        <w:rPr>
          <w:rFonts w:ascii="Times New Roman" w:hAnsi="Times New Roman" w:cs="Times New Roman"/>
          <w:sz w:val="24"/>
          <w:szCs w:val="24"/>
        </w:rPr>
        <w:t xml:space="preserve">Encapsulation enforces data hiding and state integrity by restricting direct read/write access to internal variables through private access modifiers. Internal variables—such as account balances, cryptographic keys, order book quantities, and executed transaction prices—are accessed exclusively through strictly validated accessor (getter) and mutator (setter) methods. This design pattern ensures that invalid or malicious state transitions (e.g., negative token quantities, zero-price limit executions, or unauthorized balance alterations) are programmatically rejected at the object boundary.</w:t>
      </w:r>
    </w:p>
    <w:p>
      <w:pPr>
        <w:jc w:val="both"/>
        <w:spacing w:before="100" w:after="100" w:line="360" w:lineRule="auto"/>
      </w:pPr>
      <w:r>
        <w:rPr>
          <w:rFonts w:ascii="Times New Roman" w:hAnsi="Times New Roman" w:cs="Times New Roman"/>
          <w:sz w:val="24"/>
          <w:szCs w:val="24"/>
          <w:b/>
        </w:rPr>
        <w:t xml:space="preserve">2. Inheritance: </w:t>
      </w:r>
      <w:r>
        <w:rPr>
          <w:rFonts w:ascii="Times New Roman" w:hAnsi="Times New Roman" w:cs="Times New Roman"/>
          <w:sz w:val="24"/>
          <w:szCs w:val="24"/>
        </w:rPr>
        <w:t xml:space="preserve">Inheritance facilitates hierarchical domain modeling and code reusability through subclass specialization. A generalized base entity, such as AbstractOrder or FinancialInstrument, encapsulates universal attributes (e.g., timestamp, unique transaction identifier, asset symbol, and base currency). Derived subclasses, such as MarketOrder, LimitOrder, SpotInstrument, and DerivativeInstrument, inherit common properties while augmenting specialized behavioral logic (e.g., limit price triggers, expiration bounds, and fee tier adjustments), thereby eliminating code duplication and standardizing system extensibility.</w:t>
      </w:r>
    </w:p>
    <w:p>
      <w:pPr>
        <w:jc w:val="both"/>
        <w:spacing w:before="100" w:after="100" w:line="360" w:lineRule="auto"/>
      </w:pPr>
      <w:r>
        <w:rPr>
          <w:rFonts w:ascii="Times New Roman" w:hAnsi="Times New Roman" w:cs="Times New Roman"/>
          <w:sz w:val="24"/>
          <w:szCs w:val="24"/>
          <w:b/>
        </w:rPr>
        <w:t xml:space="preserve">3. Polymorphism: </w:t>
      </w:r>
      <w:r>
        <w:rPr>
          <w:rFonts w:ascii="Times New Roman" w:hAnsi="Times New Roman" w:cs="Times New Roman"/>
          <w:sz w:val="24"/>
          <w:szCs w:val="24"/>
        </w:rPr>
        <w:t xml:space="preserve">Polymorphism enables uniform interfaces to represent diverse runtime behaviors. Through method overriding (dynamic/runtime polymorphism) and method overloading (static/compile-time polymorphism), a single execution invocation—such as order.execute() or riskEngine.calculateExposure()—can dynamically adapt its operational pipeline based on the instantiated object type. For example, executing a PaperOrder alters virtual ledger balances in memory, whereas executing a TestnetExchangeOrder constructs an HMAC-SHA256 signed REST packet dispatched to an external matching engine.</w:t>
      </w:r>
    </w:p>
    <w:p>
      <w:pPr>
        <w:jc w:val="both"/>
        <w:spacing w:before="100" w:after="100" w:line="360" w:lineRule="auto"/>
      </w:pPr>
      <w:r>
        <w:rPr>
          <w:rFonts w:ascii="Times New Roman" w:hAnsi="Times New Roman" w:cs="Times New Roman"/>
          <w:sz w:val="24"/>
          <w:szCs w:val="24"/>
          <w:b/>
        </w:rPr>
        <w:t xml:space="preserve">4. Abstraction: </w:t>
      </w:r>
      <w:r>
        <w:rPr>
          <w:rFonts w:ascii="Times New Roman" w:hAnsi="Times New Roman" w:cs="Times New Roman"/>
          <w:sz w:val="24"/>
          <w:szCs w:val="24"/>
        </w:rPr>
        <w:t xml:space="preserve">Abstraction isolates system interfaces from operational complexities. Complex operations, such as low-level TCP socket multiplexing, cryptographic signature generation (HMAC/AES-GCM), and asynchronous database connection pooling, are abstracted behind concise interface definitions (e.g., ExchangeClient, WalletRepository, and TaxLotCalculator). Presentation and business logic layers interact strictly with these high-level contracts without coupling to concrete vendor-specific implementations.</w:t>
      </w:r>
    </w:p>
    <w:p>
      <w:pPr>
        <w:jc w:val="left"/>
        <w:spacing w:before="160" w:after="100" w:line="360" w:lineRule="auto"/>
      </w:pPr>
      <w:r>
        <w:rPr>
          <w:rFonts w:ascii="Times New Roman" w:hAnsi="Times New Roman" w:cs="Times New Roman"/>
          <w:sz w:val="26"/>
          <w:szCs w:val="26"/>
          <w:b/>
        </w:rPr>
        <w:t xml:space="preserve">2.1.3 Concurrency, Multithreading, and Asynchronous Event-Driven Architectures</w:t>
      </w:r>
    </w:p>
    <w:p>
      <w:pPr>
        <w:jc w:val="both"/>
        <w:spacing w:before="100" w:after="100" w:line="360" w:lineRule="auto"/>
      </w:pPr>
      <w:r>
        <w:rPr>
          <w:rFonts w:ascii="Times New Roman" w:hAnsi="Times New Roman" w:cs="Times New Roman"/>
          <w:sz w:val="24"/>
          <w:szCs w:val="24"/>
        </w:rPr>
        <w:t xml:space="preserve">Financial market interfaces demand non-blocking concurrency to process thousands of continuous price ticks, order confirmations, and user interface updates concurrently. Java delivers robust primitives for concurrent computing via the java.util.concurrent framework:</w:t>
      </w:r>
    </w:p>
    <w:p>
      <w:pPr>
        <w:jc w:val="both"/>
        <w:spacing w:before="100" w:after="100" w:line="360" w:lineRule="auto"/>
      </w:pPr>
      <w:r>
        <w:rPr>
          <w:rFonts w:ascii="Times New Roman" w:hAnsi="Times New Roman" w:cs="Times New Roman"/>
          <w:sz w:val="24"/>
          <w:szCs w:val="24"/>
        </w:rPr>
        <w:t xml:space="preserve">• Executor Services and Thread Pooling: Rather than incurring prohibitive operating system overhead via unbounded thread creation, fixed and cached ExecutorService thread pools reuse worker threads to execute incoming order processing and analytical calculations in parallel.</w:t>
      </w:r>
    </w:p>
    <w:p>
      <w:pPr>
        <w:jc w:val="both"/>
        <w:spacing w:before="100" w:after="100" w:line="360" w:lineRule="auto"/>
      </w:pPr>
      <w:r>
        <w:rPr>
          <w:rFonts w:ascii="Times New Roman" w:hAnsi="Times New Roman" w:cs="Times New Roman"/>
          <w:sz w:val="24"/>
          <w:szCs w:val="24"/>
        </w:rPr>
        <w:t xml:space="preserve">• Thread Synchronization and Lock-Free Primitives: High-frequency shared state—such as portfolio valuations and order book depths—is safeguarded through lightweight synchronization constructs (ReentrantLock, ReadWriteLock) and hardware-assisted lock-free atomic variables (AtomicReference, AtomicLong, DoubleAdder) utilizing low-level Compare-And-Swap (CAS) CPU instructions to prevent race conditions without thread contention latency.</w:t>
      </w:r>
    </w:p>
    <w:p>
      <w:pPr>
        <w:jc w:val="both"/>
        <w:spacing w:before="100" w:after="100" w:line="360" w:lineRule="auto"/>
      </w:pPr>
      <w:r>
        <w:rPr>
          <w:rFonts w:ascii="Times New Roman" w:hAnsi="Times New Roman" w:cs="Times New Roman"/>
          <w:sz w:val="24"/>
          <w:szCs w:val="24"/>
        </w:rPr>
        <w:t xml:space="preserve">• Asynchronous Futures and Reactive Streams: The CompletableFuture API and Reactive Streams specification (Flow.Publisher, Flow.Subscriber) allow developers to compose asynchronous, non-blocking pipelines. Market feed ingestion, order validation, database audit logging, and client notifications execute concurrently across non-blocking event loops, optimizing processor utilization on modern multicore architectures.</w:t>
      </w:r>
    </w:p>
    <w:p>
      <w:pPr>
        <w:jc w:val="left"/>
        <w:spacing w:before="160" w:after="100" w:line="360" w:lineRule="auto"/>
      </w:pPr>
      <w:r>
        <w:rPr>
          <w:rFonts w:ascii="Times New Roman" w:hAnsi="Times New Roman" w:cs="Times New Roman"/>
          <w:sz w:val="26"/>
          <w:szCs w:val="26"/>
          <w:b/>
        </w:rPr>
        <w:t xml:space="preserve">2.1.4 Networking, Socket Streaming, and WebSocket Communication</w:t>
      </w:r>
    </w:p>
    <w:p>
      <w:pPr>
        <w:jc w:val="both"/>
        <w:spacing w:before="100" w:after="100" w:line="360" w:lineRule="auto"/>
      </w:pPr>
      <w:r>
        <w:rPr>
          <w:rFonts w:ascii="Times New Roman" w:hAnsi="Times New Roman" w:cs="Times New Roman"/>
          <w:sz w:val="24"/>
          <w:szCs w:val="24"/>
        </w:rPr>
        <w:t xml:space="preserve">Cryptocurrency assets trade continuously across global liquidity venues. RESTful HTTP polling introduces unacceptable network latency and bandwidth overhead due to redundant header exchanges. Java solves this through low-level non-blocking I/O (java.nio) and full-duplex WebSocket protocols (JSR 356 Java API for WebSockets):</w:t>
      </w:r>
    </w:p>
    <w:p>
      <w:pPr>
        <w:jc w:val="both"/>
        <w:spacing w:before="100" w:after="100" w:line="360" w:lineRule="auto"/>
      </w:pPr>
      <w:r>
        <w:rPr>
          <w:rFonts w:ascii="Times New Roman" w:hAnsi="Times New Roman" w:cs="Times New Roman"/>
          <w:sz w:val="24"/>
          <w:szCs w:val="24"/>
        </w:rPr>
        <w:t xml:space="preserve">• Non-Blocking I/O (NIO Selector Pattern): The NIO architecture enables a single thread to multiplex and monitor multiple network channels (SocketChannel) via a Selector. When market data packets arrive from an exchange, the selector flags the channel as ready for reading, drastically scaling the application's ability to maintain thousands of persistent outbound and inbound streaming connections.</w:t>
      </w:r>
    </w:p>
    <w:p>
      <w:pPr>
        <w:jc w:val="both"/>
        <w:spacing w:before="100" w:after="100" w:line="360" w:lineRule="auto"/>
      </w:pPr>
      <w:r>
        <w:rPr>
          <w:rFonts w:ascii="Times New Roman" w:hAnsi="Times New Roman" w:cs="Times New Roman"/>
          <w:sz w:val="24"/>
          <w:szCs w:val="24"/>
        </w:rPr>
        <w:t xml:space="preserve">• WebSocket Full-Duplex Channels: Real-time price distribution utilizes persistent TCP connections established via an initial HTTP handshake and upgraded to bidirectional WebSocket frames. The client application subscribes to multi-ticker aggregate streams (e.g., Binance mini-ticker array feeds), allowing sub-millisecond price delivery with minimal serialization overhead.</w:t>
      </w:r>
    </w:p>
    <w:p>
      <w:pPr>
        <w:jc w:val="left"/>
        <w:spacing w:before="160" w:after="100" w:line="360" w:lineRule="auto"/>
      </w:pPr>
      <w:r>
        <w:rPr>
          <w:rFonts w:ascii="Times New Roman" w:hAnsi="Times New Roman" w:cs="Times New Roman"/>
          <w:sz w:val="26"/>
          <w:szCs w:val="26"/>
          <w:b/>
        </w:rPr>
        <w:t xml:space="preserve">2.1.5 Enterprise Security, Cryptographic Providers, and Memory Safety</w:t>
      </w:r>
    </w:p>
    <w:p>
      <w:pPr>
        <w:jc w:val="both"/>
        <w:spacing w:before="100" w:after="100" w:line="360" w:lineRule="auto"/>
      </w:pPr>
      <w:r>
        <w:rPr>
          <w:rFonts w:ascii="Times New Roman" w:hAnsi="Times New Roman" w:cs="Times New Roman"/>
          <w:sz w:val="24"/>
          <w:szCs w:val="24"/>
        </w:rPr>
        <w:t xml:space="preserve">The Java platform incorporates defensive security mechanisms engineered specifically to safeguard high-value computational applications:</w:t>
      </w:r>
    </w:p>
    <w:p>
      <w:pPr>
        <w:jc w:val="both"/>
        <w:spacing w:before="100" w:after="100" w:line="360" w:lineRule="auto"/>
      </w:pPr>
      <w:r>
        <w:rPr>
          <w:rFonts w:ascii="Times New Roman" w:hAnsi="Times New Roman" w:cs="Times New Roman"/>
          <w:sz w:val="24"/>
          <w:szCs w:val="24"/>
        </w:rPr>
        <w:t xml:space="preserve">• Java Cryptography Architecture (JCA) and JCE: Java provides a comprehensive cryptographic abstraction framework through the javax.crypto package. Sensitive financial artifacts—including API keys, exchange secrets, and authentication tokens—are protected using hardware-accelerated Advanced Encryption Standard (AES) in Galois/Counter Mode (GCM). AES-256-GCM delivers both confidentiality through 256-bit symmetric encryption and authenticity via a 128-bit authentication tag, detecting any unauthorized ciphertext tampering.</w:t>
      </w:r>
    </w:p>
    <w:p>
      <w:pPr>
        <w:jc w:val="both"/>
        <w:spacing w:before="100" w:after="100" w:line="360" w:lineRule="auto"/>
      </w:pPr>
      <w:r>
        <w:rPr>
          <w:rFonts w:ascii="Times New Roman" w:hAnsi="Times New Roman" w:cs="Times New Roman"/>
          <w:sz w:val="24"/>
          <w:szCs w:val="24"/>
        </w:rPr>
        <w:t xml:space="preserve">• Bytecode Verification and Sandbox Execution: Before executing any compiled class, the JVM Bytecode Verifier analyzes the bytecode sequence to guarantee that code does not violate access control rules, perform illicit memory pointer arithmetic, or cause stack overflow conditions.</w:t>
      </w:r>
    </w:p>
    <w:p>
      <w:pPr>
        <w:jc w:val="both"/>
        <w:spacing w:before="100" w:after="100" w:line="360" w:lineRule="auto"/>
      </w:pPr>
      <w:r>
        <w:rPr>
          <w:rFonts w:ascii="Times New Roman" w:hAnsi="Times New Roman" w:cs="Times New Roman"/>
          <w:sz w:val="24"/>
          <w:szCs w:val="24"/>
        </w:rPr>
        <w:t xml:space="preserve">• Memory Safety: Unlike unmanaged languages (such as C/C++) that permit manual pointer arithmetic and arbitrary memory access, Java disallows raw memory pointers. Buffer overflow exploits, array index violations, and memory corruption vulnerabilities are intercepted at runtime by explicit bounds checking and type-safety validations.</w:t>
      </w:r>
    </w:p>
    <w:p>
      <w:pPr>
        <w:jc w:val="left"/>
        <w:spacing w:before="200" w:after="140" w:line="360" w:lineRule="auto"/>
      </w:pPr>
      <w:r>
        <w:rPr>
          <w:rFonts w:ascii="Times New Roman" w:hAnsi="Times New Roman" w:cs="Times New Roman"/>
          <w:sz w:val="28"/>
          <w:szCs w:val="28"/>
          <w:b/>
        </w:rPr>
        <w:t xml:space="preserve">2.2 LITERATURE REVIEW</w:t>
      </w:r>
    </w:p>
    <w:p>
      <w:pPr>
        <w:jc w:val="left"/>
        <w:spacing w:before="160" w:after="100" w:line="360" w:lineRule="auto"/>
      </w:pPr>
      <w:r>
        <w:rPr>
          <w:rFonts w:ascii="Times New Roman" w:hAnsi="Times New Roman" w:cs="Times New Roman"/>
          <w:sz w:val="26"/>
          <w:szCs w:val="26"/>
          <w:b/>
        </w:rPr>
        <w:t xml:space="preserve">2.2.1 Evolution of Cryptocurrency Ecosystems and Asset Management Platforms</w:t>
      </w:r>
    </w:p>
    <w:p>
      <w:pPr>
        <w:jc w:val="both"/>
        <w:spacing w:before="100" w:after="100" w:line="360" w:lineRule="auto"/>
      </w:pPr>
      <w:r>
        <w:rPr>
          <w:rFonts w:ascii="Times New Roman" w:hAnsi="Times New Roman" w:cs="Times New Roman"/>
          <w:sz w:val="24"/>
          <w:szCs w:val="24"/>
        </w:rPr>
        <w:t xml:space="preserve">The advent of decentralized cryptographic currencies began in 2008 with the publication of Satoshi Nakamoto's seminal whitepaper introducing Bitcoin, a peer-to-peer electronic cash system based on Proof-of-Work (PoW) consensus and distributed blockchain ledgers. Subsequent developments, particularly the launch of Ethereum by Vitalik Buterin in 2015, introduced Turing-complete smart contracts, catalyzing the proliferation of decentralized finance (DeFi), tokenized liquidity protocols, and thousands of alternative digital assets (altcoins).</w:t>
      </w:r>
    </w:p>
    <w:p>
      <w:pPr>
        <w:jc w:val="both"/>
        <w:spacing w:before="100" w:after="100" w:line="360" w:lineRule="auto"/>
      </w:pPr>
      <w:r>
        <w:rPr>
          <w:rFonts w:ascii="Times New Roman" w:hAnsi="Times New Roman" w:cs="Times New Roman"/>
          <w:sz w:val="24"/>
          <w:szCs w:val="24"/>
        </w:rPr>
        <w:t xml:space="preserve">Unlike traditional equity markets, which operate within discrete geographic exchange hours and centralized clearing houses, the digital asset market operates continuously on a 24/7/365 global schedule across hundreds of geographically disparate centralized exchanges (CEXs) and decentralized automated market makers (AMMs). Research by Gandal et al. (2018) and Corbet et al. (2019) demonstrated that the fragmented, multi-venue nature of cryptocurrency trading generates extreme intraday price volatility, liquidity discrepancies, and informational asymmetry. Early retail market participants relied on manual spreadsheets or static portfolio tracking websites to track their financial exposure. However, empirical studies in personal finance technology (Puschmann, 2017) highlight that manual tracking exhibits substantial error rates, lacks real-time risk visibility, and fails to capture sudden market drawdowns. Consequently, the financial technology literature has increasingly emphasized the necessity for unified, automated, and real-time portfolio management systems capable of aggregating heterogeneous data streams into a cohesive decision-support architecture.</w:t>
      </w:r>
    </w:p>
    <w:p>
      <w:pPr>
        <w:jc w:val="left"/>
        <w:spacing w:before="160" w:after="100" w:line="360" w:lineRule="auto"/>
      </w:pPr>
      <w:r>
        <w:rPr>
          <w:rFonts w:ascii="Times New Roman" w:hAnsi="Times New Roman" w:cs="Times New Roman"/>
          <w:sz w:val="26"/>
          <w:szCs w:val="26"/>
          <w:b/>
        </w:rPr>
        <w:t xml:space="preserve">2.2.2 Real-Time Financial Streaming and Asynchronous Data Architectures</w:t>
      </w:r>
    </w:p>
    <w:p>
      <w:pPr>
        <w:jc w:val="both"/>
        <w:spacing w:before="100" w:after="100" w:line="360" w:lineRule="auto"/>
      </w:pPr>
      <w:r>
        <w:rPr>
          <w:rFonts w:ascii="Times New Roman" w:hAnsi="Times New Roman" w:cs="Times New Roman"/>
          <w:sz w:val="24"/>
          <w:szCs w:val="24"/>
        </w:rPr>
        <w:t xml:space="preserve">The transmission of financial market data has evolved dramatically from traditional pull-based polling mechanisms to push-based asynchronous event-driven streaming. In conventional web systems, client applications repeatedly issue HTTP GET requests at predetermined polling intervals to query updated quotes. As demonstrated in architectural benchmarks by Fette and Melnikov (IETF RFC 6455, 2011), standard HTTP requests carry significant header overhead (often between 500 to 2,000 bytes per request) and induce high server loads, network saturation, and connection setup latency.</w:t>
      </w:r>
    </w:p>
    <w:p>
      <w:pPr>
        <w:jc w:val="both"/>
        <w:spacing w:before="100" w:after="100" w:line="360" w:lineRule="auto"/>
      </w:pPr>
      <w:r>
        <w:rPr>
          <w:rFonts w:ascii="Times New Roman" w:hAnsi="Times New Roman" w:cs="Times New Roman"/>
          <w:sz w:val="24"/>
          <w:szCs w:val="24"/>
        </w:rPr>
        <w:t xml:space="preserve">To address these inefficiencies, modern financial streaming architectures have standardized on the WebSocket protocol. Once an initial HTTP handshake completes with an Upgrade: websocket header, a single long-lived, full-duplex TCP socket connection is established. Subsequent data packets are framed with a minimal overhead of only 2 to 10 bytes per message. Comparative research by Grigorik (2013) on high-performance web networking confirmed that WebSocket-based event streaming reduces network latency by upwards of 85% compared to periodic polling under identical network conditions. In the context of cryptocurrency market surveillance, top-tier venues (such as Binance, Coinbase, and Kraken) publish multi-ticker WebSocket channels that push tick-by-tick order book updates and 24-hour summary metrics directly to subscribing clients. The integration of WebSocket protocols with client-side state managers and reactive user interface libraries guarantees that visual indicators, such as instantaneous price flash animations and dynamic sparkline charts, reflect the true state of global order books with negligible latency.</w:t>
      </w:r>
    </w:p>
    <w:p>
      <w:pPr>
        <w:jc w:val="left"/>
        <w:spacing w:before="160" w:after="100" w:line="360" w:lineRule="auto"/>
      </w:pPr>
      <w:r>
        <w:rPr>
          <w:rFonts w:ascii="Times New Roman" w:hAnsi="Times New Roman" w:cs="Times New Roman"/>
          <w:sz w:val="26"/>
          <w:szCs w:val="26"/>
          <w:b/>
        </w:rPr>
        <w:t xml:space="preserve">2.2.3 Security Paradigms: Non-Custodial Trading and Cryptographic Key Protection</w:t>
      </w:r>
    </w:p>
    <w:p>
      <w:pPr>
        <w:jc w:val="both"/>
        <w:spacing w:before="100" w:after="100" w:line="360" w:lineRule="auto"/>
      </w:pPr>
      <w:r>
        <w:rPr>
          <w:rFonts w:ascii="Times New Roman" w:hAnsi="Times New Roman" w:cs="Times New Roman"/>
          <w:sz w:val="24"/>
          <w:szCs w:val="24"/>
        </w:rPr>
        <w:t xml:space="preserve">Security represents the most critical engineering challenge within digital asset software systems. The cryptocurrency domain is historically plagued by catastrophic security breaches resulting from the centralized custody of user funds and exchange private keys (Moore &amp; Christin, 2013). Centralized exchange failures and custodial platform insolvencies emphasize the foundational cryptographic adage: "Not your keys, not your coins."</w:t>
      </w:r>
    </w:p>
    <w:p>
      <w:pPr>
        <w:jc w:val="both"/>
        <w:spacing w:before="100" w:after="100" w:line="360" w:lineRule="auto"/>
      </w:pPr>
      <w:r>
        <w:rPr>
          <w:rFonts w:ascii="Times New Roman" w:hAnsi="Times New Roman" w:cs="Times New Roman"/>
          <w:sz w:val="24"/>
          <w:szCs w:val="24"/>
        </w:rPr>
        <w:t xml:space="preserve">Recent academic literature in financial security (Bonneau et al., 2015; Zohar, 2015) advocates for non-custodial and trade-only interface architectures. In a trade-only API model:</w:t>
      </w:r>
    </w:p>
    <w:p>
      <w:pPr>
        <w:jc w:val="both"/>
        <w:spacing w:before="100" w:after="100" w:line="360" w:lineRule="auto"/>
      </w:pPr>
      <w:r>
        <w:rPr>
          <w:rFonts w:ascii="Times New Roman" w:hAnsi="Times New Roman" w:cs="Times New Roman"/>
          <w:sz w:val="24"/>
          <w:szCs w:val="24"/>
        </w:rPr>
        <w:t xml:space="preserve">1. The user creates exchange API credentials restricted exclusively to reading balances and executing spot orders (canTrade = true), while explicitly revoking fund withdrawal capabilities (canWithdraw = false).</w:t>
      </w:r>
    </w:p>
    <w:p>
      <w:pPr>
        <w:jc w:val="both"/>
        <w:spacing w:before="100" w:after="100" w:line="360" w:lineRule="auto"/>
      </w:pPr>
      <w:r>
        <w:rPr>
          <w:rFonts w:ascii="Times New Roman" w:hAnsi="Times New Roman" w:cs="Times New Roman"/>
          <w:sz w:val="24"/>
          <w:szCs w:val="24"/>
        </w:rPr>
        <w:t xml:space="preserve">2. The management platform validates credentials during registration, immediately rejecting any key pair possessing withdrawal permissions to ensure that user funds can never be exfiltrated from the platform.</w:t>
      </w:r>
    </w:p>
    <w:p>
      <w:pPr>
        <w:jc w:val="both"/>
        <w:spacing w:before="100" w:after="100" w:line="360" w:lineRule="auto"/>
      </w:pPr>
      <w:r>
        <w:rPr>
          <w:rFonts w:ascii="Times New Roman" w:hAnsi="Times New Roman" w:cs="Times New Roman"/>
          <w:sz w:val="24"/>
          <w:szCs w:val="24"/>
        </w:rPr>
        <w:t xml:space="preserve">3. Cryptographic secret storage must comply with NIST Special Publication 800-38D standards. Storing plaintext credentials in application databases introduces critical single points of failure. High-assurance systems implement authenticated symmetric encryption using AES-256-GCM. Unlike legacy cipher modes (e.g., Electronic Codebook - ECB, or Cipher Block Chaining - CBC without integrity checks), AES-256-GCM generates a cryptographically random 12-byte initialization vector (IV/nonce) for every encryption operation and produces a 16-byte authentication tag (authTag). This design ensures that any unauthorized bit modification or ciphertext tampering is immediately detected during decryption, preventing chosen-ciphertext attacks.</w:t>
      </w:r>
    </w:p>
    <w:p>
      <w:pPr>
        <w:jc w:val="both"/>
        <w:spacing w:before="100" w:after="100" w:line="360" w:lineRule="auto"/>
      </w:pPr>
      <w:r>
        <w:rPr>
          <w:rFonts w:ascii="Times New Roman" w:hAnsi="Times New Roman" w:cs="Times New Roman"/>
          <w:sz w:val="24"/>
          <w:szCs w:val="24"/>
        </w:rPr>
        <w:t xml:space="preserve">4. Database architectures reinforce security boundaries through Row Level Security (RLS) policies within PostgreSQL. RLS ensures that each database query is bounded to the authenticated tenant (user_id = auth.uid()), preventing cross-tenant data exfiltration even in the event of client-side logic manipulation.</w:t>
      </w:r>
    </w:p>
    <w:p>
      <w:pPr>
        <w:jc w:val="left"/>
        <w:spacing w:before="160" w:after="100" w:line="360" w:lineRule="auto"/>
      </w:pPr>
      <w:r>
        <w:rPr>
          <w:rFonts w:ascii="Times New Roman" w:hAnsi="Times New Roman" w:cs="Times New Roman"/>
          <w:sz w:val="26"/>
          <w:szCs w:val="26"/>
          <w:b/>
        </w:rPr>
        <w:t xml:space="preserve">2.2.4 Behavioral Finance, Emotional Biases, and Decision-Support Systems</w:t>
      </w:r>
    </w:p>
    <w:p>
      <w:pPr>
        <w:jc w:val="both"/>
        <w:spacing w:before="100" w:after="100" w:line="360" w:lineRule="auto"/>
      </w:pPr>
      <w:r>
        <w:rPr>
          <w:rFonts w:ascii="Times New Roman" w:hAnsi="Times New Roman" w:cs="Times New Roman"/>
          <w:sz w:val="24"/>
          <w:szCs w:val="24"/>
        </w:rPr>
        <w:t xml:space="preserve">Standard economic models predicated on the Efficient Market Hypothesis (EMH) assume that market participants act as rational utility maximizers. However, the foundational works of Daniel Kahneman and Amos Tversky on Prospect Theory (1979) established that human decision-making under risk exhibits systematic cognitive biases, loss aversion, and heuristic shortcuts. In volatile financial environments like cryptocurrencies, behavioral finance research (Biais et al., 2005; Barber &amp; Odean, 2008) reveals that retail investors frequently succumb to two destructive psychological traps:</w:t>
      </w:r>
    </w:p>
    <w:p>
      <w:pPr>
        <w:jc w:val="both"/>
        <w:spacing w:before="100" w:after="100" w:line="360" w:lineRule="auto"/>
      </w:pPr>
      <w:r>
        <w:rPr>
          <w:rFonts w:ascii="Times New Roman" w:hAnsi="Times New Roman" w:cs="Times New Roman"/>
          <w:sz w:val="24"/>
          <w:szCs w:val="24"/>
        </w:rPr>
        <w:t xml:space="preserve">• Fear of Missing Out (FOMO): Driven by herd behavior and upward price momentum, investors execute impulsive market buy orders at local asset peaks after observing rapid price escalations.</w:t>
      </w:r>
    </w:p>
    <w:p>
      <w:pPr>
        <w:jc w:val="both"/>
        <w:spacing w:before="100" w:after="100" w:line="360" w:lineRule="auto"/>
      </w:pPr>
      <w:r>
        <w:rPr>
          <w:rFonts w:ascii="Times New Roman" w:hAnsi="Times New Roman" w:cs="Times New Roman"/>
          <w:sz w:val="24"/>
          <w:szCs w:val="24"/>
        </w:rPr>
        <w:t xml:space="preserve">• Panic Selling: Driven by asymmetric loss aversion (where the psychological pain of a loss is quantified as roughly twice as intense as the pleasure of an equivalent gain), investors liquidate holdings during market drawdowns, locking in catastrophic capital losses.</w:t>
      </w:r>
    </w:p>
    <w:p>
      <w:pPr>
        <w:jc w:val="both"/>
        <w:spacing w:before="100" w:after="100" w:line="360" w:lineRule="auto"/>
      </w:pPr>
      <w:r>
        <w:rPr>
          <w:rFonts w:ascii="Times New Roman" w:hAnsi="Times New Roman" w:cs="Times New Roman"/>
          <w:sz w:val="24"/>
          <w:szCs w:val="24"/>
        </w:rPr>
        <w:t xml:space="preserve">To mitigate these irrational behavioral impulses, recent human-computer interaction (HCI) and financial technology literature explores the implementation of automated "nudges" and algorithmic cooling-off mechanisms (Thaler &amp; Sunstein, 2008; Caraban et al., 2019). Architectural features such as Regret Guard systematically detect when an asset has appreciated by an abnormal threshold (e.g., exceeding an 8% gain within a 24-hour window) and enforce a mandatory 10-minute deliberation timer before trade confirmation. Concurrently, incorporating an Emotional Trade Journal allows market participants to tag their affective states (Conviction, Calm, FOMO, Panic, Greed) alongside quantitative transaction parameters. Retrospective analytics correlate emotional profiles with historical trade performance, fostering metacognitive discipline and institutional risk awareness.</w:t>
      </w:r>
    </w:p>
    <w:p>
      <w:pPr>
        <w:jc w:val="left"/>
        <w:spacing w:before="160" w:after="100" w:line="360" w:lineRule="auto"/>
      </w:pPr>
      <w:r>
        <w:rPr>
          <w:rFonts w:ascii="Times New Roman" w:hAnsi="Times New Roman" w:cs="Times New Roman"/>
          <w:sz w:val="26"/>
          <w:szCs w:val="26"/>
          <w:b/>
        </w:rPr>
        <w:t xml:space="preserve">2.2.5 Quantitative Portfolio Risk Modeling and Asset Allocation</w:t>
      </w:r>
    </w:p>
    <w:p>
      <w:pPr>
        <w:jc w:val="both"/>
        <w:spacing w:before="100" w:after="100" w:line="360" w:lineRule="auto"/>
      </w:pPr>
      <w:r>
        <w:rPr>
          <w:rFonts w:ascii="Times New Roman" w:hAnsi="Times New Roman" w:cs="Times New Roman"/>
          <w:sz w:val="24"/>
          <w:szCs w:val="24"/>
        </w:rPr>
        <w:t xml:space="preserve">Modern Portfolio Theory (MPT), originally pioneered by Nobel laureate Harry Markowitz (1952), demonstrates that asset risk should not be assessed in isolation, but rather through an asset's contribution to overall portfolio variance, correlation, and covariance. Within cryptocurrency markets, where cross-asset correlations fluctuate rapidly during macro liquidity shocks (Bouri et al., 2017), naïve portfolio tracking fails to provide sufficient risk transparency.</w:t>
      </w:r>
    </w:p>
    <w:p>
      <w:pPr>
        <w:jc w:val="both"/>
        <w:spacing w:before="100" w:after="100" w:line="360" w:lineRule="auto"/>
      </w:pPr>
      <w:r>
        <w:rPr>
          <w:rFonts w:ascii="Times New Roman" w:hAnsi="Times New Roman" w:cs="Times New Roman"/>
          <w:sz w:val="24"/>
          <w:szCs w:val="24"/>
        </w:rPr>
        <w:t xml:space="preserve">Advanced portfolio monitoring systems integrate quantitative risk metrics, primarily:</w:t>
      </w:r>
    </w:p>
    <w:p>
      <w:pPr>
        <w:jc w:val="both"/>
        <w:spacing w:before="100" w:after="100" w:line="360" w:lineRule="auto"/>
      </w:pPr>
      <w:r>
        <w:rPr>
          <w:rFonts w:ascii="Times New Roman" w:hAnsi="Times New Roman" w:cs="Times New Roman"/>
          <w:sz w:val="24"/>
          <w:szCs w:val="24"/>
        </w:rPr>
        <w:t xml:space="preserve">1. Herfindahl-Hirschman Index (HHI) for Concentration Risk: Derived from antitrust and economic market concentration models, the HHI calculates the sum of squared portfolio allocation weights. An HHI value approaching 1.0 indicates extreme single-asset concentration risk (e.g., a portfolio dominated entirely by Bitcoin), whereas a lower HHI reflects balanced diversification.</w:t>
      </w:r>
    </w:p>
    <w:p>
      <w:pPr>
        <w:jc w:val="both"/>
        <w:spacing w:before="100" w:after="100" w:line="360" w:lineRule="auto"/>
      </w:pPr>
      <w:r>
        <w:rPr>
          <w:rFonts w:ascii="Times New Roman" w:hAnsi="Times New Roman" w:cs="Times New Roman"/>
          <w:sz w:val="24"/>
          <w:szCs w:val="24"/>
        </w:rPr>
        <w:t xml:space="preserve">2. Asset Beta (β) and Volatility Weighting: The systemic sensitivity of individual crypto-assets relative to benchmark market indices (such as Bitcoin or Ethereum) is quantified through beta coefficients. Integrating volatility ratings directly into interactive interfaces allows real-time calculation of composite portfolio risk scores (0–100 scale), providing automated portfolio rebalancing recommendations when single-asset concentration exceeds predefined risk tolerances.</w:t>
      </w:r>
    </w:p>
    <w:p>
      <w:pPr>
        <w:jc w:val="left"/>
        <w:spacing w:before="160" w:after="100" w:line="360" w:lineRule="auto"/>
      </w:pPr>
      <w:r>
        <w:rPr>
          <w:rFonts w:ascii="Times New Roman" w:hAnsi="Times New Roman" w:cs="Times New Roman"/>
          <w:sz w:val="26"/>
          <w:szCs w:val="26"/>
          <w:b/>
        </w:rPr>
        <w:t xml:space="preserve">2.2.6 Automated Cost-Basis and Tax-Lot Accounting Methodologies</w:t>
      </w:r>
    </w:p>
    <w:p>
      <w:pPr>
        <w:jc w:val="both"/>
        <w:spacing w:before="100" w:after="100" w:line="360" w:lineRule="auto"/>
      </w:pPr>
      <w:r>
        <w:rPr>
          <w:rFonts w:ascii="Times New Roman" w:hAnsi="Times New Roman" w:cs="Times New Roman"/>
          <w:sz w:val="24"/>
          <w:szCs w:val="24"/>
        </w:rPr>
        <w:t xml:space="preserve">Taxation authorities globally—including the United States Internal Revenue Service (IRS Notice 2014-21) and international revenue agencies—classify cryptocurrencies as property rather than fiat currency. Consequently, every disposition of digital assets (including crypto-to-fiat sales, crypto-to-crypto trades, and payment settlements) triggers a taxable capital gains or losses recognition event.</w:t>
      </w:r>
    </w:p>
    <w:p>
      <w:pPr>
        <w:jc w:val="both"/>
        <w:spacing w:before="100" w:after="100" w:line="360" w:lineRule="auto"/>
      </w:pPr>
      <w:r>
        <w:rPr>
          <w:rFonts w:ascii="Times New Roman" w:hAnsi="Times New Roman" w:cs="Times New Roman"/>
          <w:sz w:val="24"/>
          <w:szCs w:val="24"/>
        </w:rPr>
        <w:t xml:space="preserve">Calculating tax liability across hundreds of fragmented transactions requires systematic tax-lot matching algorithms. The accounting and computational finance literature identifies three primary cost-basis methodologies:</w:t>
      </w:r>
    </w:p>
    <w:p>
      <w:pPr>
        <w:jc w:val="both"/>
        <w:spacing w:before="100" w:after="100" w:line="360" w:lineRule="auto"/>
      </w:pPr>
      <w:r>
        <w:rPr>
          <w:rFonts w:ascii="Times New Roman" w:hAnsi="Times New Roman" w:cs="Times New Roman"/>
          <w:sz w:val="24"/>
          <w:szCs w:val="24"/>
        </w:rPr>
        <w:t xml:space="preserve">• First-In, First-Out (FIFO): Assumes that the earliest acquired asset lots are liquidated first. In secular bull markets characterized by long-term price appreciation, FIFO systematically yields higher recognized capital gains and elevated short-term tax liabilities.</w:t>
      </w:r>
    </w:p>
    <w:p>
      <w:pPr>
        <w:jc w:val="both"/>
        <w:spacing w:before="100" w:after="100" w:line="360" w:lineRule="auto"/>
      </w:pPr>
      <w:r>
        <w:rPr>
          <w:rFonts w:ascii="Times New Roman" w:hAnsi="Times New Roman" w:cs="Times New Roman"/>
          <w:sz w:val="24"/>
          <w:szCs w:val="24"/>
        </w:rPr>
        <w:t xml:space="preserve">• Last-In, First-Out (LIFO): Assumes that the most recently acquired asset lots are liquidated first, which can compress recognized gains during continuous upward price trends.</w:t>
      </w:r>
    </w:p>
    <w:p>
      <w:pPr>
        <w:jc w:val="both"/>
        <w:spacing w:before="100" w:after="100" w:line="360" w:lineRule="auto"/>
      </w:pPr>
      <w:r>
        <w:rPr>
          <w:rFonts w:ascii="Times New Roman" w:hAnsi="Times New Roman" w:cs="Times New Roman"/>
          <w:sz w:val="24"/>
          <w:szCs w:val="24"/>
        </w:rPr>
        <w:t xml:space="preserve">• Highest-In, First-Out (HIFO): A tax-minimization methodology that matches dispositions against the highest purchase-price inventory lots available in the investor's balance pool. HIFO maximizes the cost basis, minimizes immediate net capital gains, and optimizes tax efficiency.</w:t>
      </w:r>
    </w:p>
    <w:p>
      <w:pPr>
        <w:jc w:val="both"/>
        <w:spacing w:before="100" w:after="100" w:line="360" w:lineRule="auto"/>
      </w:pPr>
      <w:r>
        <w:rPr>
          <w:rFonts w:ascii="Times New Roman" w:hAnsi="Times New Roman" w:cs="Times New Roman"/>
          <w:sz w:val="24"/>
          <w:szCs w:val="24"/>
        </w:rPr>
        <w:t xml:space="preserve">Automating these tax-lot calculations within a centralized portfolio engine eliminates laborious manual reconciliation, provides real-time estimates of short-term versus long-term capital liabilities, and enables standard export compliant with IRS Form 8949 reporting guidelines.</w:t>
      </w:r>
    </w:p>
    <w:p>
      <w:pPr>
        <w:jc w:val="left"/>
        <w:spacing w:before="160" w:after="100" w:line="360" w:lineRule="auto"/>
      </w:pPr>
      <w:r>
        <w:rPr>
          <w:rFonts w:ascii="Times New Roman" w:hAnsi="Times New Roman" w:cs="Times New Roman"/>
          <w:sz w:val="26"/>
          <w:szCs w:val="26"/>
          <w:b/>
        </w:rPr>
        <w:t xml:space="preserve">2.2.7 Comparative Analysis of Existing Solutions and Methodologies</w:t>
      </w:r>
    </w:p>
    <w:p>
      <w:pPr>
        <w:jc w:val="both"/>
        <w:spacing w:before="100" w:after="100" w:line="360" w:lineRule="auto"/>
      </w:pPr>
      <w:r>
        <w:rPr>
          <w:rFonts w:ascii="Times New Roman" w:hAnsi="Times New Roman" w:cs="Times New Roman"/>
          <w:sz w:val="24"/>
          <w:szCs w:val="24"/>
        </w:rPr>
        <w:t xml:space="preserve">Table 2.1 presents a comprehensive comparative analysis of existing commercial and academic digital asset tracking and portfolio management platforms against the proposed Cryptocurrency Management System:</w:t>
      </w:r>
    </w:p>
    <w:p>
      <w:pPr>
        <w:jc w:val="both"/>
        <w:spacing w:before="100" w:after="100" w:line="360" w:lineRule="auto"/>
      </w:pPr>
      <w:r>
        <w:rPr>
          <w:rFonts w:ascii="Times New Roman" w:hAnsi="Times New Roman" w:cs="Times New Roman"/>
          <w:sz w:val="24"/>
          <w:szCs w:val="24"/>
        </w:rPr>
        <w:t xml:space="preserve"/>
      </w:r>
    </w:p>
    <w:p>
      <w:pPr>
        <w:jc w:val="center"/>
        <w:spacing w:before="100" w:after="100" w:line="360" w:lineRule="auto"/>
      </w:pPr>
      <w:r>
        <w:rPr>
          <w:rFonts w:ascii="Times New Roman" w:hAnsi="Times New Roman" w:cs="Times New Roman"/>
          <w:sz w:val="22"/>
          <w:szCs w:val="22"/>
          <w:b/>
        </w:rPr>
        <w:t xml:space="preserve">TABLE 2.1 COMPARATIVE ANALYSIS OF CRYPTOCURRENCY MANAGEMENT PLATFORMS</w:t>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Feature / Architectural Dimension</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CoinMarketCap / CoinGecko</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Traditional Brokerages (Robinhood)</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Portfolio Trackers (CoinStats, Delta)</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Proposed System (CryptoPulse)</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Market Data Streaming</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Periodic HTTP Polling (High Latency)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Proprietary internal quotes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Hybrid Polling / WebSockets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Direct Binance WebSocket Stream (!miniTicker@arr)</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Trading Execution Mode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Informational Only (No execution)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Custodial execution (Holds keys &amp; fiat)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Paid API key integration / Limited</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Non-Custodial Multi-Mode: Paper ($10k), Testnet, Fiat On-Ramp</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Security &amp; Key Management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N/A (No key storage)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Centralized database custody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Encrypted cloud storage (Proprietary)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Server-Side AES-256-GCM + Non-Custodial Key Rejection + PostgreSQL RLS</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Global Trading Kill-Switch</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Not Applicable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Internal administrative halt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Admin Terminal Controlled Global Kill Switch (HTTP 503 Guard)</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Behavioral Risk Interventions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Basic price threshold alerts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Regret Guard (FOMO cooling timer) + Trade Journal (Emotion tags)</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Portfolio Risk Modeling</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Basic P&amp;L charts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Basic allocation pie charts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Risk Pulse (0–100 HHI Concentration &amp; Volatility + Rebalance)</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Tax-Lot Accounting Engine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Annual 1099 Form (Custodial)</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Paid Tier Subscription</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Real-time FIFO, LIFO, and HIFO Engine + IRS Form 8949 CSV Export</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Historical &amp; AI Analytics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Static historical charts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Technical charting only</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Historical performance graphs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Time Machine Simulator (DCA &amp; Lump-Sum) + Explain the Move (AI Catalyst)</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Platform Cost &amp; Accessibility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Free / Ad-Supported</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Trading spreads &amp; commissions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Subscription-based tiers ($10–$30/mo)</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100% Free Tier Architecture (Zero-Cost Educational Platform)</w:t>
            </w:r>
          </w:p>
        </w:tc>
      </w:tr>
    </w:tbl>
    <w:p>
      <w:pPr>
        <w:jc w:val="both"/>
        <w:spacing w:before="100" w:after="100" w:line="360" w:lineRule="auto"/>
      </w:pPr>
      <w:r>
        <w:rPr>
          <w:rFonts w:ascii="Times New Roman" w:hAnsi="Times New Roman" w:cs="Times New Roman"/>
          <w:sz w:val="24"/>
          <w:szCs w:val="24"/>
        </w:rPr>
        <w:t xml:space="preserve"/>
      </w:r>
    </w:p>
    <w:p>
      <w:pPr>
        <w:jc w:val="left"/>
        <w:spacing w:before="160" w:after="100" w:line="360" w:lineRule="auto"/>
      </w:pPr>
      <w:r>
        <w:rPr>
          <w:rFonts w:ascii="Times New Roman" w:hAnsi="Times New Roman" w:cs="Times New Roman"/>
          <w:sz w:val="26"/>
          <w:szCs w:val="26"/>
          <w:b/>
        </w:rPr>
        <w:t xml:space="preserve">2.2.8 Identified Research and Engineering Gaps</w:t>
      </w:r>
    </w:p>
    <w:p>
      <w:pPr>
        <w:jc w:val="both"/>
        <w:spacing w:before="100" w:after="100" w:line="360" w:lineRule="auto"/>
      </w:pPr>
      <w:r>
        <w:rPr>
          <w:rFonts w:ascii="Times New Roman" w:hAnsi="Times New Roman" w:cs="Times New Roman"/>
          <w:sz w:val="24"/>
          <w:szCs w:val="24"/>
        </w:rPr>
        <w:t xml:space="preserve">A critical synthesis of the reviewed literature and existing commercial platforms reveals several prominent gaps:</w:t>
      </w:r>
    </w:p>
    <w:p>
      <w:pPr>
        <w:jc w:val="both"/>
        <w:spacing w:before="100" w:after="100" w:line="360" w:lineRule="auto"/>
      </w:pPr>
      <w:r>
        <w:rPr>
          <w:rFonts w:ascii="Times New Roman" w:hAnsi="Times New Roman" w:cs="Times New Roman"/>
          <w:sz w:val="24"/>
          <w:szCs w:val="24"/>
        </w:rPr>
        <w:t xml:space="preserve">1. Dichotomy Between Pure Trackers and Custodial Exchanges: Existing solutions are fundamentally split between passive trackers (which display market metrics without execution capabilities) and custodial exchanges (which demand complete custody over user funds and private keys). There is a distinct absence of unified, non-custodial systems that enable real-time tracking, risk modeling, and controlled sandbox testnet trading within a single zero-risk environment.</w:t>
      </w:r>
    </w:p>
    <w:p>
      <w:pPr>
        <w:jc w:val="both"/>
        <w:spacing w:before="100" w:after="100" w:line="360" w:lineRule="auto"/>
      </w:pPr>
      <w:r>
        <w:rPr>
          <w:rFonts w:ascii="Times New Roman" w:hAnsi="Times New Roman" w:cs="Times New Roman"/>
          <w:sz w:val="24"/>
          <w:szCs w:val="24"/>
        </w:rPr>
        <w:t xml:space="preserve">2. Neglect of Behavioral and Psychological Trading Biases: While commercial applications focus predominantly on technical chart indicators, they universally omit cognitive and behavioral safeguards. The absence of automated emotional intervention tools allows retail traders to fall victim to FOMO buying and panic selling during volatile market events.</w:t>
      </w:r>
    </w:p>
    <w:p>
      <w:pPr>
        <w:jc w:val="both"/>
        <w:spacing w:before="100" w:after="100" w:line="360" w:lineRule="auto"/>
      </w:pPr>
      <w:r>
        <w:rPr>
          <w:rFonts w:ascii="Times New Roman" w:hAnsi="Times New Roman" w:cs="Times New Roman"/>
          <w:sz w:val="24"/>
          <w:szCs w:val="24"/>
        </w:rPr>
        <w:t xml:space="preserve">3. Monetization and Proprietary Lock-In of Tax and Risk Tools: Essential analytical capabilities—such as tax-lot optimization (HIFO/LIFO) and quantitative concentration risk modeling—are predominantly locked behind expensive commercial paywalls, limiting their accessibility for students, academic researchers, and retail investors.</w:t>
      </w:r>
    </w:p>
    <w:p>
      <w:pPr>
        <w:jc w:val="both"/>
        <w:spacing w:before="100" w:after="100" w:line="360" w:lineRule="auto"/>
      </w:pPr>
      <w:r>
        <w:rPr>
          <w:rFonts w:ascii="Times New Roman" w:hAnsi="Times New Roman" w:cs="Times New Roman"/>
          <w:sz w:val="24"/>
          <w:szCs w:val="24"/>
        </w:rPr>
        <w:t xml:space="preserve">4. Transparent, Zero-Cost Academic Reference Architectures: The academic literature lacks an open, reproducible full-stack architecture that combines modern modular web frameworks (Next.js, TypeScript, Tailwind CSS), serverless database isolation (PostgreSQL RLS), and dual-feed financial streaming (CoinGecko REST + Binance WebSockets) engineered entirely upon free-tier infrastructure.</w:t>
      </w:r>
    </w:p>
    <w:p>
      <w:pPr>
        <w:jc w:val="both"/>
        <w:spacing w:before="100" w:after="100" w:line="360" w:lineRule="auto"/>
      </w:pPr>
      <w:r>
        <w:rPr>
          <w:rFonts w:ascii="Times New Roman" w:hAnsi="Times New Roman" w:cs="Times New Roman"/>
          <w:sz w:val="24"/>
          <w:szCs w:val="24"/>
        </w:rPr>
        <w:t xml:space="preserve">The Cryptocurrency Management System developed in this project directly addresses these identified gaps by providing an integrated, secure, non-custodial, and behaviorally cognizant platform.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jc w:val="both"/>
      </w:pPr>
    </w:p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