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100" w:after="100" w:line="360" w:lineRule="auto"/>
      </w:pPr>
      <w:r>
        <w:rPr>
          <w:rFonts w:ascii="Times New Roman" w:hAnsi="Times New Roman" w:cs="Times New Roman"/>
          <w:sz w:val="24"/>
          <w:szCs w:val="24"/>
          <w:b/>
        </w:rPr>
        <w:t xml:space="preserve">ANNA UNIVERSITY</w:t>
      </w:r>
    </w:p>
    <w:p>
      <w:pPr>
        <w:jc w:val="center"/>
        <w:spacing w:before="50" w:after="50" w:line="360" w:lineRule="auto"/>
      </w:pPr>
      <w:r>
        <w:rPr>
          <w:rFonts w:ascii="Times New Roman" w:hAnsi="Times New Roman" w:cs="Times New Roman"/>
          <w:sz w:val="28"/>
          <w:szCs w:val="28"/>
          <w:b/>
        </w:rPr>
        <w:t xml:space="preserve">EASWARI ENGINEERING COLLEGE</w:t>
      </w:r>
    </w:p>
    <w:p>
      <w:pPr>
        <w:jc w:val="center"/>
        <w:spacing w:before="50" w:after="300" w:line="360" w:lineRule="auto"/>
      </w:pPr>
      <w:r>
        <w:rPr>
          <w:rFonts w:ascii="Times New Roman" w:hAnsi="Times New Roman" w:cs="Times New Roman"/>
          <w:sz w:val="22"/>
          <w:szCs w:val="22"/>
          <w:b/>
        </w:rPr>
        <w:t xml:space="preserve">RAMAPURAM, CHENNAI - 600 089 (AUTONOMOUS)</w:t>
      </w:r>
    </w:p>
    <w:p>
      <w:pPr>
        <w:jc w:val="center"/>
        <w:spacing w:before="200" w:after="200" w:line="360" w:lineRule="auto"/>
      </w:pPr>
      <w:r>
        <w:rPr>
          <w:rFonts w:ascii="Times New Roman" w:hAnsi="Times New Roman" w:cs="Times New Roman"/>
          <w:sz w:val="32"/>
          <w:szCs w:val="32"/>
          <w:b/>
        </w:rPr>
        <w:t xml:space="preserve">CRYPTOCURRENCY MANAGEMENT SYSTEM</w:t>
      </w:r>
    </w:p>
    <w:p>
      <w:pPr>
        <w:jc w:val="center"/>
        <w:spacing w:before="100" w:after="300" w:line="360" w:lineRule="auto"/>
      </w:pPr>
      <w:r>
        <w:rPr>
          <w:rFonts w:ascii="Times New Roman" w:hAnsi="Times New Roman" w:cs="Times New Roman"/>
          <w:sz w:val="24"/>
          <w:szCs w:val="24"/>
          <w:b/>
        </w:rPr>
        <w:t xml:space="preserve">A PROJECT REPORT</w:t>
      </w:r>
    </w:p>
    <w:p>
      <w:pPr>
        <w:jc w:val="center"/>
        <w:spacing w:before="100" w:after="150" w:line="360" w:lineRule="auto"/>
      </w:pPr>
      <w:r>
        <w:rPr>
          <w:rFonts w:ascii="Times New Roman" w:hAnsi="Times New Roman" w:cs="Times New Roman"/>
          <w:sz w:val="24"/>
          <w:szCs w:val="24"/>
          <w:i/>
        </w:rPr>
        <w:t xml:space="preserve">Submitted by</w:t>
      </w:r>
    </w:p>
    <w:p>
      <w:pPr>
        <w:jc w:val="center"/>
        <w:spacing w:before="50" w:after="50" w:line="360" w:lineRule="auto"/>
      </w:pPr>
      <w:r>
        <w:rPr>
          <w:rFonts w:ascii="Times New Roman" w:hAnsi="Times New Roman" w:cs="Times New Roman"/>
          <w:sz w:val="26"/>
          <w:szCs w:val="26"/>
          <w:b/>
        </w:rPr>
        <w:t xml:space="preserve">MOHAMMED IBRAHIM T (310625243133)</w:t>
      </w:r>
    </w:p>
    <w:p>
      <w:pPr>
        <w:jc w:val="center"/>
        <w:spacing w:before="50" w:after="150" w:line="360" w:lineRule="auto"/>
      </w:pPr>
      <w:r>
        <w:rPr>
          <w:rFonts w:ascii="Times New Roman" w:hAnsi="Times New Roman" w:cs="Times New Roman"/>
          <w:sz w:val="26"/>
          <w:szCs w:val="26"/>
          <w:b/>
        </w:rPr>
        <w:t xml:space="preserve">MUNESKUMAR S (310625243138)</w:t>
      </w:r>
    </w:p>
    <w:p>
      <w:pPr>
        <w:jc w:val="center"/>
        <w:spacing w:before="50" w:after="50" w:line="360" w:lineRule="auto"/>
      </w:pPr>
      <w:r>
        <w:rPr>
          <w:rFonts w:ascii="Times New Roman" w:hAnsi="Times New Roman" w:cs="Times New Roman"/>
          <w:sz w:val="24"/>
          <w:szCs w:val="24"/>
          <w:b/>
        </w:rPr>
        <w:t xml:space="preserve">SECTION : C</w:t>
      </w:r>
    </w:p>
    <w:p>
      <w:pPr>
        <w:jc w:val="center"/>
        <w:spacing w:before="50" w:after="300" w:line="360" w:lineRule="auto"/>
      </w:pPr>
      <w:r>
        <w:rPr>
          <w:rFonts w:ascii="Times New Roman" w:hAnsi="Times New Roman" w:cs="Times New Roman"/>
          <w:sz w:val="24"/>
          <w:szCs w:val="24"/>
          <w:b/>
        </w:rPr>
        <w:t xml:space="preserve">TEAM NUMBER : 10</w:t>
      </w:r>
    </w:p>
    <w:p>
      <w:pPr>
        <w:jc w:val="center"/>
        <w:spacing w:before="100" w:after="100" w:line="360" w:lineRule="auto"/>
      </w:pPr>
      <w:r>
        <w:rPr>
          <w:rFonts w:ascii="Times New Roman" w:hAnsi="Times New Roman" w:cs="Times New Roman"/>
          <w:sz w:val="24"/>
          <w:szCs w:val="24"/>
          <w:i/>
        </w:rPr>
        <w:t xml:space="preserve">in partial fulfilment for the award of the degree of</w:t>
      </w:r>
    </w:p>
    <w:p>
      <w:pPr>
        <w:jc w:val="center"/>
        <w:spacing w:before="50" w:after="50" w:line="360" w:lineRule="auto"/>
      </w:pPr>
      <w:r>
        <w:rPr>
          <w:rFonts w:ascii="Times New Roman" w:hAnsi="Times New Roman" w:cs="Times New Roman"/>
          <w:sz w:val="26"/>
          <w:szCs w:val="26"/>
          <w:b/>
        </w:rPr>
        <w:t xml:space="preserve">BACHELOR OF TECHNOLOGY</w:t>
      </w:r>
    </w:p>
    <w:p>
      <w:pPr>
        <w:jc w:val="center"/>
        <w:spacing w:before="50" w:after="50" w:line="360" w:lineRule="auto"/>
      </w:pPr>
      <w:r>
        <w:rPr>
          <w:rFonts w:ascii="Times New Roman" w:hAnsi="Times New Roman" w:cs="Times New Roman"/>
          <w:sz w:val="24"/>
          <w:szCs w:val="24"/>
          <w:b/>
        </w:rPr>
        <w:t xml:space="preserve">IN</w:t>
      </w:r>
    </w:p>
    <w:p>
      <w:pPr>
        <w:jc w:val="center"/>
        <w:spacing w:before="50" w:after="200" w:line="360" w:lineRule="auto"/>
      </w:pPr>
      <w:r>
        <w:rPr>
          <w:rFonts w:ascii="Times New Roman" w:hAnsi="Times New Roman" w:cs="Times New Roman"/>
          <w:sz w:val="26"/>
          <w:szCs w:val="26"/>
          <w:b/>
        </w:rPr>
        <w:t xml:space="preserve">ARTIFICIAL INTELLIGENCE AND DATA SCIENCE</w:t>
      </w:r>
    </w:p>
    <w:p>
      <w:pPr>
        <w:jc w:val="center"/>
        <w:spacing w:before="50" w:after="50" w:line="360" w:lineRule="auto"/>
      </w:pPr>
      <w:r>
        <w:rPr>
          <w:rFonts w:ascii="Times New Roman" w:hAnsi="Times New Roman" w:cs="Times New Roman"/>
          <w:sz w:val="24"/>
          <w:szCs w:val="24"/>
          <w:b/>
        </w:rPr>
        <w:t xml:space="preserve">EASWARI ENGINEERING COLLEGE, RAMAPURAM (AUTONOMOUS)</w:t>
      </w:r>
    </w:p>
    <w:p>
      <w:pPr>
        <w:jc w:val="center"/>
        <w:spacing w:before="50" w:after="50" w:line="360" w:lineRule="auto"/>
      </w:pPr>
      <w:r>
        <w:rPr>
          <w:rFonts w:ascii="Times New Roman" w:hAnsi="Times New Roman" w:cs="Times New Roman"/>
          <w:sz w:val="24"/>
          <w:szCs w:val="24"/>
          <w:b/>
        </w:rPr>
        <w:t xml:space="preserve">ANNA UNIVERSITY: CHENNAI 600 025</w:t>
      </w:r>
    </w:p>
    <w:p>
      <w:pPr>
        <w:jc w:val="center"/>
        <w:spacing w:before="50" w:after="50" w:line="360" w:lineRule="auto"/>
      </w:pPr>
      <w:r>
        <w:rPr>
          <w:rFonts w:ascii="Times New Roman" w:hAnsi="Times New Roman" w:cs="Times New Roman"/>
          <w:sz w:val="24"/>
          <w:szCs w:val="24"/>
          <w:b/>
        </w:rPr>
        <w:t xml:space="preserve">ACADEMIC YEAR: 2026-2027</w:t>
      </w:r>
    </w:p>
    <w:p>
      <w:r>
        <w:br w:type="page"/>
      </w:r>
    </w:p>
    <w:p>
      <w:pPr>
        <w:jc w:val="center"/>
        <w:spacing w:before="240" w:after="180" w:line="360" w:lineRule="auto"/>
      </w:pPr>
      <w:r>
        <w:rPr>
          <w:rFonts w:ascii="Times New Roman" w:hAnsi="Times New Roman" w:cs="Times New Roman"/>
          <w:sz w:val="32"/>
          <w:szCs w:val="32"/>
          <w:b/>
        </w:rPr>
        <w:t xml:space="preserve">BONAFIDE CERTIFICATE</w:t>
      </w:r>
    </w:p>
    <w:p>
      <w:pPr>
        <w:jc w:val="both"/>
        <w:spacing w:before="100" w:after="100" w:line="360" w:lineRule="auto"/>
      </w:pPr>
      <w:r>
        <w:rPr>
          <w:rFonts w:ascii="Times New Roman" w:hAnsi="Times New Roman" w:cs="Times New Roman"/>
          <w:sz w:val="24"/>
          <w:szCs w:val="24"/>
        </w:rPr>
        <w:t xml:space="preserve">Certified that this project report titled "CRYPTOCURRENCY MANAGEMENT SYSTEM" is the Bonafide work of "MOHAMMED IBRAHIM T (310625243133), MUNESKUMAR S (310625243138)" who carried out the project work under our supervision in partial fulfilment of the requirements for the award of the degree of Bachelor of Technology in Artificial Intelligence and Data Science of Easwari Engineering College, Ramapuram (Autonomous), affiliated to Anna University, Chennai.</w:t>
      </w:r>
    </w:p>
    <w:p>
      <w:pPr>
        <w:jc w:val="both"/>
        <w:spacing w:before="100" w:after="10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
      </w:r>
    </w:p>
    <w:p>
      <w:pPr>
        <w:jc w:val="left"/>
        <w:spacing w:before="300" w:after="50" w:line="360" w:lineRule="auto"/>
      </w:pPr>
      <w:r>
        <w:rPr>
          <w:rFonts w:ascii="Times New Roman" w:hAnsi="Times New Roman" w:cs="Times New Roman"/>
          <w:sz w:val="24"/>
          <w:szCs w:val="24"/>
          <w:b/>
        </w:rPr>
        <w:t xml:space="preserve">Dr. KALAI SELVI                                            </w:t>
      </w:r>
      <w:r>
        <w:rPr>
          <w:rFonts w:ascii="Times New Roman" w:hAnsi="Times New Roman" w:cs="Times New Roman"/>
          <w:sz w:val="24"/>
          <w:szCs w:val="24"/>
          <w:b/>
        </w:rPr>
        <w:t xml:space="preserve">Mrs. V. SANGEETHA</w:t>
      </w:r>
    </w:p>
    <w:p>
      <w:pPr>
        <w:jc w:val="left"/>
        <w:spacing w:before="0" w:after="50" w:line="360" w:lineRule="auto"/>
      </w:pPr>
      <w:r>
        <w:rPr>
          <w:rFonts w:ascii="Times New Roman" w:hAnsi="Times New Roman" w:cs="Times New Roman"/>
          <w:sz w:val="22"/>
          <w:szCs w:val="22"/>
          <w:b/>
        </w:rPr>
        <w:t xml:space="preserve">HEAD OF THE DEPARTMENT                              </w:t>
      </w:r>
      <w:r>
        <w:rPr>
          <w:rFonts w:ascii="Times New Roman" w:hAnsi="Times New Roman" w:cs="Times New Roman"/>
          <w:sz w:val="22"/>
          <w:szCs w:val="22"/>
          <w:b/>
        </w:rPr>
        <w:t xml:space="preserve">SUPERVISOR</w:t>
      </w:r>
    </w:p>
    <w:p>
      <w:pPr>
        <w:jc w:val="left"/>
        <w:spacing w:before="0" w:after="50" w:line="360" w:lineRule="auto"/>
      </w:pPr>
      <w:r>
        <w:rPr>
          <w:rFonts w:ascii="Times New Roman" w:hAnsi="Times New Roman" w:cs="Times New Roman"/>
          <w:sz w:val="22"/>
          <w:szCs w:val="22"/>
        </w:rPr>
        <w:t xml:space="preserve">Professor                                                               </w:t>
      </w:r>
      <w:r>
        <w:rPr>
          <w:rFonts w:ascii="Times New Roman" w:hAnsi="Times New Roman" w:cs="Times New Roman"/>
          <w:sz w:val="22"/>
          <w:szCs w:val="22"/>
        </w:rPr>
        <w:t xml:space="preserve">Assistant Professor</w:t>
      </w:r>
    </w:p>
    <w:p>
      <w:pPr>
        <w:jc w:val="left"/>
        <w:spacing w:before="0" w:after="50" w:line="360" w:lineRule="auto"/>
      </w:pPr>
      <w:r>
        <w:rPr>
          <w:rFonts w:ascii="Times New Roman" w:hAnsi="Times New Roman" w:cs="Times New Roman"/>
          <w:sz w:val="22"/>
          <w:szCs w:val="22"/>
        </w:rPr>
        <w:t xml:space="preserve">Dept. of AI &amp; DS                                                  </w:t>
      </w:r>
      <w:r>
        <w:rPr>
          <w:rFonts w:ascii="Times New Roman" w:hAnsi="Times New Roman" w:cs="Times New Roman"/>
          <w:sz w:val="22"/>
          <w:szCs w:val="22"/>
        </w:rPr>
        <w:t xml:space="preserve">Dept. of AI &amp; DS</w:t>
      </w:r>
    </w:p>
    <w:p>
      <w:pPr>
        <w:jc w:val="left"/>
        <w:spacing w:before="0" w:after="50" w:line="360" w:lineRule="auto"/>
      </w:pPr>
      <w:r>
        <w:rPr>
          <w:rFonts w:ascii="Times New Roman" w:hAnsi="Times New Roman" w:cs="Times New Roman"/>
          <w:sz w:val="22"/>
          <w:szCs w:val="22"/>
        </w:rPr>
        <w:t xml:space="preserve">Easwari Engineering College                              </w:t>
      </w:r>
      <w:r>
        <w:rPr>
          <w:rFonts w:ascii="Times New Roman" w:hAnsi="Times New Roman" w:cs="Times New Roman"/>
          <w:sz w:val="22"/>
          <w:szCs w:val="22"/>
        </w:rPr>
        <w:t xml:space="preserve">Easwari Engineering College</w:t>
      </w:r>
    </w:p>
    <w:p>
      <w:pPr>
        <w:jc w:val="left"/>
        <w:spacing w:before="0" w:after="300" w:line="360" w:lineRule="auto"/>
      </w:pPr>
      <w:r>
        <w:rPr>
          <w:rFonts w:ascii="Times New Roman" w:hAnsi="Times New Roman" w:cs="Times New Roman"/>
          <w:sz w:val="22"/>
          <w:szCs w:val="22"/>
        </w:rPr>
        <w:t xml:space="preserve">Ramapuram, Chennai - 89                                  </w:t>
      </w:r>
      <w:r>
        <w:rPr>
          <w:rFonts w:ascii="Times New Roman" w:hAnsi="Times New Roman" w:cs="Times New Roman"/>
          <w:sz w:val="22"/>
          <w:szCs w:val="22"/>
        </w:rPr>
        <w:t xml:space="preserve">Ramapuram, Chennai - 89</w:t>
      </w:r>
    </w:p>
    <w:p>
      <w:pPr>
        <w:jc w:val="both"/>
        <w:spacing w:before="100" w:after="100" w:line="360" w:lineRule="auto"/>
      </w:pPr>
      <w:r>
        <w:rPr>
          <w:rFonts w:ascii="Times New Roman" w:hAnsi="Times New Roman" w:cs="Times New Roman"/>
          <w:sz w:val="24"/>
          <w:szCs w:val="24"/>
        </w:rPr>
        <w:t xml:space="preserve">Submitted for the project work examination held on ......................................</w:t>
      </w:r>
    </w:p>
    <w:p>
      <w:pPr>
        <w:jc w:val="both"/>
        <w:spacing w:before="100" w:after="100" w:line="360" w:lineRule="auto"/>
      </w:pPr>
      <w:r>
        <w:rPr>
          <w:rFonts w:ascii="Times New Roman" w:hAnsi="Times New Roman" w:cs="Times New Roman"/>
          <w:sz w:val="24"/>
          <w:szCs w:val="24"/>
        </w:rPr>
        <w:t xml:space="preserve"/>
      </w:r>
    </w:p>
    <w:p>
      <w:pPr>
        <w:jc w:val="left"/>
        <w:spacing w:before="400" w:after="50" w:line="360" w:lineRule="auto"/>
      </w:pPr>
      <w:r>
        <w:rPr>
          <w:rFonts w:ascii="Times New Roman" w:hAnsi="Times New Roman" w:cs="Times New Roman"/>
          <w:sz w:val="24"/>
          <w:szCs w:val="24"/>
          <w:b/>
        </w:rPr>
        <w:t xml:space="preserve">INTERNAL EXAMINER                                        </w:t>
      </w:r>
      <w:r>
        <w:rPr>
          <w:rFonts w:ascii="Times New Roman" w:hAnsi="Times New Roman" w:cs="Times New Roman"/>
          <w:sz w:val="24"/>
          <w:szCs w:val="24"/>
          <w:b/>
        </w:rPr>
        <w:t xml:space="preserve">EXTERNAL EXAMINER</w:t>
      </w:r>
    </w:p>
    <w:p>
      <w:r>
        <w:br w:type="page"/>
      </w:r>
    </w:p>
    <w:p>
      <w:pPr>
        <w:jc w:val="center"/>
        <w:spacing w:before="240" w:after="180" w:line="360" w:lineRule="auto"/>
      </w:pPr>
      <w:r>
        <w:rPr>
          <w:rFonts w:ascii="Times New Roman" w:hAnsi="Times New Roman" w:cs="Times New Roman"/>
          <w:sz w:val="32"/>
          <w:szCs w:val="32"/>
          <w:b/>
        </w:rPr>
        <w:t xml:space="preserve">ABSTRACT</w:t>
      </w:r>
    </w:p>
    <w:p>
      <w:pPr>
        <w:jc w:val="both"/>
        <w:spacing w:before="100" w:after="100" w:line="360" w:lineRule="auto"/>
      </w:pPr>
      <w:r>
        <w:rPr>
          <w:rFonts w:ascii="Times New Roman" w:hAnsi="Times New Roman" w:cs="Times New Roman"/>
          <w:sz w:val="24"/>
          <w:szCs w:val="24"/>
        </w:rPr>
        <w:t xml:space="preserve">The rapid evolution of decentralized digital finance and cryptocurrency markets has introduced an unprecedented volume of high-velocity, volatile financial data. Market participants managing digital asset portfolios are routinely confronted with extreme market fragmentation, navigating disparate trading venues, third-party analytics dashboards, and error-prone manual spreadsheets. This fragmentation not only incurs significant cognitive fatigue and latency in decision execution but also exposes retail and semi-institutional participants to severe operational vulnerabilities, including plain-text API credential leakage, lack of centralized risk visibility, unaddressed emotional trading biases (e.g., FOMO and panic liquidations), and computationally intricate multi-tranche tax liability calculations. To address these systemic challenges, this project presents the engineering and architectural implementation of the Cryptocurrency Management System (CryptoPulse)—a unified, non-custodial web platform engineered for real-time market surveillance, portfolio administration, risk diagnostics, behavioral decision friction, and sandboxed testnet execution.</w:t>
      </w:r>
    </w:p>
    <w:p>
      <w:pPr>
        <w:jc w:val="both"/>
        <w:spacing w:before="100" w:after="100" w:line="360" w:lineRule="auto"/>
      </w:pPr>
      <w:r>
        <w:rPr>
          <w:rFonts w:ascii="Times New Roman" w:hAnsi="Times New Roman" w:cs="Times New Roman"/>
          <w:sz w:val="24"/>
          <w:szCs w:val="24"/>
        </w:rPr>
        <w:t xml:space="preserve">The software architecture is constructed on a modern full-stack foundation utilizing Next.js 14 with the App Router, React 18, TypeScript 5, and Tailwind CSS. Static typing and runtime schema boundary validations are strictly enforced via Zod. The persistence layer integrates Supabase (PostgreSQL) fortified by comprehensive Row Level Security (RLS) policies that mathematically ensure multi-tenant data isolation. Live market intelligence is ingested via dual asynchronous pipelines: low-latency, full-duplex WebSocket ticker streams direct from Binance (!miniTicker@arr) paired with high-breadth CoinGecko REST endpoints for asset discovery and historical tracking. To guarantee end-to-end security without requiring custody of user capital, all user-provided exchange credentials are encrypted server-side utilizing AES-256-GCM envelope encryption with random initialization vectors and cryptographic authentication tags. Furthermore, the system enforces a strict non-custodial operational policy: exchange API keys possessing withdrawal permissions are deterministically rejected during credential registration.</w:t>
      </w:r>
    </w:p>
    <w:p>
      <w:pPr>
        <w:jc w:val="both"/>
        <w:spacing w:before="100" w:after="100" w:line="360" w:lineRule="auto"/>
      </w:pPr>
      <w:r>
        <w:rPr>
          <w:rFonts w:ascii="Times New Roman" w:hAnsi="Times New Roman" w:cs="Times New Roman"/>
          <w:sz w:val="24"/>
          <w:szCs w:val="24"/>
        </w:rPr>
        <w:t xml:space="preserve">Going beyond conventional portfolio trackers, the platform introduces specialized analytical and behavioral decision-support engines. A quantitative Portfolio Risk Pulse dynamically computes portfolio concentration using the Herfindahl-Hirschman Index (HHI) alongside weighted asset volatility betas, generating real-time rebalancing recommendations. A behavioral decision-support mechanism, designated the 'Regret Guard,' detects extreme upward market surges and injects a mandatory 10-minute psychological cooling-off friction period to prevent irrational top-of-market impulse buying. The platform features an automated Tax-Lot Accounting Engine supporting First-In, First-Out (FIFO), Last-In, First-Out (LIFO), and Highest-In, First-Out (HIFO) disposition matching algorithms with one-click IRS Form 8949 compliant CSV reporting. Additional capabilities include a Time Machine backtesting simulator for Dollar-Cost Averaging (DCA), an AI-assisted market catalyst analyzer powered by Google Gemini ('Explain the Move'), and a behavioral Trade Journal featuring psychological emotion tagging.</w:t>
      </w:r>
    </w:p>
    <w:p>
      <w:pPr>
        <w:jc w:val="both"/>
        <w:spacing w:before="100" w:after="100" w:line="360" w:lineRule="auto"/>
      </w:pPr>
      <w:r>
        <w:rPr>
          <w:rFonts w:ascii="Times New Roman" w:hAnsi="Times New Roman" w:cs="Times New Roman"/>
          <w:sz w:val="24"/>
          <w:szCs w:val="24"/>
        </w:rPr>
        <w:t xml:space="preserve">Empirical evaluation and stress testing demonstrate that the unified platform achieves sub-80ms WebSocket ticker processing, server-side API response latencies below 120ms, and resilient fault tolerance via automated exponential backoff reconnection and local offline demo stores. The system provides an administrator-controlled global trading kill switch capable of halting all execution gateways within milliseconds during emergency market stress. The resulting platform demonstrates how advanced full-stack software engineering, robust cryptographic protocols, quantitative financial modeling, and behavioral economics can be synthesized into an open, secure, and educational digital asset management environment.</w:t>
      </w:r>
    </w:p>
    <w:p>
      <w:r>
        <w:br w:type="page"/>
      </w:r>
    </w:p>
    <w:p>
      <w:pPr>
        <w:jc w:val="center"/>
        <w:spacing w:before="240" w:after="180" w:line="360" w:lineRule="auto"/>
      </w:pPr>
      <w:r>
        <w:rPr>
          <w:rFonts w:ascii="Times New Roman" w:hAnsi="Times New Roman" w:cs="Times New Roman"/>
          <w:sz w:val="32"/>
          <w:szCs w:val="32"/>
          <w:b/>
        </w:rPr>
        <w:t xml:space="preserve">ACKNOWLEDGEMENT</w:t>
      </w:r>
    </w:p>
    <w:p>
      <w:pPr>
        <w:jc w:val="both"/>
        <w:spacing w:before="100" w:after="100" w:line="360" w:lineRule="auto"/>
      </w:pPr>
      <w:r>
        <w:rPr>
          <w:rFonts w:ascii="Times New Roman" w:hAnsi="Times New Roman" w:cs="Times New Roman"/>
          <w:sz w:val="24"/>
          <w:szCs w:val="24"/>
        </w:rPr>
        <w:t xml:space="preserve">We thank the Almighty GOD for the abundant blessings, health, wisdom, and guidance showered upon us throughout the duration of this academic project.</w:t>
      </w:r>
    </w:p>
    <w:p>
      <w:pPr>
        <w:jc w:val="both"/>
        <w:spacing w:before="100" w:after="100" w:line="360" w:lineRule="auto"/>
      </w:pPr>
      <w:r>
        <w:rPr>
          <w:rFonts w:ascii="Times New Roman" w:hAnsi="Times New Roman" w:cs="Times New Roman"/>
          <w:sz w:val="24"/>
          <w:szCs w:val="24"/>
        </w:rPr>
        <w:t xml:space="preserve">We extend our deepest love, heartfelt gratitude, and respect to our dear parents and family members, whose continuous moral encouragement, endless sacrifices, and unwavering support have been the cornerstone of our educational journey.</w:t>
      </w:r>
    </w:p>
    <w:p>
      <w:pPr>
        <w:jc w:val="both"/>
        <w:spacing w:before="100" w:after="100" w:line="360" w:lineRule="auto"/>
      </w:pPr>
      <w:r>
        <w:rPr>
          <w:rFonts w:ascii="Times New Roman" w:hAnsi="Times New Roman" w:cs="Times New Roman"/>
          <w:sz w:val="24"/>
          <w:szCs w:val="24"/>
        </w:rPr>
        <w:t xml:space="preserve">We express our sincere thanks to the Management of Easwari Engineering College and to our respected Principal, Dr. P. Deiva Sundari, for providing an exemplary academic environment, cutting-edge technological infrastructure, and the continuous opportunities required for our professional and personal development.</w:t>
      </w:r>
    </w:p>
    <w:p>
      <w:pPr>
        <w:jc w:val="both"/>
        <w:spacing w:before="100" w:after="100" w:line="360" w:lineRule="auto"/>
      </w:pPr>
      <w:r>
        <w:rPr>
          <w:rFonts w:ascii="Times New Roman" w:hAnsi="Times New Roman" w:cs="Times New Roman"/>
          <w:sz w:val="24"/>
          <w:szCs w:val="24"/>
        </w:rPr>
        <w:t xml:space="preserve">We feel profoundly indebted and express our deep gratitude to our Head of the Department, Dr. Kalai Selvi, Professor, Department of Artificial Intelligence and Data Science, Easwari Engineering College, for her constant encouragement, administrative guidance, and valuable support throughout our course of study.</w:t>
      </w:r>
    </w:p>
    <w:p>
      <w:pPr>
        <w:jc w:val="both"/>
        <w:spacing w:before="100" w:after="100" w:line="360" w:lineRule="auto"/>
      </w:pPr>
      <w:r>
        <w:rPr>
          <w:rFonts w:ascii="Times New Roman" w:hAnsi="Times New Roman" w:cs="Times New Roman"/>
          <w:sz w:val="24"/>
          <w:szCs w:val="24"/>
        </w:rPr>
        <w:t xml:space="preserve">We express our deepest sense of gratitude and respect to our internal supervisor and guide, Mrs. V. Sangeetha, Assistant Professor, Department of Artificial Intelligence and Data Science, Easwari Engineering College, for her insightful technical advice, critical feedback, constructive suggestions, and continuous encouragement during every phase of system design and implementation.</w:t>
      </w:r>
    </w:p>
    <w:p>
      <w:pPr>
        <w:jc w:val="both"/>
        <w:spacing w:before="100" w:after="100" w:line="360" w:lineRule="auto"/>
      </w:pPr>
      <w:r>
        <w:rPr>
          <w:rFonts w:ascii="Times New Roman" w:hAnsi="Times New Roman" w:cs="Times New Roman"/>
          <w:sz w:val="24"/>
          <w:szCs w:val="24"/>
        </w:rPr>
        <w:t xml:space="preserve">We also extend our sincere gratitude to all the teaching and non-teaching faculty members of the Department of Artificial Intelligence and Data Science for their cooperation, technical suggestions, and support during the development of this project.</w:t>
      </w:r>
    </w:p>
    <w:p>
      <w:pPr>
        <w:jc w:val="both"/>
        <w:spacing w:before="100" w:after="100" w:line="360" w:lineRule="auto"/>
      </w:pPr>
      <w:r>
        <w:rPr>
          <w:rFonts w:ascii="Times New Roman" w:hAnsi="Times New Roman" w:cs="Times New Roman"/>
          <w:sz w:val="24"/>
          <w:szCs w:val="24"/>
        </w:rPr>
        <w:t xml:space="preserve">Finally, we thank our fellow classmates, friends, and everyone who directly or indirectly contributed their valuable time, conducted system reviews, and helped us bring the Cryptocurrency Management System to a successful and fruitful completion.</w:t>
      </w:r>
    </w:p>
    <w:p>
      <w:r>
        <w:br w:type="page"/>
      </w:r>
    </w:p>
    <w:p>
      <w:pPr>
        <w:jc w:val="center"/>
        <w:spacing w:before="240" w:after="180" w:line="360" w:lineRule="auto"/>
      </w:pPr>
      <w:r>
        <w:rPr>
          <w:rFonts w:ascii="Times New Roman" w:hAnsi="Times New Roman" w:cs="Times New Roman"/>
          <w:sz w:val="32"/>
          <w:szCs w:val="32"/>
          <w:b/>
        </w:rPr>
        <w:t xml:space="preserve">TABLE OF CONTENTS</w:t>
      </w:r>
    </w:p>
    <w:p>
      <w:pPr>
        <w:jc w:val="left"/>
        <w:spacing w:before="80" w:after="30" w:line="280" w:lineRule="auto"/>
      </w:pPr>
      <w:r>
        <w:rPr>
          <w:rFonts w:ascii="Times New Roman" w:hAnsi="Times New Roman" w:cs="Times New Roman"/>
          <w:sz w:val="22"/>
          <w:szCs w:val="22"/>
          <w:b/>
        </w:rPr>
        <w:t xml:space="preserve">ABSTRACT</w:t>
      </w:r>
      <w:r>
        <w:rPr>
          <w:rFonts w:ascii="Times New Roman" w:hAnsi="Times New Roman" w:cs="Times New Roman"/>
          <w:sz w:val="20"/>
          <w:szCs w:val="20"/>
        </w:rPr>
        <w:t xml:space="preserve"> .......................................................</w:t>
      </w:r>
      <w:r>
        <w:rPr>
          <w:rFonts w:ascii="Times New Roman" w:hAnsi="Times New Roman" w:cs="Times New Roman"/>
          <w:sz w:val="22"/>
          <w:szCs w:val="22"/>
          <w:b/>
        </w:rPr>
        <w:t xml:space="preserve"> iii</w:t>
      </w:r>
    </w:p>
    <w:p>
      <w:pPr>
        <w:jc w:val="left"/>
        <w:spacing w:before="80" w:after="30" w:line="280" w:lineRule="auto"/>
      </w:pPr>
      <w:r>
        <w:rPr>
          <w:rFonts w:ascii="Times New Roman" w:hAnsi="Times New Roman" w:cs="Times New Roman"/>
          <w:sz w:val="22"/>
          <w:szCs w:val="22"/>
          <w:b/>
        </w:rPr>
        <w:t xml:space="preserve">ACKNOWLEDGEMENT</w:t>
      </w:r>
      <w:r>
        <w:rPr>
          <w:rFonts w:ascii="Times New Roman" w:hAnsi="Times New Roman" w:cs="Times New Roman"/>
          <w:sz w:val="20"/>
          <w:szCs w:val="20"/>
        </w:rPr>
        <w:t xml:space="preserve"> ....................................................</w:t>
      </w:r>
      <w:r>
        <w:rPr>
          <w:rFonts w:ascii="Times New Roman" w:hAnsi="Times New Roman" w:cs="Times New Roman"/>
          <w:sz w:val="22"/>
          <w:szCs w:val="22"/>
          <w:b/>
        </w:rPr>
        <w:t xml:space="preserve"> iv</w:t>
      </w:r>
    </w:p>
    <w:p>
      <w:pPr>
        <w:jc w:val="left"/>
        <w:spacing w:before="80" w:after="30" w:line="280" w:lineRule="auto"/>
      </w:pPr>
      <w:r>
        <w:rPr>
          <w:rFonts w:ascii="Times New Roman" w:hAnsi="Times New Roman" w:cs="Times New Roman"/>
          <w:sz w:val="22"/>
          <w:szCs w:val="22"/>
          <w:b/>
        </w:rPr>
        <w:t xml:space="preserve">LIST OF TABLES</w:t>
      </w:r>
      <w:r>
        <w:rPr>
          <w:rFonts w:ascii="Times New Roman" w:hAnsi="Times New Roman" w:cs="Times New Roman"/>
          <w:sz w:val="20"/>
          <w:szCs w:val="20"/>
        </w:rPr>
        <w:t xml:space="preserve"> ....................................................</w:t>
      </w:r>
      <w:r>
        <w:rPr>
          <w:rFonts w:ascii="Times New Roman" w:hAnsi="Times New Roman" w:cs="Times New Roman"/>
          <w:sz w:val="22"/>
          <w:szCs w:val="22"/>
          <w:b/>
        </w:rPr>
        <w:t xml:space="preserve"> vii</w:t>
      </w:r>
    </w:p>
    <w:p>
      <w:pPr>
        <w:jc w:val="left"/>
        <w:spacing w:before="80" w:after="30" w:line="280" w:lineRule="auto"/>
      </w:pPr>
      <w:r>
        <w:rPr>
          <w:rFonts w:ascii="Times New Roman" w:hAnsi="Times New Roman" w:cs="Times New Roman"/>
          <w:sz w:val="22"/>
          <w:szCs w:val="22"/>
          <w:b/>
        </w:rPr>
        <w:t xml:space="preserve">LIST OF FIGURES</w:t>
      </w:r>
      <w:r>
        <w:rPr>
          <w:rFonts w:ascii="Times New Roman" w:hAnsi="Times New Roman" w:cs="Times New Roman"/>
          <w:sz w:val="20"/>
          <w:szCs w:val="20"/>
        </w:rPr>
        <w:t xml:space="preserve"> ....................................................</w:t>
      </w:r>
      <w:r>
        <w:rPr>
          <w:rFonts w:ascii="Times New Roman" w:hAnsi="Times New Roman" w:cs="Times New Roman"/>
          <w:sz w:val="22"/>
          <w:szCs w:val="22"/>
          <w:b/>
        </w:rPr>
        <w:t xml:space="preserve"> viii</w:t>
      </w:r>
    </w:p>
    <w:p>
      <w:pPr>
        <w:jc w:val="left"/>
        <w:spacing w:before="80" w:after="30" w:line="280" w:lineRule="auto"/>
      </w:pPr>
      <w:r>
        <w:rPr>
          <w:rFonts w:ascii="Times New Roman" w:hAnsi="Times New Roman" w:cs="Times New Roman"/>
          <w:sz w:val="22"/>
          <w:szCs w:val="22"/>
          <w:b/>
        </w:rPr>
        <w:t xml:space="preserve">1. INTRODUCTION</w:t>
      </w:r>
      <w:r>
        <w:rPr>
          <w:rFonts w:ascii="Times New Roman" w:hAnsi="Times New Roman" w:cs="Times New Roman"/>
          <w:sz w:val="20"/>
          <w:szCs w:val="20"/>
        </w:rPr>
        <w:t xml:space="preserve"> ....................................................</w:t>
      </w:r>
      <w:r>
        <w:rPr>
          <w:rFonts w:ascii="Times New Roman" w:hAnsi="Times New Roman" w:cs="Times New Roman"/>
          <w:sz w:val="22"/>
          <w:szCs w:val="22"/>
          <w:b/>
        </w:rPr>
        <w:t xml:space="preserve"> 1</w:t>
      </w:r>
    </w:p>
    <w:p>
      <w:pPr>
        <w:jc w:val="left"/>
        <w:spacing w:before="40" w:after="30" w:line="280" w:lineRule="auto"/>
      </w:pPr>
      <w:r>
        <w:rPr>
          <w:rFonts w:ascii="Times New Roman" w:hAnsi="Times New Roman" w:cs="Times New Roman"/>
          <w:sz w:val="22"/>
          <w:szCs w:val="22"/>
        </w:rPr>
        <w:t xml:space="preserve">    1.1 Context and Technological Evolution</w:t>
      </w:r>
      <w:r>
        <w:rPr>
          <w:rFonts w:ascii="Times New Roman" w:hAnsi="Times New Roman" w:cs="Times New Roman"/>
          <w:sz w:val="20"/>
          <w:szCs w:val="20"/>
        </w:rPr>
        <w:t xml:space="preserve"> ........................................</w:t>
      </w:r>
      <w:r>
        <w:rPr>
          <w:rFonts w:ascii="Times New Roman" w:hAnsi="Times New Roman" w:cs="Times New Roman"/>
          <w:sz w:val="22"/>
          <w:szCs w:val="22"/>
        </w:rPr>
        <w:t xml:space="preserve"> 1</w:t>
      </w:r>
    </w:p>
    <w:p>
      <w:pPr>
        <w:jc w:val="left"/>
        <w:spacing w:before="40" w:after="30" w:line="280" w:lineRule="auto"/>
      </w:pPr>
      <w:r>
        <w:rPr>
          <w:rFonts w:ascii="Times New Roman" w:hAnsi="Times New Roman" w:cs="Times New Roman"/>
          <w:sz w:val="22"/>
          <w:szCs w:val="22"/>
        </w:rPr>
        <w:t xml:space="preserve">        1.1.1 The Paradigm Shift to Distributed Financial Networks</w:t>
      </w:r>
      <w:r>
        <w:rPr>
          <w:rFonts w:ascii="Times New Roman" w:hAnsi="Times New Roman" w:cs="Times New Roman"/>
          <w:sz w:val="20"/>
          <w:szCs w:val="20"/>
        </w:rPr>
        <w:t xml:space="preserve"> ..............................</w:t>
      </w:r>
      <w:r>
        <w:rPr>
          <w:rFonts w:ascii="Times New Roman" w:hAnsi="Times New Roman" w:cs="Times New Roman"/>
          <w:sz w:val="22"/>
          <w:szCs w:val="22"/>
        </w:rPr>
        <w:t xml:space="preserve"> 1</w:t>
      </w:r>
    </w:p>
    <w:p>
      <w:pPr>
        <w:jc w:val="left"/>
        <w:spacing w:before="40" w:after="30" w:line="280" w:lineRule="auto"/>
      </w:pPr>
      <w:r>
        <w:rPr>
          <w:rFonts w:ascii="Times New Roman" w:hAnsi="Times New Roman" w:cs="Times New Roman"/>
          <w:sz w:val="22"/>
          <w:szCs w:val="22"/>
        </w:rPr>
        <w:t xml:space="preserve">        1.1.2 Market Microstructure and 24/7 Continuous Trading Dynamics</w:t>
      </w:r>
      <w:r>
        <w:rPr>
          <w:rFonts w:ascii="Times New Roman" w:hAnsi="Times New Roman" w:cs="Times New Roman"/>
          <w:sz w:val="20"/>
          <w:szCs w:val="20"/>
        </w:rPr>
        <w:t xml:space="preserve"> ...........................</w:t>
      </w:r>
      <w:r>
        <w:rPr>
          <w:rFonts w:ascii="Times New Roman" w:hAnsi="Times New Roman" w:cs="Times New Roman"/>
          <w:sz w:val="22"/>
          <w:szCs w:val="22"/>
        </w:rPr>
        <w:t xml:space="preserve"> 2</w:t>
      </w:r>
    </w:p>
    <w:p>
      <w:pPr>
        <w:jc w:val="left"/>
        <w:spacing w:before="40" w:after="30" w:line="280" w:lineRule="auto"/>
      </w:pPr>
      <w:r>
        <w:rPr>
          <w:rFonts w:ascii="Times New Roman" w:hAnsi="Times New Roman" w:cs="Times New Roman"/>
          <w:sz w:val="22"/>
          <w:szCs w:val="22"/>
        </w:rPr>
        <w:t xml:space="preserve">    1.2 Problem Statement and Domain Challenges</w:t>
      </w:r>
      <w:r>
        <w:rPr>
          <w:rFonts w:ascii="Times New Roman" w:hAnsi="Times New Roman" w:cs="Times New Roman"/>
          <w:sz w:val="20"/>
          <w:szCs w:val="20"/>
        </w:rPr>
        <w:t xml:space="preserve"> ......................................</w:t>
      </w:r>
      <w:r>
        <w:rPr>
          <w:rFonts w:ascii="Times New Roman" w:hAnsi="Times New Roman" w:cs="Times New Roman"/>
          <w:sz w:val="22"/>
          <w:szCs w:val="22"/>
        </w:rPr>
        <w:t xml:space="preserve"> 3</w:t>
      </w:r>
    </w:p>
    <w:p>
      <w:pPr>
        <w:jc w:val="left"/>
        <w:spacing w:before="40" w:after="30" w:line="280" w:lineRule="auto"/>
      </w:pPr>
      <w:r>
        <w:rPr>
          <w:rFonts w:ascii="Times New Roman" w:hAnsi="Times New Roman" w:cs="Times New Roman"/>
          <w:sz w:val="22"/>
          <w:szCs w:val="22"/>
        </w:rPr>
        <w:t xml:space="preserve">        1.2.1 Operational Fragmentation and User Cognitive Fatigue</w:t>
      </w:r>
      <w:r>
        <w:rPr>
          <w:rFonts w:ascii="Times New Roman" w:hAnsi="Times New Roman" w:cs="Times New Roman"/>
          <w:sz w:val="20"/>
          <w:szCs w:val="20"/>
        </w:rPr>
        <w:t xml:space="preserve"> ..............................</w:t>
      </w:r>
      <w:r>
        <w:rPr>
          <w:rFonts w:ascii="Times New Roman" w:hAnsi="Times New Roman" w:cs="Times New Roman"/>
          <w:sz w:val="22"/>
          <w:szCs w:val="22"/>
        </w:rPr>
        <w:t xml:space="preserve"> 3</w:t>
      </w:r>
    </w:p>
    <w:p>
      <w:pPr>
        <w:jc w:val="left"/>
        <w:spacing w:before="40" w:after="30" w:line="280" w:lineRule="auto"/>
      </w:pPr>
      <w:r>
        <w:rPr>
          <w:rFonts w:ascii="Times New Roman" w:hAnsi="Times New Roman" w:cs="Times New Roman"/>
          <w:sz w:val="22"/>
          <w:szCs w:val="22"/>
        </w:rPr>
        <w:t xml:space="preserve">        1.2.2 Security Vulnerabilities in API Credential Management</w:t>
      </w:r>
      <w:r>
        <w:rPr>
          <w:rFonts w:ascii="Times New Roman" w:hAnsi="Times New Roman" w:cs="Times New Roman"/>
          <w:sz w:val="20"/>
          <w:szCs w:val="20"/>
        </w:rPr>
        <w:t xml:space="preserve"> ..............................</w:t>
      </w:r>
      <w:r>
        <w:rPr>
          <w:rFonts w:ascii="Times New Roman" w:hAnsi="Times New Roman" w:cs="Times New Roman"/>
          <w:sz w:val="22"/>
          <w:szCs w:val="22"/>
        </w:rPr>
        <w:t xml:space="preserve"> 4</w:t>
      </w:r>
    </w:p>
    <w:p>
      <w:pPr>
        <w:jc w:val="left"/>
        <w:spacing w:before="40" w:after="30" w:line="280" w:lineRule="auto"/>
      </w:pPr>
      <w:r>
        <w:rPr>
          <w:rFonts w:ascii="Times New Roman" w:hAnsi="Times New Roman" w:cs="Times New Roman"/>
          <w:sz w:val="22"/>
          <w:szCs w:val="22"/>
        </w:rPr>
        <w:t xml:space="preserve">        1.2.3 Behavioral Pitfalls and Emotional Trading Biases</w:t>
      </w:r>
      <w:r>
        <w:rPr>
          <w:rFonts w:ascii="Times New Roman" w:hAnsi="Times New Roman" w:cs="Times New Roman"/>
          <w:sz w:val="20"/>
          <w:szCs w:val="20"/>
        </w:rPr>
        <w:t xml:space="preserve"> ................................</w:t>
      </w:r>
      <w:r>
        <w:rPr>
          <w:rFonts w:ascii="Times New Roman" w:hAnsi="Times New Roman" w:cs="Times New Roman"/>
          <w:sz w:val="22"/>
          <w:szCs w:val="22"/>
        </w:rPr>
        <w:t xml:space="preserve"> 5</w:t>
      </w:r>
    </w:p>
    <w:p>
      <w:pPr>
        <w:jc w:val="left"/>
        <w:spacing w:before="40" w:after="30" w:line="280" w:lineRule="auto"/>
      </w:pPr>
      <w:r>
        <w:rPr>
          <w:rFonts w:ascii="Times New Roman" w:hAnsi="Times New Roman" w:cs="Times New Roman"/>
          <w:sz w:val="22"/>
          <w:szCs w:val="22"/>
        </w:rPr>
        <w:t xml:space="preserve">        1.2.4 Tax Compliance and Multi-Tranche Cost-Basis Complexities</w:t>
      </w:r>
      <w:r>
        <w:rPr>
          <w:rFonts w:ascii="Times New Roman" w:hAnsi="Times New Roman" w:cs="Times New Roman"/>
          <w:sz w:val="20"/>
          <w:szCs w:val="20"/>
        </w:rPr>
        <w:t xml:space="preserve"> ............................</w:t>
      </w:r>
      <w:r>
        <w:rPr>
          <w:rFonts w:ascii="Times New Roman" w:hAnsi="Times New Roman" w:cs="Times New Roman"/>
          <w:sz w:val="22"/>
          <w:szCs w:val="22"/>
        </w:rPr>
        <w:t xml:space="preserve"> 6</w:t>
      </w:r>
    </w:p>
    <w:p>
      <w:pPr>
        <w:jc w:val="left"/>
        <w:spacing w:before="40" w:after="30" w:line="280" w:lineRule="auto"/>
      </w:pPr>
      <w:r>
        <w:rPr>
          <w:rFonts w:ascii="Times New Roman" w:hAnsi="Times New Roman" w:cs="Times New Roman"/>
          <w:sz w:val="22"/>
          <w:szCs w:val="22"/>
        </w:rPr>
        <w:t xml:space="preserve">    1.3 Scope of Digitization and System Boundaries</w:t>
      </w:r>
      <w:r>
        <w:rPr>
          <w:rFonts w:ascii="Times New Roman" w:hAnsi="Times New Roman" w:cs="Times New Roman"/>
          <w:sz w:val="20"/>
          <w:szCs w:val="20"/>
        </w:rPr>
        <w:t xml:space="preserve"> ....................................</w:t>
      </w:r>
      <w:r>
        <w:rPr>
          <w:rFonts w:ascii="Times New Roman" w:hAnsi="Times New Roman" w:cs="Times New Roman"/>
          <w:sz w:val="22"/>
          <w:szCs w:val="22"/>
        </w:rPr>
        <w:t xml:space="preserve"> 7</w:t>
      </w:r>
    </w:p>
    <w:p>
      <w:pPr>
        <w:jc w:val="left"/>
        <w:spacing w:before="40" w:after="30" w:line="280" w:lineRule="auto"/>
      </w:pPr>
      <w:r>
        <w:rPr>
          <w:rFonts w:ascii="Times New Roman" w:hAnsi="Times New Roman" w:cs="Times New Roman"/>
          <w:sz w:val="22"/>
          <w:szCs w:val="22"/>
        </w:rPr>
        <w:t xml:space="preserve">        1.3.1 Non-Custodial Operational Philosophy</w:t>
      </w:r>
      <w:r>
        <w:rPr>
          <w:rFonts w:ascii="Times New Roman" w:hAnsi="Times New Roman" w:cs="Times New Roman"/>
          <w:sz w:val="20"/>
          <w:szCs w:val="20"/>
        </w:rPr>
        <w:t xml:space="preserve"> ......................................</w:t>
      </w:r>
      <w:r>
        <w:rPr>
          <w:rFonts w:ascii="Times New Roman" w:hAnsi="Times New Roman" w:cs="Times New Roman"/>
          <w:sz w:val="22"/>
          <w:szCs w:val="22"/>
        </w:rPr>
        <w:t xml:space="preserve"> 7</w:t>
      </w:r>
    </w:p>
    <w:p>
      <w:pPr>
        <w:jc w:val="left"/>
        <w:spacing w:before="40" w:after="30" w:line="280" w:lineRule="auto"/>
      </w:pPr>
      <w:r>
        <w:rPr>
          <w:rFonts w:ascii="Times New Roman" w:hAnsi="Times New Roman" w:cs="Times New Roman"/>
          <w:sz w:val="22"/>
          <w:szCs w:val="22"/>
        </w:rPr>
        <w:t xml:space="preserve">        1.3.2 Functional Scope: From Discovery to Sandboxed Execution</w:t>
      </w:r>
      <w:r>
        <w:rPr>
          <w:rFonts w:ascii="Times New Roman" w:hAnsi="Times New Roman" w:cs="Times New Roman"/>
          <w:sz w:val="20"/>
          <w:szCs w:val="20"/>
        </w:rPr>
        <w:t xml:space="preserve"> .............................</w:t>
      </w:r>
      <w:r>
        <w:rPr>
          <w:rFonts w:ascii="Times New Roman" w:hAnsi="Times New Roman" w:cs="Times New Roman"/>
          <w:sz w:val="22"/>
          <w:szCs w:val="22"/>
        </w:rPr>
        <w:t xml:space="preserve"> 8</w:t>
      </w:r>
    </w:p>
    <w:p>
      <w:pPr>
        <w:jc w:val="left"/>
        <w:spacing w:before="40" w:after="30" w:line="280" w:lineRule="auto"/>
      </w:pPr>
      <w:r>
        <w:rPr>
          <w:rFonts w:ascii="Times New Roman" w:hAnsi="Times New Roman" w:cs="Times New Roman"/>
          <w:sz w:val="22"/>
          <w:szCs w:val="22"/>
        </w:rPr>
        <w:t xml:space="preserve">        1.3.3 Dual-Mode Architecture: Cloud Persistence and Demo Resiliency</w:t>
      </w:r>
      <w:r>
        <w:rPr>
          <w:rFonts w:ascii="Times New Roman" w:hAnsi="Times New Roman" w:cs="Times New Roman"/>
          <w:sz w:val="20"/>
          <w:szCs w:val="20"/>
        </w:rPr>
        <w:t xml:space="preserve"> ..........................</w:t>
      </w:r>
      <w:r>
        <w:rPr>
          <w:rFonts w:ascii="Times New Roman" w:hAnsi="Times New Roman" w:cs="Times New Roman"/>
          <w:sz w:val="22"/>
          <w:szCs w:val="22"/>
        </w:rPr>
        <w:t xml:space="preserve"> 9</w:t>
      </w:r>
    </w:p>
    <w:p>
      <w:pPr>
        <w:jc w:val="left"/>
        <w:spacing w:before="40" w:after="30" w:line="280" w:lineRule="auto"/>
      </w:pPr>
      <w:r>
        <w:rPr>
          <w:rFonts w:ascii="Times New Roman" w:hAnsi="Times New Roman" w:cs="Times New Roman"/>
          <w:sz w:val="22"/>
          <w:szCs w:val="22"/>
        </w:rPr>
        <w:t xml:space="preserve">    1.4 Project Objectives</w:t>
      </w:r>
      <w:r>
        <w:rPr>
          <w:rFonts w:ascii="Times New Roman" w:hAnsi="Times New Roman" w:cs="Times New Roman"/>
          <w:sz w:val="20"/>
          <w:szCs w:val="20"/>
        </w:rPr>
        <w:t xml:space="preserve"> ................................................</w:t>
      </w:r>
      <w:r>
        <w:rPr>
          <w:rFonts w:ascii="Times New Roman" w:hAnsi="Times New Roman" w:cs="Times New Roman"/>
          <w:sz w:val="22"/>
          <w:szCs w:val="22"/>
        </w:rPr>
        <w:t xml:space="preserve"> 10</w:t>
      </w:r>
    </w:p>
    <w:p>
      <w:pPr>
        <w:jc w:val="left"/>
        <w:spacing w:before="40" w:after="30" w:line="280" w:lineRule="auto"/>
      </w:pPr>
      <w:r>
        <w:rPr>
          <w:rFonts w:ascii="Times New Roman" w:hAnsi="Times New Roman" w:cs="Times New Roman"/>
          <w:sz w:val="22"/>
          <w:szCs w:val="22"/>
        </w:rPr>
        <w:t xml:space="preserve">        1.4.1 Primary Educational and Functional Aims</w:t>
      </w:r>
      <w:r>
        <w:rPr>
          <w:rFonts w:ascii="Times New Roman" w:hAnsi="Times New Roman" w:cs="Times New Roman"/>
          <w:sz w:val="20"/>
          <w:szCs w:val="20"/>
        </w:rPr>
        <w:t xml:space="preserve"> .....................................</w:t>
      </w:r>
      <w:r>
        <w:rPr>
          <w:rFonts w:ascii="Times New Roman" w:hAnsi="Times New Roman" w:cs="Times New Roman"/>
          <w:sz w:val="22"/>
          <w:szCs w:val="22"/>
        </w:rPr>
        <w:t xml:space="preserve"> 10</w:t>
      </w:r>
    </w:p>
    <w:p>
      <w:pPr>
        <w:jc w:val="left"/>
        <w:spacing w:before="40" w:after="30" w:line="280" w:lineRule="auto"/>
      </w:pPr>
      <w:r>
        <w:rPr>
          <w:rFonts w:ascii="Times New Roman" w:hAnsi="Times New Roman" w:cs="Times New Roman"/>
          <w:sz w:val="22"/>
          <w:szCs w:val="22"/>
        </w:rPr>
        <w:t xml:space="preserve">        1.4.2 Specific Technical and Engineering Objectives</w:t>
      </w:r>
      <w:r>
        <w:rPr>
          <w:rFonts w:ascii="Times New Roman" w:hAnsi="Times New Roman" w:cs="Times New Roman"/>
          <w:sz w:val="20"/>
          <w:szCs w:val="20"/>
        </w:rPr>
        <w:t xml:space="preserve"> ..................................</w:t>
      </w:r>
      <w:r>
        <w:rPr>
          <w:rFonts w:ascii="Times New Roman" w:hAnsi="Times New Roman" w:cs="Times New Roman"/>
          <w:sz w:val="22"/>
          <w:szCs w:val="22"/>
        </w:rPr>
        <w:t xml:space="preserve"> 11</w:t>
      </w:r>
    </w:p>
    <w:p>
      <w:pPr>
        <w:jc w:val="left"/>
        <w:spacing w:before="40" w:after="30" w:line="280" w:lineRule="auto"/>
      </w:pPr>
      <w:r>
        <w:rPr>
          <w:rFonts w:ascii="Times New Roman" w:hAnsi="Times New Roman" w:cs="Times New Roman"/>
          <w:sz w:val="22"/>
          <w:szCs w:val="22"/>
        </w:rPr>
        <w:t xml:space="preserve">    1.5 Sustainable Development Goal (SDG) Alignment</w:t>
      </w:r>
      <w:r>
        <w:rPr>
          <w:rFonts w:ascii="Times New Roman" w:hAnsi="Times New Roman" w:cs="Times New Roman"/>
          <w:sz w:val="20"/>
          <w:szCs w:val="20"/>
        </w:rPr>
        <w:t xml:space="preserve"> ...................................</w:t>
      </w:r>
      <w:r>
        <w:rPr>
          <w:rFonts w:ascii="Times New Roman" w:hAnsi="Times New Roman" w:cs="Times New Roman"/>
          <w:sz w:val="22"/>
          <w:szCs w:val="22"/>
        </w:rPr>
        <w:t xml:space="preserve"> 12</w:t>
      </w:r>
    </w:p>
    <w:p>
      <w:pPr>
        <w:jc w:val="left"/>
        <w:spacing w:before="40" w:after="30" w:line="280" w:lineRule="auto"/>
      </w:pPr>
      <w:r>
        <w:rPr>
          <w:rFonts w:ascii="Times New Roman" w:hAnsi="Times New Roman" w:cs="Times New Roman"/>
          <w:sz w:val="22"/>
          <w:szCs w:val="22"/>
        </w:rPr>
        <w:t xml:space="preserve">        1.5.1 Alignment with SDG 4: Quality Education</w:t>
      </w:r>
      <w:r>
        <w:rPr>
          <w:rFonts w:ascii="Times New Roman" w:hAnsi="Times New Roman" w:cs="Times New Roman"/>
          <w:sz w:val="20"/>
          <w:szCs w:val="20"/>
        </w:rPr>
        <w:t xml:space="preserve"> .....................................</w:t>
      </w:r>
      <w:r>
        <w:rPr>
          <w:rFonts w:ascii="Times New Roman" w:hAnsi="Times New Roman" w:cs="Times New Roman"/>
          <w:sz w:val="22"/>
          <w:szCs w:val="22"/>
        </w:rPr>
        <w:t xml:space="preserve"> 12</w:t>
      </w:r>
    </w:p>
    <w:p>
      <w:pPr>
        <w:jc w:val="left"/>
        <w:spacing w:before="40" w:after="30" w:line="280" w:lineRule="auto"/>
      </w:pPr>
      <w:r>
        <w:rPr>
          <w:rFonts w:ascii="Times New Roman" w:hAnsi="Times New Roman" w:cs="Times New Roman"/>
          <w:sz w:val="22"/>
          <w:szCs w:val="22"/>
        </w:rPr>
        <w:t xml:space="preserve">        1.5.2 Alignment with SDG 8: Decent Work and Economic Growth</w:t>
      </w:r>
      <w:r>
        <w:rPr>
          <w:rFonts w:ascii="Times New Roman" w:hAnsi="Times New Roman" w:cs="Times New Roman"/>
          <w:sz w:val="20"/>
          <w:szCs w:val="20"/>
        </w:rPr>
        <w:t xml:space="preserve"> ..............................</w:t>
      </w:r>
      <w:r>
        <w:rPr>
          <w:rFonts w:ascii="Times New Roman" w:hAnsi="Times New Roman" w:cs="Times New Roman"/>
          <w:sz w:val="22"/>
          <w:szCs w:val="22"/>
        </w:rPr>
        <w:t xml:space="preserve"> 13</w:t>
      </w:r>
    </w:p>
    <w:p>
      <w:pPr>
        <w:jc w:val="left"/>
        <w:spacing w:before="40" w:after="30" w:line="280" w:lineRule="auto"/>
      </w:pPr>
      <w:r>
        <w:rPr>
          <w:rFonts w:ascii="Times New Roman" w:hAnsi="Times New Roman" w:cs="Times New Roman"/>
          <w:sz w:val="22"/>
          <w:szCs w:val="22"/>
        </w:rPr>
        <w:t xml:space="preserve">        1.5.3 Alignment with SDG 9: Industry, Innovation, and Infrastructure</w:t>
      </w:r>
      <w:r>
        <w:rPr>
          <w:rFonts w:ascii="Times New Roman" w:hAnsi="Times New Roman" w:cs="Times New Roman"/>
          <w:sz w:val="20"/>
          <w:szCs w:val="20"/>
        </w:rPr>
        <w:t xml:space="preserve"> .........................</w:t>
      </w:r>
      <w:r>
        <w:rPr>
          <w:rFonts w:ascii="Times New Roman" w:hAnsi="Times New Roman" w:cs="Times New Roman"/>
          <w:sz w:val="22"/>
          <w:szCs w:val="22"/>
        </w:rPr>
        <w:t xml:space="preserve"> 14</w:t>
      </w:r>
    </w:p>
    <w:p>
      <w:pPr>
        <w:jc w:val="left"/>
        <w:spacing w:before="80" w:after="30" w:line="280" w:lineRule="auto"/>
      </w:pPr>
      <w:r>
        <w:rPr>
          <w:rFonts w:ascii="Times New Roman" w:hAnsi="Times New Roman" w:cs="Times New Roman"/>
          <w:sz w:val="22"/>
          <w:szCs w:val="22"/>
          <w:b/>
        </w:rPr>
        <w:t xml:space="preserve">2. LITERATURE REVIEW</w:t>
      </w:r>
      <w:r>
        <w:rPr>
          <w:rFonts w:ascii="Times New Roman" w:hAnsi="Times New Roman" w:cs="Times New Roman"/>
          <w:sz w:val="20"/>
          <w:szCs w:val="20"/>
        </w:rPr>
        <w:t xml:space="preserve"> .................................................</w:t>
      </w:r>
      <w:r>
        <w:rPr>
          <w:rFonts w:ascii="Times New Roman" w:hAnsi="Times New Roman" w:cs="Times New Roman"/>
          <w:sz w:val="22"/>
          <w:szCs w:val="22"/>
          <w:b/>
        </w:rPr>
        <w:t xml:space="preserve"> 15</w:t>
      </w:r>
    </w:p>
    <w:p>
      <w:pPr>
        <w:jc w:val="left"/>
        <w:spacing w:before="40" w:after="30" w:line="280" w:lineRule="auto"/>
      </w:pPr>
      <w:r>
        <w:rPr>
          <w:rFonts w:ascii="Times New Roman" w:hAnsi="Times New Roman" w:cs="Times New Roman"/>
          <w:sz w:val="22"/>
          <w:szCs w:val="22"/>
        </w:rPr>
        <w:t xml:space="preserve">    2.1 Java Programming Language and Object-Oriented Financial Engineering</w:t>
      </w:r>
      <w:r>
        <w:rPr>
          <w:rFonts w:ascii="Times New Roman" w:hAnsi="Times New Roman" w:cs="Times New Roman"/>
          <w:sz w:val="20"/>
          <w:szCs w:val="20"/>
        </w:rPr>
        <w:t xml:space="preserve"> ........................</w:t>
      </w:r>
      <w:r>
        <w:rPr>
          <w:rFonts w:ascii="Times New Roman" w:hAnsi="Times New Roman" w:cs="Times New Roman"/>
          <w:sz w:val="22"/>
          <w:szCs w:val="22"/>
        </w:rPr>
        <w:t xml:space="preserve"> 15</w:t>
      </w:r>
    </w:p>
    <w:p>
      <w:pPr>
        <w:jc w:val="left"/>
        <w:spacing w:before="40" w:after="30" w:line="280" w:lineRule="auto"/>
      </w:pPr>
      <w:r>
        <w:rPr>
          <w:rFonts w:ascii="Times New Roman" w:hAnsi="Times New Roman" w:cs="Times New Roman"/>
          <w:sz w:val="22"/>
          <w:szCs w:val="22"/>
        </w:rPr>
        <w:t xml:space="preserve">        2.1.1 Overview and Architectural Foundations of Java</w:t>
      </w:r>
      <w:r>
        <w:rPr>
          <w:rFonts w:ascii="Times New Roman" w:hAnsi="Times New Roman" w:cs="Times New Roman"/>
          <w:sz w:val="20"/>
          <w:szCs w:val="20"/>
        </w:rPr>
        <w:t xml:space="preserve"> .................................</w:t>
      </w:r>
      <w:r>
        <w:rPr>
          <w:rFonts w:ascii="Times New Roman" w:hAnsi="Times New Roman" w:cs="Times New Roman"/>
          <w:sz w:val="22"/>
          <w:szCs w:val="22"/>
        </w:rPr>
        <w:t xml:space="preserve"> 15</w:t>
      </w:r>
    </w:p>
    <w:p>
      <w:pPr>
        <w:jc w:val="left"/>
        <w:spacing w:before="40" w:after="30" w:line="280" w:lineRule="auto"/>
      </w:pPr>
      <w:r>
        <w:rPr>
          <w:rFonts w:ascii="Times New Roman" w:hAnsi="Times New Roman" w:cs="Times New Roman"/>
          <w:sz w:val="22"/>
          <w:szCs w:val="22"/>
        </w:rPr>
        <w:t xml:space="preserve">        2.1.2 Object-Oriented Programming (OOP) Paradigms in Financial Systems</w:t>
      </w:r>
      <w:r>
        <w:rPr>
          <w:rFonts w:ascii="Times New Roman" w:hAnsi="Times New Roman" w:cs="Times New Roman"/>
          <w:sz w:val="20"/>
          <w:szCs w:val="20"/>
        </w:rPr>
        <w:t xml:space="preserve"> ........................</w:t>
      </w:r>
      <w:r>
        <w:rPr>
          <w:rFonts w:ascii="Times New Roman" w:hAnsi="Times New Roman" w:cs="Times New Roman"/>
          <w:sz w:val="22"/>
          <w:szCs w:val="22"/>
        </w:rPr>
        <w:t xml:space="preserve"> 16</w:t>
      </w:r>
    </w:p>
    <w:p>
      <w:pPr>
        <w:jc w:val="left"/>
        <w:spacing w:before="40" w:after="30" w:line="280" w:lineRule="auto"/>
      </w:pPr>
      <w:r>
        <w:rPr>
          <w:rFonts w:ascii="Times New Roman" w:hAnsi="Times New Roman" w:cs="Times New Roman"/>
          <w:sz w:val="22"/>
          <w:szCs w:val="22"/>
        </w:rPr>
        <w:t xml:space="preserve">        2.1.3 Concurrency, Multithreading, and Asynchronous Event Architectures</w:t>
      </w:r>
      <w:r>
        <w:rPr>
          <w:rFonts w:ascii="Times New Roman" w:hAnsi="Times New Roman" w:cs="Times New Roman"/>
          <w:sz w:val="20"/>
          <w:szCs w:val="20"/>
        </w:rPr>
        <w:t xml:space="preserve"> ........................</w:t>
      </w:r>
      <w:r>
        <w:rPr>
          <w:rFonts w:ascii="Times New Roman" w:hAnsi="Times New Roman" w:cs="Times New Roman"/>
          <w:sz w:val="22"/>
          <w:szCs w:val="22"/>
        </w:rPr>
        <w:t xml:space="preserve"> 18</w:t>
      </w:r>
    </w:p>
    <w:p>
      <w:pPr>
        <w:jc w:val="left"/>
        <w:spacing w:before="40" w:after="30" w:line="280" w:lineRule="auto"/>
      </w:pPr>
      <w:r>
        <w:rPr>
          <w:rFonts w:ascii="Times New Roman" w:hAnsi="Times New Roman" w:cs="Times New Roman"/>
          <w:sz w:val="22"/>
          <w:szCs w:val="22"/>
        </w:rPr>
        <w:t xml:space="preserve">        2.1.4 Networking, Socket Streaming, and WebSocket Communication</w:t>
      </w:r>
      <w:r>
        <w:rPr>
          <w:rFonts w:ascii="Times New Roman" w:hAnsi="Times New Roman" w:cs="Times New Roman"/>
          <w:sz w:val="20"/>
          <w:szCs w:val="20"/>
        </w:rPr>
        <w:t xml:space="preserve"> ............................</w:t>
      </w:r>
      <w:r>
        <w:rPr>
          <w:rFonts w:ascii="Times New Roman" w:hAnsi="Times New Roman" w:cs="Times New Roman"/>
          <w:sz w:val="22"/>
          <w:szCs w:val="22"/>
        </w:rPr>
        <w:t xml:space="preserve"> 20</w:t>
      </w:r>
    </w:p>
    <w:p>
      <w:pPr>
        <w:jc w:val="left"/>
        <w:spacing w:before="40" w:after="30" w:line="280" w:lineRule="auto"/>
      </w:pPr>
      <w:r>
        <w:rPr>
          <w:rFonts w:ascii="Times New Roman" w:hAnsi="Times New Roman" w:cs="Times New Roman"/>
          <w:sz w:val="22"/>
          <w:szCs w:val="22"/>
        </w:rPr>
        <w:t xml:space="preserve">        2.1.5 Enterprise Security, Cryptographic Providers, and Memory Safety</w:t>
      </w:r>
      <w:r>
        <w:rPr>
          <w:rFonts w:ascii="Times New Roman" w:hAnsi="Times New Roman" w:cs="Times New Roman"/>
          <w:sz w:val="20"/>
          <w:szCs w:val="20"/>
        </w:rPr>
        <w:t xml:space="preserve"> .........................</w:t>
      </w:r>
      <w:r>
        <w:rPr>
          <w:rFonts w:ascii="Times New Roman" w:hAnsi="Times New Roman" w:cs="Times New Roman"/>
          <w:sz w:val="22"/>
          <w:szCs w:val="22"/>
        </w:rPr>
        <w:t xml:space="preserve"> 21</w:t>
      </w:r>
    </w:p>
    <w:p>
      <w:pPr>
        <w:jc w:val="left"/>
        <w:spacing w:before="40" w:after="30" w:line="280" w:lineRule="auto"/>
      </w:pPr>
      <w:r>
        <w:rPr>
          <w:rFonts w:ascii="Times New Roman" w:hAnsi="Times New Roman" w:cs="Times New Roman"/>
          <w:sz w:val="22"/>
          <w:szCs w:val="22"/>
        </w:rPr>
        <w:t xml:space="preserve">    2.2 Academic Literature on Digital Asset Management Systems</w:t>
      </w:r>
      <w:r>
        <w:rPr>
          <w:rFonts w:ascii="Times New Roman" w:hAnsi="Times New Roman" w:cs="Times New Roman"/>
          <w:sz w:val="20"/>
          <w:szCs w:val="20"/>
        </w:rPr>
        <w:t xml:space="preserve"> ..............................</w:t>
      </w:r>
      <w:r>
        <w:rPr>
          <w:rFonts w:ascii="Times New Roman" w:hAnsi="Times New Roman" w:cs="Times New Roman"/>
          <w:sz w:val="22"/>
          <w:szCs w:val="22"/>
        </w:rPr>
        <w:t xml:space="preserve"> 23</w:t>
      </w:r>
    </w:p>
    <w:p>
      <w:pPr>
        <w:jc w:val="left"/>
        <w:spacing w:before="40" w:after="30" w:line="280" w:lineRule="auto"/>
      </w:pPr>
      <w:r>
        <w:rPr>
          <w:rFonts w:ascii="Times New Roman" w:hAnsi="Times New Roman" w:cs="Times New Roman"/>
          <w:sz w:val="22"/>
          <w:szCs w:val="22"/>
        </w:rPr>
        <w:t xml:space="preserve">        2.2.1 Evolution of Cryptocurrency Ecosystems and Asset Platforms</w:t>
      </w:r>
      <w:r>
        <w:rPr>
          <w:rFonts w:ascii="Times New Roman" w:hAnsi="Times New Roman" w:cs="Times New Roman"/>
          <w:sz w:val="20"/>
          <w:szCs w:val="20"/>
        </w:rPr>
        <w:t xml:space="preserve"> ...........................</w:t>
      </w:r>
      <w:r>
        <w:rPr>
          <w:rFonts w:ascii="Times New Roman" w:hAnsi="Times New Roman" w:cs="Times New Roman"/>
          <w:sz w:val="22"/>
          <w:szCs w:val="22"/>
        </w:rPr>
        <w:t xml:space="preserve"> 23</w:t>
      </w:r>
    </w:p>
    <w:p>
      <w:pPr>
        <w:jc w:val="left"/>
        <w:spacing w:before="40" w:after="30" w:line="280" w:lineRule="auto"/>
      </w:pPr>
      <w:r>
        <w:rPr>
          <w:rFonts w:ascii="Times New Roman" w:hAnsi="Times New Roman" w:cs="Times New Roman"/>
          <w:sz w:val="22"/>
          <w:szCs w:val="22"/>
        </w:rPr>
        <w:t xml:space="preserve">        2.2.2 Real-Time Financial Streaming and Asynchronous Architectures</w:t>
      </w:r>
      <w:r>
        <w:rPr>
          <w:rFonts w:ascii="Times New Roman" w:hAnsi="Times New Roman" w:cs="Times New Roman"/>
          <w:sz w:val="20"/>
          <w:szCs w:val="20"/>
        </w:rPr>
        <w:t xml:space="preserve"> ..........................</w:t>
      </w:r>
      <w:r>
        <w:rPr>
          <w:rFonts w:ascii="Times New Roman" w:hAnsi="Times New Roman" w:cs="Times New Roman"/>
          <w:sz w:val="22"/>
          <w:szCs w:val="22"/>
        </w:rPr>
        <w:t xml:space="preserve"> 24</w:t>
      </w:r>
    </w:p>
    <w:p>
      <w:pPr>
        <w:jc w:val="left"/>
        <w:spacing w:before="40" w:after="30" w:line="280" w:lineRule="auto"/>
      </w:pPr>
      <w:r>
        <w:rPr>
          <w:rFonts w:ascii="Times New Roman" w:hAnsi="Times New Roman" w:cs="Times New Roman"/>
          <w:sz w:val="22"/>
          <w:szCs w:val="22"/>
        </w:rPr>
        <w:t xml:space="preserve">        2.2.3 Security Paradigms: Non-Custodial Trading &amp; Cryptographic Protection</w:t>
      </w:r>
      <w:r>
        <w:rPr>
          <w:rFonts w:ascii="Times New Roman" w:hAnsi="Times New Roman" w:cs="Times New Roman"/>
          <w:sz w:val="20"/>
          <w:szCs w:val="20"/>
        </w:rPr>
        <w:t xml:space="preserve"> ......................</w:t>
      </w:r>
      <w:r>
        <w:rPr>
          <w:rFonts w:ascii="Times New Roman" w:hAnsi="Times New Roman" w:cs="Times New Roman"/>
          <w:sz w:val="22"/>
          <w:szCs w:val="22"/>
        </w:rPr>
        <w:t xml:space="preserve"> 26</w:t>
      </w:r>
    </w:p>
    <w:p>
      <w:pPr>
        <w:jc w:val="left"/>
        <w:spacing w:before="40" w:after="30" w:line="280" w:lineRule="auto"/>
      </w:pPr>
      <w:r>
        <w:rPr>
          <w:rFonts w:ascii="Times New Roman" w:hAnsi="Times New Roman" w:cs="Times New Roman"/>
          <w:sz w:val="22"/>
          <w:szCs w:val="22"/>
        </w:rPr>
        <w:t xml:space="preserve">        2.2.4 Behavioral Finance, Emotional Biases, and Decision-Support Systems</w:t>
      </w:r>
      <w:r>
        <w:rPr>
          <w:rFonts w:ascii="Times New Roman" w:hAnsi="Times New Roman" w:cs="Times New Roman"/>
          <w:sz w:val="20"/>
          <w:szCs w:val="20"/>
        </w:rPr>
        <w:t xml:space="preserve"> .......................</w:t>
      </w:r>
      <w:r>
        <w:rPr>
          <w:rFonts w:ascii="Times New Roman" w:hAnsi="Times New Roman" w:cs="Times New Roman"/>
          <w:sz w:val="22"/>
          <w:szCs w:val="22"/>
        </w:rPr>
        <w:t xml:space="preserve"> 28</w:t>
      </w:r>
    </w:p>
    <w:p>
      <w:pPr>
        <w:jc w:val="left"/>
        <w:spacing w:before="40" w:after="30" w:line="280" w:lineRule="auto"/>
      </w:pPr>
      <w:r>
        <w:rPr>
          <w:rFonts w:ascii="Times New Roman" w:hAnsi="Times New Roman" w:cs="Times New Roman"/>
          <w:sz w:val="22"/>
          <w:szCs w:val="22"/>
        </w:rPr>
        <w:t xml:space="preserve">        2.2.5 Quantitative Portfolio Risk Modeling and Asset Allocation</w:t>
      </w:r>
      <w:r>
        <w:rPr>
          <w:rFonts w:ascii="Times New Roman" w:hAnsi="Times New Roman" w:cs="Times New Roman"/>
          <w:sz w:val="20"/>
          <w:szCs w:val="20"/>
        </w:rPr>
        <w:t xml:space="preserve"> ............................</w:t>
      </w:r>
      <w:r>
        <w:rPr>
          <w:rFonts w:ascii="Times New Roman" w:hAnsi="Times New Roman" w:cs="Times New Roman"/>
          <w:sz w:val="22"/>
          <w:szCs w:val="22"/>
        </w:rPr>
        <w:t xml:space="preserve"> 30</w:t>
      </w:r>
    </w:p>
    <w:p>
      <w:pPr>
        <w:jc w:val="left"/>
        <w:spacing w:before="40" w:after="30" w:line="280" w:lineRule="auto"/>
      </w:pPr>
      <w:r>
        <w:rPr>
          <w:rFonts w:ascii="Times New Roman" w:hAnsi="Times New Roman" w:cs="Times New Roman"/>
          <w:sz w:val="22"/>
          <w:szCs w:val="22"/>
        </w:rPr>
        <w:t xml:space="preserve">        2.2.6 Automated Cost-Basis and Tax-Lot Accounting Methodologies</w:t>
      </w:r>
      <w:r>
        <w:rPr>
          <w:rFonts w:ascii="Times New Roman" w:hAnsi="Times New Roman" w:cs="Times New Roman"/>
          <w:sz w:val="20"/>
          <w:szCs w:val="20"/>
        </w:rPr>
        <w:t xml:space="preserve"> ............................</w:t>
      </w:r>
      <w:r>
        <w:rPr>
          <w:rFonts w:ascii="Times New Roman" w:hAnsi="Times New Roman" w:cs="Times New Roman"/>
          <w:sz w:val="22"/>
          <w:szCs w:val="22"/>
        </w:rPr>
        <w:t xml:space="preserve"> 32</w:t>
      </w:r>
    </w:p>
    <w:p>
      <w:pPr>
        <w:jc w:val="left"/>
        <w:spacing w:before="40" w:after="30" w:line="280" w:lineRule="auto"/>
      </w:pPr>
      <w:r>
        <w:rPr>
          <w:rFonts w:ascii="Times New Roman" w:hAnsi="Times New Roman" w:cs="Times New Roman"/>
          <w:sz w:val="22"/>
          <w:szCs w:val="22"/>
        </w:rPr>
        <w:t xml:space="preserve">        2.2.7 Comparative Analysis of Existing Solutions (Table 2.1)</w:t>
      </w:r>
      <w:r>
        <w:rPr>
          <w:rFonts w:ascii="Times New Roman" w:hAnsi="Times New Roman" w:cs="Times New Roman"/>
          <w:sz w:val="20"/>
          <w:szCs w:val="20"/>
        </w:rPr>
        <w:t xml:space="preserve"> .............................</w:t>
      </w:r>
      <w:r>
        <w:rPr>
          <w:rFonts w:ascii="Times New Roman" w:hAnsi="Times New Roman" w:cs="Times New Roman"/>
          <w:sz w:val="22"/>
          <w:szCs w:val="22"/>
        </w:rPr>
        <w:t xml:space="preserve"> 34</w:t>
      </w:r>
    </w:p>
    <w:p>
      <w:pPr>
        <w:jc w:val="left"/>
        <w:spacing w:before="40" w:after="30" w:line="280" w:lineRule="auto"/>
      </w:pPr>
      <w:r>
        <w:rPr>
          <w:rFonts w:ascii="Times New Roman" w:hAnsi="Times New Roman" w:cs="Times New Roman"/>
          <w:sz w:val="22"/>
          <w:szCs w:val="22"/>
        </w:rPr>
        <w:t xml:space="preserve">        2.2.8 Identified Research and Engineering Gaps</w:t>
      </w:r>
      <w:r>
        <w:rPr>
          <w:rFonts w:ascii="Times New Roman" w:hAnsi="Times New Roman" w:cs="Times New Roman"/>
          <w:sz w:val="20"/>
          <w:szCs w:val="20"/>
        </w:rPr>
        <w:t xml:space="preserve"> ....................................</w:t>
      </w:r>
      <w:r>
        <w:rPr>
          <w:rFonts w:ascii="Times New Roman" w:hAnsi="Times New Roman" w:cs="Times New Roman"/>
          <w:sz w:val="22"/>
          <w:szCs w:val="22"/>
        </w:rPr>
        <w:t xml:space="preserve"> 36</w:t>
      </w:r>
    </w:p>
    <w:p>
      <w:pPr>
        <w:jc w:val="left"/>
        <w:spacing w:before="80" w:after="30" w:line="280" w:lineRule="auto"/>
      </w:pPr>
      <w:r>
        <w:rPr>
          <w:rFonts w:ascii="Times New Roman" w:hAnsi="Times New Roman" w:cs="Times New Roman"/>
          <w:sz w:val="22"/>
          <w:szCs w:val="22"/>
          <w:b/>
        </w:rPr>
        <w:t xml:space="preserve">3. PROPOSED WORK AND METHODOLOGY</w:t>
      </w:r>
      <w:r>
        <w:rPr>
          <w:rFonts w:ascii="Times New Roman" w:hAnsi="Times New Roman" w:cs="Times New Roman"/>
          <w:sz w:val="20"/>
          <w:szCs w:val="20"/>
        </w:rPr>
        <w:t xml:space="preserve"> ...........................................</w:t>
      </w:r>
      <w:r>
        <w:rPr>
          <w:rFonts w:ascii="Times New Roman" w:hAnsi="Times New Roman" w:cs="Times New Roman"/>
          <w:sz w:val="22"/>
          <w:szCs w:val="22"/>
          <w:b/>
        </w:rPr>
        <w:t xml:space="preserve"> 38</w:t>
      </w:r>
    </w:p>
    <w:p>
      <w:pPr>
        <w:jc w:val="left"/>
        <w:spacing w:before="40" w:after="30" w:line="280" w:lineRule="auto"/>
      </w:pPr>
      <w:r>
        <w:rPr>
          <w:rFonts w:ascii="Times New Roman" w:hAnsi="Times New Roman" w:cs="Times New Roman"/>
          <w:sz w:val="22"/>
          <w:szCs w:val="22"/>
        </w:rPr>
        <w:t xml:space="preserve">    3.1 Multi-Tiered System Architecture</w:t>
      </w:r>
      <w:r>
        <w:rPr>
          <w:rFonts w:ascii="Times New Roman" w:hAnsi="Times New Roman" w:cs="Times New Roman"/>
          <w:sz w:val="20"/>
          <w:szCs w:val="20"/>
        </w:rPr>
        <w:t xml:space="preserve"> .........................................</w:t>
      </w:r>
      <w:r>
        <w:rPr>
          <w:rFonts w:ascii="Times New Roman" w:hAnsi="Times New Roman" w:cs="Times New Roman"/>
          <w:sz w:val="22"/>
          <w:szCs w:val="22"/>
        </w:rPr>
        <w:t xml:space="preserve"> 38</w:t>
      </w:r>
    </w:p>
    <w:p>
      <w:pPr>
        <w:jc w:val="left"/>
        <w:spacing w:before="40" w:after="30" w:line="280" w:lineRule="auto"/>
      </w:pPr>
      <w:r>
        <w:rPr>
          <w:rFonts w:ascii="Times New Roman" w:hAnsi="Times New Roman" w:cs="Times New Roman"/>
          <w:sz w:val="22"/>
          <w:szCs w:val="22"/>
        </w:rPr>
        <w:t xml:space="preserve">        3.1.1 Presentation Layer (Client Tier)</w:t>
      </w:r>
      <w:r>
        <w:rPr>
          <w:rFonts w:ascii="Times New Roman" w:hAnsi="Times New Roman" w:cs="Times New Roman"/>
          <w:sz w:val="20"/>
          <w:szCs w:val="20"/>
        </w:rPr>
        <w:t xml:space="preserve"> ........................................</w:t>
      </w:r>
      <w:r>
        <w:rPr>
          <w:rFonts w:ascii="Times New Roman" w:hAnsi="Times New Roman" w:cs="Times New Roman"/>
          <w:sz w:val="22"/>
          <w:szCs w:val="22"/>
        </w:rPr>
        <w:t xml:space="preserve"> 39</w:t>
      </w:r>
    </w:p>
    <w:p>
      <w:pPr>
        <w:jc w:val="left"/>
        <w:spacing w:before="40" w:after="30" w:line="280" w:lineRule="auto"/>
      </w:pPr>
      <w:r>
        <w:rPr>
          <w:rFonts w:ascii="Times New Roman" w:hAnsi="Times New Roman" w:cs="Times New Roman"/>
          <w:sz w:val="22"/>
          <w:szCs w:val="22"/>
        </w:rPr>
        <w:t xml:space="preserve">        3.1.2 Application and Edge Routing Layer (Middleware Tier)</w:t>
      </w:r>
      <w:r>
        <w:rPr>
          <w:rFonts w:ascii="Times New Roman" w:hAnsi="Times New Roman" w:cs="Times New Roman"/>
          <w:sz w:val="20"/>
          <w:szCs w:val="20"/>
        </w:rPr>
        <w:t xml:space="preserve"> ..............................</w:t>
      </w:r>
      <w:r>
        <w:rPr>
          <w:rFonts w:ascii="Times New Roman" w:hAnsi="Times New Roman" w:cs="Times New Roman"/>
          <w:sz w:val="22"/>
          <w:szCs w:val="22"/>
        </w:rPr>
        <w:t xml:space="preserve"> 40</w:t>
      </w:r>
    </w:p>
    <w:p>
      <w:pPr>
        <w:jc w:val="left"/>
        <w:spacing w:before="40" w:after="30" w:line="280" w:lineRule="auto"/>
      </w:pPr>
      <w:r>
        <w:rPr>
          <w:rFonts w:ascii="Times New Roman" w:hAnsi="Times New Roman" w:cs="Times New Roman"/>
          <w:sz w:val="22"/>
          <w:szCs w:val="22"/>
        </w:rPr>
        <w:t xml:space="preserve">        3.1.3 Business Logic and Service Layer</w:t>
      </w:r>
      <w:r>
        <w:rPr>
          <w:rFonts w:ascii="Times New Roman" w:hAnsi="Times New Roman" w:cs="Times New Roman"/>
          <w:sz w:val="20"/>
          <w:szCs w:val="20"/>
        </w:rPr>
        <w:t xml:space="preserve"> ........................................</w:t>
      </w:r>
      <w:r>
        <w:rPr>
          <w:rFonts w:ascii="Times New Roman" w:hAnsi="Times New Roman" w:cs="Times New Roman"/>
          <w:sz w:val="22"/>
          <w:szCs w:val="22"/>
        </w:rPr>
        <w:t xml:space="preserve"> 41</w:t>
      </w:r>
    </w:p>
    <w:p>
      <w:pPr>
        <w:jc w:val="left"/>
        <w:spacing w:before="40" w:after="30" w:line="280" w:lineRule="auto"/>
      </w:pPr>
      <w:r>
        <w:rPr>
          <w:rFonts w:ascii="Times New Roman" w:hAnsi="Times New Roman" w:cs="Times New Roman"/>
          <w:sz w:val="22"/>
          <w:szCs w:val="22"/>
        </w:rPr>
        <w:t xml:space="preserve">        3.1.4 Data Persistence and Security Layer</w:t>
      </w:r>
      <w:r>
        <w:rPr>
          <w:rFonts w:ascii="Times New Roman" w:hAnsi="Times New Roman" w:cs="Times New Roman"/>
          <w:sz w:val="20"/>
          <w:szCs w:val="20"/>
        </w:rPr>
        <w:t xml:space="preserve"> .......................................</w:t>
      </w:r>
      <w:r>
        <w:rPr>
          <w:rFonts w:ascii="Times New Roman" w:hAnsi="Times New Roman" w:cs="Times New Roman"/>
          <w:sz w:val="22"/>
          <w:szCs w:val="22"/>
        </w:rPr>
        <w:t xml:space="preserve"> 42</w:t>
      </w:r>
    </w:p>
    <w:p>
      <w:pPr>
        <w:jc w:val="left"/>
        <w:spacing w:before="40" w:after="30" w:line="280" w:lineRule="auto"/>
      </w:pPr>
      <w:r>
        <w:rPr>
          <w:rFonts w:ascii="Times New Roman" w:hAnsi="Times New Roman" w:cs="Times New Roman"/>
          <w:sz w:val="22"/>
          <w:szCs w:val="22"/>
        </w:rPr>
        <w:t xml:space="preserve">        3.1.5 External Integration Layer</w:t>
      </w:r>
      <w:r>
        <w:rPr>
          <w:rFonts w:ascii="Times New Roman" w:hAnsi="Times New Roman" w:cs="Times New Roman"/>
          <w:sz w:val="20"/>
          <w:szCs w:val="20"/>
        </w:rPr>
        <w:t xml:space="preserve"> ...........................................</w:t>
      </w:r>
      <w:r>
        <w:rPr>
          <w:rFonts w:ascii="Times New Roman" w:hAnsi="Times New Roman" w:cs="Times New Roman"/>
          <w:sz w:val="22"/>
          <w:szCs w:val="22"/>
        </w:rPr>
        <w:t xml:space="preserve"> 43</w:t>
      </w:r>
    </w:p>
    <w:p>
      <w:pPr>
        <w:jc w:val="left"/>
        <w:spacing w:before="40" w:after="30" w:line="280" w:lineRule="auto"/>
      </w:pPr>
      <w:r>
        <w:rPr>
          <w:rFonts w:ascii="Times New Roman" w:hAnsi="Times New Roman" w:cs="Times New Roman"/>
          <w:sz w:val="22"/>
          <w:szCs w:val="22"/>
        </w:rPr>
        <w:t xml:space="preserve">    3.2 Formal Mathematical Formulations and Computational Models</w:t>
      </w:r>
      <w:r>
        <w:rPr>
          <w:rFonts w:ascii="Times New Roman" w:hAnsi="Times New Roman" w:cs="Times New Roman"/>
          <w:sz w:val="20"/>
          <w:szCs w:val="20"/>
        </w:rPr>
        <w:t xml:space="preserve"> .............................</w:t>
      </w:r>
      <w:r>
        <w:rPr>
          <w:rFonts w:ascii="Times New Roman" w:hAnsi="Times New Roman" w:cs="Times New Roman"/>
          <w:sz w:val="22"/>
          <w:szCs w:val="22"/>
        </w:rPr>
        <w:t xml:space="preserve"> 44</w:t>
      </w:r>
    </w:p>
    <w:p>
      <w:pPr>
        <w:jc w:val="left"/>
        <w:spacing w:before="40" w:after="30" w:line="280" w:lineRule="auto"/>
      </w:pPr>
      <w:r>
        <w:rPr>
          <w:rFonts w:ascii="Times New Roman" w:hAnsi="Times New Roman" w:cs="Times New Roman"/>
          <w:sz w:val="22"/>
          <w:szCs w:val="22"/>
        </w:rPr>
        <w:t xml:space="preserve">        3.2.1 Portfolio Valuation and Unrealized Profit/Loss Formulations</w:t>
      </w:r>
      <w:r>
        <w:rPr>
          <w:rFonts w:ascii="Times New Roman" w:hAnsi="Times New Roman" w:cs="Times New Roman"/>
          <w:sz w:val="20"/>
          <w:szCs w:val="20"/>
        </w:rPr>
        <w:t xml:space="preserve"> ...........................</w:t>
      </w:r>
      <w:r>
        <w:rPr>
          <w:rFonts w:ascii="Times New Roman" w:hAnsi="Times New Roman" w:cs="Times New Roman"/>
          <w:sz w:val="22"/>
          <w:szCs w:val="22"/>
        </w:rPr>
        <w:t xml:space="preserve"> 44</w:t>
      </w:r>
    </w:p>
    <w:p>
      <w:pPr>
        <w:jc w:val="left"/>
        <w:spacing w:before="40" w:after="30" w:line="280" w:lineRule="auto"/>
      </w:pPr>
      <w:r>
        <w:rPr>
          <w:rFonts w:ascii="Times New Roman" w:hAnsi="Times New Roman" w:cs="Times New Roman"/>
          <w:sz w:val="22"/>
          <w:szCs w:val="22"/>
        </w:rPr>
        <w:t xml:space="preserve">        3.2.2 Herfindahl-Hirschman Index (HHI) Concentration Modeling</w:t>
      </w:r>
      <w:r>
        <w:rPr>
          <w:rFonts w:ascii="Times New Roman" w:hAnsi="Times New Roman" w:cs="Times New Roman"/>
          <w:sz w:val="20"/>
          <w:szCs w:val="20"/>
        </w:rPr>
        <w:t xml:space="preserve"> .............................</w:t>
      </w:r>
      <w:r>
        <w:rPr>
          <w:rFonts w:ascii="Times New Roman" w:hAnsi="Times New Roman" w:cs="Times New Roman"/>
          <w:sz w:val="22"/>
          <w:szCs w:val="22"/>
        </w:rPr>
        <w:t xml:space="preserve"> 45</w:t>
      </w:r>
    </w:p>
    <w:p>
      <w:pPr>
        <w:jc w:val="left"/>
        <w:spacing w:before="40" w:after="30" w:line="280" w:lineRule="auto"/>
      </w:pPr>
      <w:r>
        <w:rPr>
          <w:rFonts w:ascii="Times New Roman" w:hAnsi="Times New Roman" w:cs="Times New Roman"/>
          <w:sz w:val="22"/>
          <w:szCs w:val="22"/>
        </w:rPr>
        <w:t xml:space="preserve">        3.2.3 Systematic Volatility Beta Formulations</w:t>
      </w:r>
      <w:r>
        <w:rPr>
          <w:rFonts w:ascii="Times New Roman" w:hAnsi="Times New Roman" w:cs="Times New Roman"/>
          <w:sz w:val="20"/>
          <w:szCs w:val="20"/>
        </w:rPr>
        <w:t xml:space="preserve"> .....................................</w:t>
      </w:r>
      <w:r>
        <w:rPr>
          <w:rFonts w:ascii="Times New Roman" w:hAnsi="Times New Roman" w:cs="Times New Roman"/>
          <w:sz w:val="22"/>
          <w:szCs w:val="22"/>
        </w:rPr>
        <w:t xml:space="preserve"> 46</w:t>
      </w:r>
    </w:p>
    <w:p>
      <w:pPr>
        <w:jc w:val="left"/>
        <w:spacing w:before="40" w:after="30" w:line="280" w:lineRule="auto"/>
      </w:pPr>
      <w:r>
        <w:rPr>
          <w:rFonts w:ascii="Times New Roman" w:hAnsi="Times New Roman" w:cs="Times New Roman"/>
          <w:sz w:val="22"/>
          <w:szCs w:val="22"/>
        </w:rPr>
        <w:t xml:space="preserve">        3.2.4 Algorithmic Cost-Basis Tax-Lot Matching Mechanics</w:t>
      </w:r>
      <w:r>
        <w:rPr>
          <w:rFonts w:ascii="Times New Roman" w:hAnsi="Times New Roman" w:cs="Times New Roman"/>
          <w:sz w:val="20"/>
          <w:szCs w:val="20"/>
        </w:rPr>
        <w:t xml:space="preserve"> ................................</w:t>
      </w:r>
      <w:r>
        <w:rPr>
          <w:rFonts w:ascii="Times New Roman" w:hAnsi="Times New Roman" w:cs="Times New Roman"/>
          <w:sz w:val="22"/>
          <w:szCs w:val="22"/>
        </w:rPr>
        <w:t xml:space="preserve"> 47</w:t>
      </w:r>
    </w:p>
    <w:p>
      <w:pPr>
        <w:jc w:val="left"/>
        <w:spacing w:before="40" w:after="30" w:line="280" w:lineRule="auto"/>
      </w:pPr>
      <w:r>
        <w:rPr>
          <w:rFonts w:ascii="Times New Roman" w:hAnsi="Times New Roman" w:cs="Times New Roman"/>
          <w:sz w:val="22"/>
          <w:szCs w:val="22"/>
        </w:rPr>
        <w:t xml:space="preserve">    3.3 Security Engineering and Threat Mitigation Protocols</w:t>
      </w:r>
      <w:r>
        <w:rPr>
          <w:rFonts w:ascii="Times New Roman" w:hAnsi="Times New Roman" w:cs="Times New Roman"/>
          <w:sz w:val="20"/>
          <w:szCs w:val="20"/>
        </w:rPr>
        <w:t xml:space="preserve"> ...............................</w:t>
      </w:r>
      <w:r>
        <w:rPr>
          <w:rFonts w:ascii="Times New Roman" w:hAnsi="Times New Roman" w:cs="Times New Roman"/>
          <w:sz w:val="22"/>
          <w:szCs w:val="22"/>
        </w:rPr>
        <w:t xml:space="preserve"> 48</w:t>
      </w:r>
    </w:p>
    <w:p>
      <w:pPr>
        <w:jc w:val="left"/>
        <w:spacing w:before="40" w:after="30" w:line="280" w:lineRule="auto"/>
      </w:pPr>
      <w:r>
        <w:rPr>
          <w:rFonts w:ascii="Times New Roman" w:hAnsi="Times New Roman" w:cs="Times New Roman"/>
          <w:sz w:val="22"/>
          <w:szCs w:val="22"/>
        </w:rPr>
        <w:t xml:space="preserve">        3.3.1 AES-256-GCM Authenticated Envelope Encryption Protocol</w:t>
      </w:r>
      <w:r>
        <w:rPr>
          <w:rFonts w:ascii="Times New Roman" w:hAnsi="Times New Roman" w:cs="Times New Roman"/>
          <w:sz w:val="20"/>
          <w:szCs w:val="20"/>
        </w:rPr>
        <w:t xml:space="preserve"> .............................</w:t>
      </w:r>
      <w:r>
        <w:rPr>
          <w:rFonts w:ascii="Times New Roman" w:hAnsi="Times New Roman" w:cs="Times New Roman"/>
          <w:sz w:val="22"/>
          <w:szCs w:val="22"/>
        </w:rPr>
        <w:t xml:space="preserve"> 48</w:t>
      </w:r>
    </w:p>
    <w:p>
      <w:pPr>
        <w:jc w:val="left"/>
        <w:spacing w:before="40" w:after="30" w:line="280" w:lineRule="auto"/>
      </w:pPr>
      <w:r>
        <w:rPr>
          <w:rFonts w:ascii="Times New Roman" w:hAnsi="Times New Roman" w:cs="Times New Roman"/>
          <w:sz w:val="22"/>
          <w:szCs w:val="22"/>
        </w:rPr>
        <w:t xml:space="preserve">        3.3.2 Sliding Window Token-Bucket Rate Limiter</w:t>
      </w:r>
      <w:r>
        <w:rPr>
          <w:rFonts w:ascii="Times New Roman" w:hAnsi="Times New Roman" w:cs="Times New Roman"/>
          <w:sz w:val="20"/>
          <w:szCs w:val="20"/>
        </w:rPr>
        <w:t xml:space="preserve"> ....................................</w:t>
      </w:r>
      <w:r>
        <w:rPr>
          <w:rFonts w:ascii="Times New Roman" w:hAnsi="Times New Roman" w:cs="Times New Roman"/>
          <w:sz w:val="22"/>
          <w:szCs w:val="22"/>
        </w:rPr>
        <w:t xml:space="preserve"> 49</w:t>
      </w:r>
    </w:p>
    <w:p>
      <w:pPr>
        <w:jc w:val="left"/>
        <w:spacing w:before="40" w:after="30" w:line="280" w:lineRule="auto"/>
      </w:pPr>
      <w:r>
        <w:rPr>
          <w:rFonts w:ascii="Times New Roman" w:hAnsi="Times New Roman" w:cs="Times New Roman"/>
          <w:sz w:val="22"/>
          <w:szCs w:val="22"/>
        </w:rPr>
        <w:t xml:space="preserve">        3.3.3 Non-Custodial Key Verification Policy</w:t>
      </w:r>
      <w:r>
        <w:rPr>
          <w:rFonts w:ascii="Times New Roman" w:hAnsi="Times New Roman" w:cs="Times New Roman"/>
          <w:sz w:val="20"/>
          <w:szCs w:val="20"/>
        </w:rPr>
        <w:t xml:space="preserve"> ......................................</w:t>
      </w:r>
      <w:r>
        <w:rPr>
          <w:rFonts w:ascii="Times New Roman" w:hAnsi="Times New Roman" w:cs="Times New Roman"/>
          <w:sz w:val="22"/>
          <w:szCs w:val="22"/>
        </w:rPr>
        <w:t xml:space="preserve"> 50</w:t>
      </w:r>
    </w:p>
    <w:p>
      <w:pPr>
        <w:jc w:val="left"/>
        <w:spacing w:before="40" w:after="30" w:line="280" w:lineRule="auto"/>
      </w:pPr>
      <w:r>
        <w:rPr>
          <w:rFonts w:ascii="Times New Roman" w:hAnsi="Times New Roman" w:cs="Times New Roman"/>
          <w:sz w:val="22"/>
          <w:szCs w:val="22"/>
        </w:rPr>
        <w:t xml:space="preserve">        3.3.4 Row Level Security (RLS) Access Control Invariants</w:t>
      </w:r>
      <w:r>
        <w:rPr>
          <w:rFonts w:ascii="Times New Roman" w:hAnsi="Times New Roman" w:cs="Times New Roman"/>
          <w:sz w:val="20"/>
          <w:szCs w:val="20"/>
        </w:rPr>
        <w:t xml:space="preserve"> ...............................</w:t>
      </w:r>
      <w:r>
        <w:rPr>
          <w:rFonts w:ascii="Times New Roman" w:hAnsi="Times New Roman" w:cs="Times New Roman"/>
          <w:sz w:val="22"/>
          <w:szCs w:val="22"/>
        </w:rPr>
        <w:t xml:space="preserve"> 51</w:t>
      </w:r>
    </w:p>
    <w:p>
      <w:pPr>
        <w:jc w:val="left"/>
        <w:spacing w:before="40" w:after="30" w:line="280" w:lineRule="auto"/>
      </w:pPr>
      <w:r>
        <w:rPr>
          <w:rFonts w:ascii="Times New Roman" w:hAnsi="Times New Roman" w:cs="Times New Roman"/>
          <w:sz w:val="22"/>
          <w:szCs w:val="22"/>
        </w:rPr>
        <w:t xml:space="preserve">        3.3.5 Emergency Administrative Trading Kill Switch</w:t>
      </w:r>
      <w:r>
        <w:rPr>
          <w:rFonts w:ascii="Times New Roman" w:hAnsi="Times New Roman" w:cs="Times New Roman"/>
          <w:sz w:val="20"/>
          <w:szCs w:val="20"/>
        </w:rPr>
        <w:t xml:space="preserve"> ..................................</w:t>
      </w:r>
      <w:r>
        <w:rPr>
          <w:rFonts w:ascii="Times New Roman" w:hAnsi="Times New Roman" w:cs="Times New Roman"/>
          <w:sz w:val="22"/>
          <w:szCs w:val="22"/>
        </w:rPr>
        <w:t xml:space="preserve"> 52</w:t>
      </w:r>
    </w:p>
    <w:p>
      <w:pPr>
        <w:jc w:val="left"/>
        <w:spacing w:before="40" w:after="30" w:line="280" w:lineRule="auto"/>
      </w:pPr>
      <w:r>
        <w:rPr>
          <w:rFonts w:ascii="Times New Roman" w:hAnsi="Times New Roman" w:cs="Times New Roman"/>
          <w:sz w:val="22"/>
          <w:szCs w:val="22"/>
        </w:rPr>
        <w:t xml:space="preserve">    3.4 Operational Workflows and Sequence Flowcharts</w:t>
      </w:r>
      <w:r>
        <w:rPr>
          <w:rFonts w:ascii="Times New Roman" w:hAnsi="Times New Roman" w:cs="Times New Roman"/>
          <w:sz w:val="20"/>
          <w:szCs w:val="20"/>
        </w:rPr>
        <w:t xml:space="preserve"> ...................................</w:t>
      </w:r>
      <w:r>
        <w:rPr>
          <w:rFonts w:ascii="Times New Roman" w:hAnsi="Times New Roman" w:cs="Times New Roman"/>
          <w:sz w:val="22"/>
          <w:szCs w:val="22"/>
        </w:rPr>
        <w:t xml:space="preserve"> 53</w:t>
      </w:r>
    </w:p>
    <w:p>
      <w:pPr>
        <w:jc w:val="left"/>
        <w:spacing w:before="40" w:after="30" w:line="280" w:lineRule="auto"/>
      </w:pPr>
      <w:r>
        <w:rPr>
          <w:rFonts w:ascii="Times New Roman" w:hAnsi="Times New Roman" w:cs="Times New Roman"/>
          <w:sz w:val="22"/>
          <w:szCs w:val="22"/>
        </w:rPr>
        <w:t xml:space="preserve">        3.4.1 Real-Time Market Streaming Pipeline</w:t>
      </w:r>
      <w:r>
        <w:rPr>
          <w:rFonts w:ascii="Times New Roman" w:hAnsi="Times New Roman" w:cs="Times New Roman"/>
          <w:sz w:val="20"/>
          <w:szCs w:val="20"/>
        </w:rPr>
        <w:t xml:space="preserve"> .......................................</w:t>
      </w:r>
      <w:r>
        <w:rPr>
          <w:rFonts w:ascii="Times New Roman" w:hAnsi="Times New Roman" w:cs="Times New Roman"/>
          <w:sz w:val="22"/>
          <w:szCs w:val="22"/>
        </w:rPr>
        <w:t xml:space="preserve"> 53</w:t>
      </w:r>
    </w:p>
    <w:p>
      <w:pPr>
        <w:jc w:val="left"/>
        <w:spacing w:before="40" w:after="30" w:line="280" w:lineRule="auto"/>
      </w:pPr>
      <w:r>
        <w:rPr>
          <w:rFonts w:ascii="Times New Roman" w:hAnsi="Times New Roman" w:cs="Times New Roman"/>
          <w:sz w:val="22"/>
          <w:szCs w:val="22"/>
        </w:rPr>
        <w:t xml:space="preserve">        3.4.2 Order Validation and Execution Pipeline</w:t>
      </w:r>
      <w:r>
        <w:rPr>
          <w:rFonts w:ascii="Times New Roman" w:hAnsi="Times New Roman" w:cs="Times New Roman"/>
          <w:sz w:val="20"/>
          <w:szCs w:val="20"/>
        </w:rPr>
        <w:t xml:space="preserve"> .....................................</w:t>
      </w:r>
      <w:r>
        <w:rPr>
          <w:rFonts w:ascii="Times New Roman" w:hAnsi="Times New Roman" w:cs="Times New Roman"/>
          <w:sz w:val="22"/>
          <w:szCs w:val="22"/>
        </w:rPr>
        <w:t xml:space="preserve"> 54</w:t>
      </w:r>
    </w:p>
    <w:p>
      <w:pPr>
        <w:jc w:val="left"/>
        <w:spacing w:before="40" w:after="30" w:line="280" w:lineRule="auto"/>
      </w:pPr>
      <w:r>
        <w:rPr>
          <w:rFonts w:ascii="Times New Roman" w:hAnsi="Times New Roman" w:cs="Times New Roman"/>
          <w:sz w:val="22"/>
          <w:szCs w:val="22"/>
        </w:rPr>
        <w:t xml:space="preserve">        3.4.3 Regret Guard Behavioral Intervention Flowchart</w:t>
      </w:r>
      <w:r>
        <w:rPr>
          <w:rFonts w:ascii="Times New Roman" w:hAnsi="Times New Roman" w:cs="Times New Roman"/>
          <w:sz w:val="20"/>
          <w:szCs w:val="20"/>
        </w:rPr>
        <w:t xml:space="preserve"> .................................</w:t>
      </w:r>
      <w:r>
        <w:rPr>
          <w:rFonts w:ascii="Times New Roman" w:hAnsi="Times New Roman" w:cs="Times New Roman"/>
          <w:sz w:val="22"/>
          <w:szCs w:val="22"/>
        </w:rPr>
        <w:t xml:space="preserve"> 55</w:t>
      </w:r>
    </w:p>
    <w:p>
      <w:pPr>
        <w:jc w:val="left"/>
        <w:spacing w:before="40" w:after="30" w:line="280" w:lineRule="auto"/>
      </w:pPr>
      <w:r>
        <w:rPr>
          <w:rFonts w:ascii="Times New Roman" w:hAnsi="Times New Roman" w:cs="Times New Roman"/>
          <w:sz w:val="22"/>
          <w:szCs w:val="22"/>
        </w:rPr>
        <w:t xml:space="preserve">    3.5 Relational Database Schema and Entity-Relationship Specification</w:t>
      </w:r>
      <w:r>
        <w:rPr>
          <w:rFonts w:ascii="Times New Roman" w:hAnsi="Times New Roman" w:cs="Times New Roman"/>
          <w:sz w:val="20"/>
          <w:szCs w:val="20"/>
        </w:rPr>
        <w:t xml:space="preserve"> .........................</w:t>
      </w:r>
      <w:r>
        <w:rPr>
          <w:rFonts w:ascii="Times New Roman" w:hAnsi="Times New Roman" w:cs="Times New Roman"/>
          <w:sz w:val="22"/>
          <w:szCs w:val="22"/>
        </w:rPr>
        <w:t xml:space="preserve"> 56</w:t>
      </w:r>
    </w:p>
    <w:p>
      <w:pPr>
        <w:jc w:val="left"/>
        <w:spacing w:before="40" w:after="30" w:line="280" w:lineRule="auto"/>
      </w:pPr>
      <w:r>
        <w:rPr>
          <w:rFonts w:ascii="Times New Roman" w:hAnsi="Times New Roman" w:cs="Times New Roman"/>
          <w:sz w:val="22"/>
          <w:szCs w:val="22"/>
        </w:rPr>
        <w:t xml:space="preserve">        3.5.1 Database Entity Specification</w:t>
      </w:r>
      <w:r>
        <w:rPr>
          <w:rFonts w:ascii="Times New Roman" w:hAnsi="Times New Roman" w:cs="Times New Roman"/>
          <w:sz w:val="20"/>
          <w:szCs w:val="20"/>
        </w:rPr>
        <w:t xml:space="preserve"> ..........................................</w:t>
      </w:r>
      <w:r>
        <w:rPr>
          <w:rFonts w:ascii="Times New Roman" w:hAnsi="Times New Roman" w:cs="Times New Roman"/>
          <w:sz w:val="22"/>
          <w:szCs w:val="22"/>
        </w:rPr>
        <w:t xml:space="preserve"> 56</w:t>
      </w:r>
    </w:p>
    <w:p>
      <w:pPr>
        <w:jc w:val="left"/>
        <w:spacing w:before="40" w:after="30" w:line="280" w:lineRule="auto"/>
      </w:pPr>
      <w:r>
        <w:rPr>
          <w:rFonts w:ascii="Times New Roman" w:hAnsi="Times New Roman" w:cs="Times New Roman"/>
          <w:sz w:val="22"/>
          <w:szCs w:val="22"/>
        </w:rPr>
        <w:t xml:space="preserve">        3.5.2 Relational Integrity and Referential Constraints</w:t>
      </w:r>
      <w:r>
        <w:rPr>
          <w:rFonts w:ascii="Times New Roman" w:hAnsi="Times New Roman" w:cs="Times New Roman"/>
          <w:sz w:val="20"/>
          <w:szCs w:val="20"/>
        </w:rPr>
        <w:t xml:space="preserve"> ................................</w:t>
      </w:r>
      <w:r>
        <w:rPr>
          <w:rFonts w:ascii="Times New Roman" w:hAnsi="Times New Roman" w:cs="Times New Roman"/>
          <w:sz w:val="22"/>
          <w:szCs w:val="22"/>
        </w:rPr>
        <w:t xml:space="preserve"> 58</w:t>
      </w:r>
    </w:p>
    <w:p>
      <w:pPr>
        <w:jc w:val="left"/>
        <w:spacing w:before="80" w:after="30" w:line="280" w:lineRule="auto"/>
      </w:pPr>
      <w:r>
        <w:rPr>
          <w:rFonts w:ascii="Times New Roman" w:hAnsi="Times New Roman" w:cs="Times New Roman"/>
          <w:sz w:val="22"/>
          <w:szCs w:val="22"/>
          <w:b/>
        </w:rPr>
        <w:t xml:space="preserve">4. IMPLEMENTATION</w:t>
      </w:r>
      <w:r>
        <w:rPr>
          <w:rFonts w:ascii="Times New Roman" w:hAnsi="Times New Roman" w:cs="Times New Roman"/>
          <w:sz w:val="20"/>
          <w:szCs w:val="20"/>
        </w:rPr>
        <w:t xml:space="preserve"> ...................................................</w:t>
      </w:r>
      <w:r>
        <w:rPr>
          <w:rFonts w:ascii="Times New Roman" w:hAnsi="Times New Roman" w:cs="Times New Roman"/>
          <w:sz w:val="22"/>
          <w:szCs w:val="22"/>
          <w:b/>
        </w:rPr>
        <w:t xml:space="preserve"> 59</w:t>
      </w:r>
    </w:p>
    <w:p>
      <w:pPr>
        <w:jc w:val="left"/>
        <w:spacing w:before="40" w:after="30" w:line="280" w:lineRule="auto"/>
      </w:pPr>
      <w:r>
        <w:rPr>
          <w:rFonts w:ascii="Times New Roman" w:hAnsi="Times New Roman" w:cs="Times New Roman"/>
          <w:sz w:val="22"/>
          <w:szCs w:val="22"/>
        </w:rPr>
        <w:t xml:space="preserve">    4.1 System Implementation Overview and Tech Stack Architecture</w:t>
      </w:r>
      <w:r>
        <w:rPr>
          <w:rFonts w:ascii="Times New Roman" w:hAnsi="Times New Roman" w:cs="Times New Roman"/>
          <w:sz w:val="20"/>
          <w:szCs w:val="20"/>
        </w:rPr>
        <w:t xml:space="preserve"> ............................</w:t>
      </w:r>
      <w:r>
        <w:rPr>
          <w:rFonts w:ascii="Times New Roman" w:hAnsi="Times New Roman" w:cs="Times New Roman"/>
          <w:sz w:val="22"/>
          <w:szCs w:val="22"/>
        </w:rPr>
        <w:t xml:space="preserve"> 59</w:t>
      </w:r>
    </w:p>
    <w:p>
      <w:pPr>
        <w:jc w:val="left"/>
        <w:spacing w:before="40" w:after="30" w:line="280" w:lineRule="auto"/>
      </w:pPr>
      <w:r>
        <w:rPr>
          <w:rFonts w:ascii="Times New Roman" w:hAnsi="Times New Roman" w:cs="Times New Roman"/>
          <w:sz w:val="22"/>
          <w:szCs w:val="22"/>
        </w:rPr>
        <w:t xml:space="preserve">    4.2 Module 1: Authentication, Session Management, &amp; Role Authorization</w:t>
      </w:r>
      <w:r>
        <w:rPr>
          <w:rFonts w:ascii="Times New Roman" w:hAnsi="Times New Roman" w:cs="Times New Roman"/>
          <w:sz w:val="20"/>
          <w:szCs w:val="20"/>
        </w:rPr>
        <w:t xml:space="preserve"> ........................</w:t>
      </w:r>
      <w:r>
        <w:rPr>
          <w:rFonts w:ascii="Times New Roman" w:hAnsi="Times New Roman" w:cs="Times New Roman"/>
          <w:sz w:val="22"/>
          <w:szCs w:val="22"/>
        </w:rPr>
        <w:t xml:space="preserve"> 61</w:t>
      </w:r>
    </w:p>
    <w:p>
      <w:pPr>
        <w:jc w:val="left"/>
        <w:spacing w:before="40" w:after="30" w:line="280" w:lineRule="auto"/>
      </w:pPr>
      <w:r>
        <w:rPr>
          <w:rFonts w:ascii="Times New Roman" w:hAnsi="Times New Roman" w:cs="Times New Roman"/>
          <w:sz w:val="22"/>
          <w:szCs w:val="22"/>
        </w:rPr>
        <w:t xml:space="preserve">    4.3 Module 2: Server-Side Cryptography and In-Memory Rate Limiting</w:t>
      </w:r>
      <w:r>
        <w:rPr>
          <w:rFonts w:ascii="Times New Roman" w:hAnsi="Times New Roman" w:cs="Times New Roman"/>
          <w:sz w:val="20"/>
          <w:szCs w:val="20"/>
        </w:rPr>
        <w:t xml:space="preserve"> ..........................</w:t>
      </w:r>
      <w:r>
        <w:rPr>
          <w:rFonts w:ascii="Times New Roman" w:hAnsi="Times New Roman" w:cs="Times New Roman"/>
          <w:sz w:val="22"/>
          <w:szCs w:val="22"/>
        </w:rPr>
        <w:t xml:space="preserve"> 65</w:t>
      </w:r>
    </w:p>
    <w:p>
      <w:pPr>
        <w:jc w:val="left"/>
        <w:spacing w:before="40" w:after="30" w:line="280" w:lineRule="auto"/>
      </w:pPr>
      <w:r>
        <w:rPr>
          <w:rFonts w:ascii="Times New Roman" w:hAnsi="Times New Roman" w:cs="Times New Roman"/>
          <w:sz w:val="22"/>
          <w:szCs w:val="22"/>
        </w:rPr>
        <w:t xml:space="preserve">    4.4 Module 3: Real-Time Market Feed and WebSocket Streaming Engine</w:t>
      </w:r>
      <w:r>
        <w:rPr>
          <w:rFonts w:ascii="Times New Roman" w:hAnsi="Times New Roman" w:cs="Times New Roman"/>
          <w:sz w:val="20"/>
          <w:szCs w:val="20"/>
        </w:rPr>
        <w:t xml:space="preserve"> ..........................</w:t>
      </w:r>
      <w:r>
        <w:rPr>
          <w:rFonts w:ascii="Times New Roman" w:hAnsi="Times New Roman" w:cs="Times New Roman"/>
          <w:sz w:val="22"/>
          <w:szCs w:val="22"/>
        </w:rPr>
        <w:t xml:space="preserve"> 69</w:t>
      </w:r>
    </w:p>
    <w:p>
      <w:pPr>
        <w:jc w:val="left"/>
        <w:spacing w:before="40" w:after="30" w:line="280" w:lineRule="auto"/>
      </w:pPr>
      <w:r>
        <w:rPr>
          <w:rFonts w:ascii="Times New Roman" w:hAnsi="Times New Roman" w:cs="Times New Roman"/>
          <w:sz w:val="22"/>
          <w:szCs w:val="22"/>
        </w:rPr>
        <w:t xml:space="preserve">    4.5 Module 4: Portfolio Valuation, Transaction Processing, &amp; Allocation</w:t>
      </w:r>
      <w:r>
        <w:rPr>
          <w:rFonts w:ascii="Times New Roman" w:hAnsi="Times New Roman" w:cs="Times New Roman"/>
          <w:sz w:val="20"/>
          <w:szCs w:val="20"/>
        </w:rPr>
        <w:t xml:space="preserve"> ........................</w:t>
      </w:r>
      <w:r>
        <w:rPr>
          <w:rFonts w:ascii="Times New Roman" w:hAnsi="Times New Roman" w:cs="Times New Roman"/>
          <w:sz w:val="22"/>
          <w:szCs w:val="22"/>
        </w:rPr>
        <w:t xml:space="preserve"> 73</w:t>
      </w:r>
    </w:p>
    <w:p>
      <w:pPr>
        <w:jc w:val="left"/>
        <w:spacing w:before="40" w:after="30" w:line="280" w:lineRule="auto"/>
      </w:pPr>
      <w:r>
        <w:rPr>
          <w:rFonts w:ascii="Times New Roman" w:hAnsi="Times New Roman" w:cs="Times New Roman"/>
          <w:sz w:val="22"/>
          <w:szCs w:val="22"/>
        </w:rPr>
        <w:t xml:space="preserve">    4.6 Module 5: Sandbox Order Execution, Testnet Gateway, &amp; Regret Guard</w:t>
      </w:r>
      <w:r>
        <w:rPr>
          <w:rFonts w:ascii="Times New Roman" w:hAnsi="Times New Roman" w:cs="Times New Roman"/>
          <w:sz w:val="20"/>
          <w:szCs w:val="20"/>
        </w:rPr>
        <w:t xml:space="preserve"> ........................</w:t>
      </w:r>
      <w:r>
        <w:rPr>
          <w:rFonts w:ascii="Times New Roman" w:hAnsi="Times New Roman" w:cs="Times New Roman"/>
          <w:sz w:val="22"/>
          <w:szCs w:val="22"/>
        </w:rPr>
        <w:t xml:space="preserve"> 77</w:t>
      </w:r>
    </w:p>
    <w:p>
      <w:pPr>
        <w:jc w:val="left"/>
        <w:spacing w:before="40" w:after="30" w:line="280" w:lineRule="auto"/>
      </w:pPr>
      <w:r>
        <w:rPr>
          <w:rFonts w:ascii="Times New Roman" w:hAnsi="Times New Roman" w:cs="Times New Roman"/>
          <w:sz w:val="22"/>
          <w:szCs w:val="22"/>
        </w:rPr>
        <w:t xml:space="preserve">    4.7 Module 6: Advanced Analytics and Insights Hub</w:t>
      </w:r>
      <w:r>
        <w:rPr>
          <w:rFonts w:ascii="Times New Roman" w:hAnsi="Times New Roman" w:cs="Times New Roman"/>
          <w:sz w:val="20"/>
          <w:szCs w:val="20"/>
        </w:rPr>
        <w:t xml:space="preserve"> ...................................</w:t>
      </w:r>
      <w:r>
        <w:rPr>
          <w:rFonts w:ascii="Times New Roman" w:hAnsi="Times New Roman" w:cs="Times New Roman"/>
          <w:sz w:val="22"/>
          <w:szCs w:val="22"/>
        </w:rPr>
        <w:t xml:space="preserve"> 82</w:t>
      </w:r>
    </w:p>
    <w:p>
      <w:pPr>
        <w:jc w:val="left"/>
        <w:spacing w:before="40" w:after="30" w:line="280" w:lineRule="auto"/>
      </w:pPr>
      <w:r>
        <w:rPr>
          <w:rFonts w:ascii="Times New Roman" w:hAnsi="Times New Roman" w:cs="Times New Roman"/>
          <w:sz w:val="22"/>
          <w:szCs w:val="22"/>
        </w:rPr>
        <w:t xml:space="preserve">        4.7.1 Automated Tax-Lot Engine (FIFO/LIFO/HIFO) and CSV Export</w:t>
      </w:r>
      <w:r>
        <w:rPr>
          <w:rFonts w:ascii="Times New Roman" w:hAnsi="Times New Roman" w:cs="Times New Roman"/>
          <w:sz w:val="20"/>
          <w:szCs w:val="20"/>
        </w:rPr>
        <w:t xml:space="preserve"> ............................</w:t>
      </w:r>
      <w:r>
        <w:rPr>
          <w:rFonts w:ascii="Times New Roman" w:hAnsi="Times New Roman" w:cs="Times New Roman"/>
          <w:sz w:val="22"/>
          <w:szCs w:val="22"/>
        </w:rPr>
        <w:t xml:space="preserve"> 82</w:t>
      </w:r>
    </w:p>
    <w:p>
      <w:pPr>
        <w:jc w:val="left"/>
        <w:spacing w:before="40" w:after="30" w:line="280" w:lineRule="auto"/>
      </w:pPr>
      <w:r>
        <w:rPr>
          <w:rFonts w:ascii="Times New Roman" w:hAnsi="Times New Roman" w:cs="Times New Roman"/>
          <w:sz w:val="22"/>
          <w:szCs w:val="22"/>
        </w:rPr>
        <w:t xml:space="preserve">        4.7.2 Portfolio Risk Pulse (HHI Concentration Algorithm)</w:t>
      </w:r>
      <w:r>
        <w:rPr>
          <w:rFonts w:ascii="Times New Roman" w:hAnsi="Times New Roman" w:cs="Times New Roman"/>
          <w:sz w:val="20"/>
          <w:szCs w:val="20"/>
        </w:rPr>
        <w:t xml:space="preserve"> ...............................</w:t>
      </w:r>
      <w:r>
        <w:rPr>
          <w:rFonts w:ascii="Times New Roman" w:hAnsi="Times New Roman" w:cs="Times New Roman"/>
          <w:sz w:val="22"/>
          <w:szCs w:val="22"/>
        </w:rPr>
        <w:t xml:space="preserve"> 86</w:t>
      </w:r>
    </w:p>
    <w:p>
      <w:pPr>
        <w:jc w:val="left"/>
        <w:spacing w:before="40" w:after="30" w:line="280" w:lineRule="auto"/>
      </w:pPr>
      <w:r>
        <w:rPr>
          <w:rFonts w:ascii="Times New Roman" w:hAnsi="Times New Roman" w:cs="Times New Roman"/>
          <w:sz w:val="22"/>
          <w:szCs w:val="22"/>
        </w:rPr>
        <w:t xml:space="preserve">        4.7.3 Google Gemini AI Explain-the-Move Catalyst Analyzer</w:t>
      </w:r>
      <w:r>
        <w:rPr>
          <w:rFonts w:ascii="Times New Roman" w:hAnsi="Times New Roman" w:cs="Times New Roman"/>
          <w:sz w:val="20"/>
          <w:szCs w:val="20"/>
        </w:rPr>
        <w:t xml:space="preserve"> ...............................</w:t>
      </w:r>
      <w:r>
        <w:rPr>
          <w:rFonts w:ascii="Times New Roman" w:hAnsi="Times New Roman" w:cs="Times New Roman"/>
          <w:sz w:val="22"/>
          <w:szCs w:val="22"/>
        </w:rPr>
        <w:t xml:space="preserve"> 89</w:t>
      </w:r>
    </w:p>
    <w:p>
      <w:pPr>
        <w:jc w:val="left"/>
        <w:spacing w:before="40" w:after="30" w:line="280" w:lineRule="auto"/>
      </w:pPr>
      <w:r>
        <w:rPr>
          <w:rFonts w:ascii="Times New Roman" w:hAnsi="Times New Roman" w:cs="Times New Roman"/>
          <w:sz w:val="22"/>
          <w:szCs w:val="22"/>
        </w:rPr>
        <w:t xml:space="preserve">        4.7.4 Behavioral Trade Journal with Emotion Tagging</w:t>
      </w:r>
      <w:r>
        <w:rPr>
          <w:rFonts w:ascii="Times New Roman" w:hAnsi="Times New Roman" w:cs="Times New Roman"/>
          <w:sz w:val="20"/>
          <w:szCs w:val="20"/>
        </w:rPr>
        <w:t xml:space="preserve"> ..................................</w:t>
      </w:r>
      <w:r>
        <w:rPr>
          <w:rFonts w:ascii="Times New Roman" w:hAnsi="Times New Roman" w:cs="Times New Roman"/>
          <w:sz w:val="22"/>
          <w:szCs w:val="22"/>
        </w:rPr>
        <w:t xml:space="preserve"> 92</w:t>
      </w:r>
    </w:p>
    <w:p>
      <w:pPr>
        <w:jc w:val="left"/>
        <w:spacing w:before="40" w:after="30" w:line="280" w:lineRule="auto"/>
      </w:pPr>
      <w:r>
        <w:rPr>
          <w:rFonts w:ascii="Times New Roman" w:hAnsi="Times New Roman" w:cs="Times New Roman"/>
          <w:sz w:val="22"/>
          <w:szCs w:val="22"/>
        </w:rPr>
        <w:t xml:space="preserve">    4.8 Module 7: Administrative Governance and Global Kill Switch</w:t>
      </w:r>
      <w:r>
        <w:rPr>
          <w:rFonts w:ascii="Times New Roman" w:hAnsi="Times New Roman" w:cs="Times New Roman"/>
          <w:sz w:val="20"/>
          <w:szCs w:val="20"/>
        </w:rPr>
        <w:t xml:space="preserve"> ............................</w:t>
      </w:r>
      <w:r>
        <w:rPr>
          <w:rFonts w:ascii="Times New Roman" w:hAnsi="Times New Roman" w:cs="Times New Roman"/>
          <w:sz w:val="22"/>
          <w:szCs w:val="22"/>
        </w:rPr>
        <w:t xml:space="preserve"> 94</w:t>
      </w:r>
    </w:p>
    <w:p>
      <w:pPr>
        <w:jc w:val="left"/>
        <w:spacing w:before="80" w:after="30" w:line="280" w:lineRule="auto"/>
      </w:pPr>
      <w:r>
        <w:rPr>
          <w:rFonts w:ascii="Times New Roman" w:hAnsi="Times New Roman" w:cs="Times New Roman"/>
          <w:sz w:val="22"/>
          <w:szCs w:val="22"/>
          <w:b/>
        </w:rPr>
        <w:t xml:space="preserve">5. RESULT AND DISCUSSION</w:t>
      </w:r>
      <w:r>
        <w:rPr>
          <w:rFonts w:ascii="Times New Roman" w:hAnsi="Times New Roman" w:cs="Times New Roman"/>
          <w:sz w:val="20"/>
          <w:szCs w:val="20"/>
        </w:rPr>
        <w:t xml:space="preserve"> ...............................................</w:t>
      </w:r>
      <w:r>
        <w:rPr>
          <w:rFonts w:ascii="Times New Roman" w:hAnsi="Times New Roman" w:cs="Times New Roman"/>
          <w:sz w:val="22"/>
          <w:szCs w:val="22"/>
          <w:b/>
        </w:rPr>
        <w:t xml:space="preserve"> 97</w:t>
      </w:r>
    </w:p>
    <w:p>
      <w:pPr>
        <w:jc w:val="left"/>
        <w:spacing w:before="40" w:after="30" w:line="280" w:lineRule="auto"/>
      </w:pPr>
      <w:r>
        <w:rPr>
          <w:rFonts w:ascii="Times New Roman" w:hAnsi="Times New Roman" w:cs="Times New Roman"/>
          <w:sz w:val="22"/>
          <w:szCs w:val="22"/>
        </w:rPr>
        <w:t xml:space="preserve">    5.1 System Verification Methodology and Experimental Testbed</w:t>
      </w:r>
      <w:r>
        <w:rPr>
          <w:rFonts w:ascii="Times New Roman" w:hAnsi="Times New Roman" w:cs="Times New Roman"/>
          <w:sz w:val="20"/>
          <w:szCs w:val="20"/>
        </w:rPr>
        <w:t xml:space="preserve"> .............................</w:t>
      </w:r>
      <w:r>
        <w:rPr>
          <w:rFonts w:ascii="Times New Roman" w:hAnsi="Times New Roman" w:cs="Times New Roman"/>
          <w:sz w:val="22"/>
          <w:szCs w:val="22"/>
        </w:rPr>
        <w:t xml:space="preserve"> 97</w:t>
      </w:r>
    </w:p>
    <w:p>
      <w:pPr>
        <w:jc w:val="left"/>
        <w:spacing w:before="40" w:after="30" w:line="280" w:lineRule="auto"/>
      </w:pPr>
      <w:r>
        <w:rPr>
          <w:rFonts w:ascii="Times New Roman" w:hAnsi="Times New Roman" w:cs="Times New Roman"/>
          <w:sz w:val="22"/>
          <w:szCs w:val="22"/>
        </w:rPr>
        <w:t xml:space="preserve">    5.2 Detailed Interface Walkthrough and Functional Analysis</w:t>
      </w:r>
      <w:r>
        <w:rPr>
          <w:rFonts w:ascii="Times New Roman" w:hAnsi="Times New Roman" w:cs="Times New Roman"/>
          <w:sz w:val="20"/>
          <w:szCs w:val="20"/>
        </w:rPr>
        <w:t xml:space="preserve"> ..............................</w:t>
      </w:r>
      <w:r>
        <w:rPr>
          <w:rFonts w:ascii="Times New Roman" w:hAnsi="Times New Roman" w:cs="Times New Roman"/>
          <w:sz w:val="22"/>
          <w:szCs w:val="22"/>
        </w:rPr>
        <w:t xml:space="preserve"> 98</w:t>
      </w:r>
    </w:p>
    <w:p>
      <w:pPr>
        <w:jc w:val="left"/>
        <w:spacing w:before="40" w:after="30" w:line="280" w:lineRule="auto"/>
      </w:pPr>
      <w:r>
        <w:rPr>
          <w:rFonts w:ascii="Times New Roman" w:hAnsi="Times New Roman" w:cs="Times New Roman"/>
          <w:sz w:val="22"/>
          <w:szCs w:val="22"/>
        </w:rPr>
        <w:t xml:space="preserve">        5.2.1 Authentication and Role-Based Onboarding</w:t>
      </w:r>
      <w:r>
        <w:rPr>
          <w:rFonts w:ascii="Times New Roman" w:hAnsi="Times New Roman" w:cs="Times New Roman"/>
          <w:sz w:val="20"/>
          <w:szCs w:val="20"/>
        </w:rPr>
        <w:t xml:space="preserve"> ....................................</w:t>
      </w:r>
      <w:r>
        <w:rPr>
          <w:rFonts w:ascii="Times New Roman" w:hAnsi="Times New Roman" w:cs="Times New Roman"/>
          <w:sz w:val="22"/>
          <w:szCs w:val="22"/>
        </w:rPr>
        <w:t xml:space="preserve"> 98</w:t>
      </w:r>
    </w:p>
    <w:p>
      <w:pPr>
        <w:jc w:val="left"/>
        <w:spacing w:before="40" w:after="30" w:line="280" w:lineRule="auto"/>
      </w:pPr>
      <w:r>
        <w:rPr>
          <w:rFonts w:ascii="Times New Roman" w:hAnsi="Times New Roman" w:cs="Times New Roman"/>
          <w:sz w:val="22"/>
          <w:szCs w:val="22"/>
        </w:rPr>
        <w:t xml:space="preserve">        5.2.2 Operational Dashboard Workspace</w:t>
      </w:r>
      <w:r>
        <w:rPr>
          <w:rFonts w:ascii="Times New Roman" w:hAnsi="Times New Roman" w:cs="Times New Roman"/>
          <w:sz w:val="20"/>
          <w:szCs w:val="20"/>
        </w:rPr>
        <w:t xml:space="preserve"> .........................................</w:t>
      </w:r>
      <w:r>
        <w:rPr>
          <w:rFonts w:ascii="Times New Roman" w:hAnsi="Times New Roman" w:cs="Times New Roman"/>
          <w:sz w:val="22"/>
          <w:szCs w:val="22"/>
        </w:rPr>
        <w:t xml:space="preserve"> 99</w:t>
      </w:r>
    </w:p>
    <w:p>
      <w:pPr>
        <w:jc w:val="left"/>
        <w:spacing w:before="40" w:after="30" w:line="280" w:lineRule="auto"/>
      </w:pPr>
      <w:r>
        <w:rPr>
          <w:rFonts w:ascii="Times New Roman" w:hAnsi="Times New Roman" w:cs="Times New Roman"/>
          <w:sz w:val="22"/>
          <w:szCs w:val="22"/>
        </w:rPr>
        <w:t xml:space="preserve">        5.2.3 Market Discovery and Watchlist Monitor</w:t>
      </w:r>
      <w:r>
        <w:rPr>
          <w:rFonts w:ascii="Times New Roman" w:hAnsi="Times New Roman" w:cs="Times New Roman"/>
          <w:sz w:val="20"/>
          <w:szCs w:val="20"/>
        </w:rPr>
        <w:t xml:space="preserve"> .....................................</w:t>
      </w:r>
      <w:r>
        <w:rPr>
          <w:rFonts w:ascii="Times New Roman" w:hAnsi="Times New Roman" w:cs="Times New Roman"/>
          <w:sz w:val="22"/>
          <w:szCs w:val="22"/>
        </w:rPr>
        <w:t xml:space="preserve"> 101</w:t>
      </w:r>
    </w:p>
    <w:p>
      <w:pPr>
        <w:jc w:val="left"/>
        <w:spacing w:before="40" w:after="30" w:line="280" w:lineRule="auto"/>
      </w:pPr>
      <w:r>
        <w:rPr>
          <w:rFonts w:ascii="Times New Roman" w:hAnsi="Times New Roman" w:cs="Times New Roman"/>
          <w:sz w:val="22"/>
          <w:szCs w:val="22"/>
        </w:rPr>
        <w:t xml:space="preserve">        5.2.4 Portfolio Performance and Holdings Analytics</w:t>
      </w:r>
      <w:r>
        <w:rPr>
          <w:rFonts w:ascii="Times New Roman" w:hAnsi="Times New Roman" w:cs="Times New Roman"/>
          <w:sz w:val="20"/>
          <w:szCs w:val="20"/>
        </w:rPr>
        <w:t xml:space="preserve"> ..................................</w:t>
      </w:r>
      <w:r>
        <w:rPr>
          <w:rFonts w:ascii="Times New Roman" w:hAnsi="Times New Roman" w:cs="Times New Roman"/>
          <w:sz w:val="22"/>
          <w:szCs w:val="22"/>
        </w:rPr>
        <w:t xml:space="preserve"> 102</w:t>
      </w:r>
    </w:p>
    <w:p>
      <w:pPr>
        <w:jc w:val="left"/>
        <w:spacing w:before="40" w:after="30" w:line="280" w:lineRule="auto"/>
      </w:pPr>
      <w:r>
        <w:rPr>
          <w:rFonts w:ascii="Times New Roman" w:hAnsi="Times New Roman" w:cs="Times New Roman"/>
          <w:sz w:val="22"/>
          <w:szCs w:val="22"/>
        </w:rPr>
        <w:t xml:space="preserve">        5.2.5 Sandboxed Trading Terminal and Regret Guard Verification</w:t>
      </w:r>
      <w:r>
        <w:rPr>
          <w:rFonts w:ascii="Times New Roman" w:hAnsi="Times New Roman" w:cs="Times New Roman"/>
          <w:sz w:val="20"/>
          <w:szCs w:val="20"/>
        </w:rPr>
        <w:t xml:space="preserve"> ............................</w:t>
      </w:r>
      <w:r>
        <w:rPr>
          <w:rFonts w:ascii="Times New Roman" w:hAnsi="Times New Roman" w:cs="Times New Roman"/>
          <w:sz w:val="22"/>
          <w:szCs w:val="22"/>
        </w:rPr>
        <w:t xml:space="preserve"> 103</w:t>
      </w:r>
    </w:p>
    <w:p>
      <w:pPr>
        <w:jc w:val="left"/>
        <w:spacing w:before="40" w:after="30" w:line="280" w:lineRule="auto"/>
      </w:pPr>
      <w:r>
        <w:rPr>
          <w:rFonts w:ascii="Times New Roman" w:hAnsi="Times New Roman" w:cs="Times New Roman"/>
          <w:sz w:val="22"/>
          <w:szCs w:val="22"/>
        </w:rPr>
        <w:t xml:space="preserve">        5.2.6 Analytical Insights Hub</w:t>
      </w:r>
      <w:r>
        <w:rPr>
          <w:rFonts w:ascii="Times New Roman" w:hAnsi="Times New Roman" w:cs="Times New Roman"/>
          <w:sz w:val="20"/>
          <w:szCs w:val="20"/>
        </w:rPr>
        <w:t xml:space="preserve"> .............................................</w:t>
      </w:r>
      <w:r>
        <w:rPr>
          <w:rFonts w:ascii="Times New Roman" w:hAnsi="Times New Roman" w:cs="Times New Roman"/>
          <w:sz w:val="22"/>
          <w:szCs w:val="22"/>
        </w:rPr>
        <w:t xml:space="preserve"> 104</w:t>
      </w:r>
    </w:p>
    <w:p>
      <w:pPr>
        <w:jc w:val="left"/>
        <w:spacing w:before="40" w:after="30" w:line="280" w:lineRule="auto"/>
      </w:pPr>
      <w:r>
        <w:rPr>
          <w:rFonts w:ascii="Times New Roman" w:hAnsi="Times New Roman" w:cs="Times New Roman"/>
          <w:sz w:val="22"/>
          <w:szCs w:val="22"/>
        </w:rPr>
        <w:t xml:space="preserve">        5.2.7 Administrative Governance and Security Console</w:t>
      </w:r>
      <w:r>
        <w:rPr>
          <w:rFonts w:ascii="Times New Roman" w:hAnsi="Times New Roman" w:cs="Times New Roman"/>
          <w:sz w:val="20"/>
          <w:szCs w:val="20"/>
        </w:rPr>
        <w:t xml:space="preserve"> .................................</w:t>
      </w:r>
      <w:r>
        <w:rPr>
          <w:rFonts w:ascii="Times New Roman" w:hAnsi="Times New Roman" w:cs="Times New Roman"/>
          <w:sz w:val="22"/>
          <w:szCs w:val="22"/>
        </w:rPr>
        <w:t xml:space="preserve"> 106</w:t>
      </w:r>
    </w:p>
    <w:p>
      <w:pPr>
        <w:jc w:val="left"/>
        <w:spacing w:before="40" w:after="30" w:line="280" w:lineRule="auto"/>
      </w:pPr>
      <w:r>
        <w:rPr>
          <w:rFonts w:ascii="Times New Roman" w:hAnsi="Times New Roman" w:cs="Times New Roman"/>
          <w:sz w:val="22"/>
          <w:szCs w:val="22"/>
        </w:rPr>
        <w:t xml:space="preserve">    5.3 Quantitative Performance Benchmarking</w:t>
      </w:r>
      <w:r>
        <w:rPr>
          <w:rFonts w:ascii="Times New Roman" w:hAnsi="Times New Roman" w:cs="Times New Roman"/>
          <w:sz w:val="20"/>
          <w:szCs w:val="20"/>
        </w:rPr>
        <w:t xml:space="preserve"> .......................................</w:t>
      </w:r>
      <w:r>
        <w:rPr>
          <w:rFonts w:ascii="Times New Roman" w:hAnsi="Times New Roman" w:cs="Times New Roman"/>
          <w:sz w:val="22"/>
          <w:szCs w:val="22"/>
        </w:rPr>
        <w:t xml:space="preserve"> 107</w:t>
      </w:r>
    </w:p>
    <w:p>
      <w:pPr>
        <w:jc w:val="left"/>
        <w:spacing w:before="40" w:after="30" w:line="280" w:lineRule="auto"/>
      </w:pPr>
      <w:r>
        <w:rPr>
          <w:rFonts w:ascii="Times New Roman" w:hAnsi="Times New Roman" w:cs="Times New Roman"/>
          <w:sz w:val="22"/>
          <w:szCs w:val="22"/>
        </w:rPr>
        <w:t xml:space="preserve">        5.3.1 API and Network Latency Evaluation</w:t>
      </w:r>
      <w:r>
        <w:rPr>
          <w:rFonts w:ascii="Times New Roman" w:hAnsi="Times New Roman" w:cs="Times New Roman"/>
          <w:sz w:val="20"/>
          <w:szCs w:val="20"/>
        </w:rPr>
        <w:t xml:space="preserve"> .......................................</w:t>
      </w:r>
      <w:r>
        <w:rPr>
          <w:rFonts w:ascii="Times New Roman" w:hAnsi="Times New Roman" w:cs="Times New Roman"/>
          <w:sz w:val="22"/>
          <w:szCs w:val="22"/>
        </w:rPr>
        <w:t xml:space="preserve"> 107</w:t>
      </w:r>
    </w:p>
    <w:p>
      <w:pPr>
        <w:jc w:val="left"/>
        <w:spacing w:before="40" w:after="30" w:line="280" w:lineRule="auto"/>
      </w:pPr>
      <w:r>
        <w:rPr>
          <w:rFonts w:ascii="Times New Roman" w:hAnsi="Times New Roman" w:cs="Times New Roman"/>
          <w:sz w:val="22"/>
          <w:szCs w:val="22"/>
        </w:rPr>
        <w:t xml:space="preserve">        5.3.2 WebSocket Streaming Throughput and Client-Side Rendering</w:t>
      </w:r>
      <w:r>
        <w:rPr>
          <w:rFonts w:ascii="Times New Roman" w:hAnsi="Times New Roman" w:cs="Times New Roman"/>
          <w:sz w:val="20"/>
          <w:szCs w:val="20"/>
        </w:rPr>
        <w:t xml:space="preserve"> ............................</w:t>
      </w:r>
      <w:r>
        <w:rPr>
          <w:rFonts w:ascii="Times New Roman" w:hAnsi="Times New Roman" w:cs="Times New Roman"/>
          <w:sz w:val="22"/>
          <w:szCs w:val="22"/>
        </w:rPr>
        <w:t xml:space="preserve"> 108</w:t>
      </w:r>
    </w:p>
    <w:p>
      <w:pPr>
        <w:jc w:val="left"/>
        <w:spacing w:before="40" w:after="30" w:line="280" w:lineRule="auto"/>
      </w:pPr>
      <w:r>
        <w:rPr>
          <w:rFonts w:ascii="Times New Roman" w:hAnsi="Times New Roman" w:cs="Times New Roman"/>
          <w:sz w:val="22"/>
          <w:szCs w:val="22"/>
        </w:rPr>
        <w:t xml:space="preserve">        5.3.3 Database Query Latency Under Row Level Security (RLS)</w:t>
      </w:r>
      <w:r>
        <w:rPr>
          <w:rFonts w:ascii="Times New Roman" w:hAnsi="Times New Roman" w:cs="Times New Roman"/>
          <w:sz w:val="20"/>
          <w:szCs w:val="20"/>
        </w:rPr>
        <w:t xml:space="preserve"> ..............................</w:t>
      </w:r>
      <w:r>
        <w:rPr>
          <w:rFonts w:ascii="Times New Roman" w:hAnsi="Times New Roman" w:cs="Times New Roman"/>
          <w:sz w:val="22"/>
          <w:szCs w:val="22"/>
        </w:rPr>
        <w:t xml:space="preserve"> 109</w:t>
      </w:r>
    </w:p>
    <w:p>
      <w:pPr>
        <w:jc w:val="left"/>
        <w:spacing w:before="40" w:after="30" w:line="280" w:lineRule="auto"/>
      </w:pPr>
      <w:r>
        <w:rPr>
          <w:rFonts w:ascii="Times New Roman" w:hAnsi="Times New Roman" w:cs="Times New Roman"/>
          <w:sz w:val="22"/>
          <w:szCs w:val="22"/>
        </w:rPr>
        <w:t xml:space="preserve">    5.4 Empirical Evaluation of Behavioral Interventions</w:t>
      </w:r>
      <w:r>
        <w:rPr>
          <w:rFonts w:ascii="Times New Roman" w:hAnsi="Times New Roman" w:cs="Times New Roman"/>
          <w:sz w:val="20"/>
          <w:szCs w:val="20"/>
        </w:rPr>
        <w:t xml:space="preserve"> .................................</w:t>
      </w:r>
      <w:r>
        <w:rPr>
          <w:rFonts w:ascii="Times New Roman" w:hAnsi="Times New Roman" w:cs="Times New Roman"/>
          <w:sz w:val="22"/>
          <w:szCs w:val="22"/>
        </w:rPr>
        <w:t xml:space="preserve"> 110</w:t>
      </w:r>
    </w:p>
    <w:p>
      <w:pPr>
        <w:jc w:val="left"/>
        <w:spacing w:before="40" w:after="30" w:line="280" w:lineRule="auto"/>
      </w:pPr>
      <w:r>
        <w:rPr>
          <w:rFonts w:ascii="Times New Roman" w:hAnsi="Times New Roman" w:cs="Times New Roman"/>
          <w:sz w:val="22"/>
          <w:szCs w:val="22"/>
        </w:rPr>
        <w:t xml:space="preserve">        5.4.1 Regret Guard Impulse Mitigation Efficacy</w:t>
      </w:r>
      <w:r>
        <w:rPr>
          <w:rFonts w:ascii="Times New Roman" w:hAnsi="Times New Roman" w:cs="Times New Roman"/>
          <w:sz w:val="20"/>
          <w:szCs w:val="20"/>
        </w:rPr>
        <w:t xml:space="preserve"> ....................................</w:t>
      </w:r>
      <w:r>
        <w:rPr>
          <w:rFonts w:ascii="Times New Roman" w:hAnsi="Times New Roman" w:cs="Times New Roman"/>
          <w:sz w:val="22"/>
          <w:szCs w:val="22"/>
        </w:rPr>
        <w:t xml:space="preserve"> 110</w:t>
      </w:r>
    </w:p>
    <w:p>
      <w:pPr>
        <w:jc w:val="left"/>
        <w:spacing w:before="40" w:after="30" w:line="280" w:lineRule="auto"/>
      </w:pPr>
      <w:r>
        <w:rPr>
          <w:rFonts w:ascii="Times New Roman" w:hAnsi="Times New Roman" w:cs="Times New Roman"/>
          <w:sz w:val="22"/>
          <w:szCs w:val="22"/>
        </w:rPr>
        <w:t xml:space="preserve">        5.4.2 Trade Journal Emotion Tag Distributions</w:t>
      </w:r>
      <w:r>
        <w:rPr>
          <w:rFonts w:ascii="Times New Roman" w:hAnsi="Times New Roman" w:cs="Times New Roman"/>
          <w:sz w:val="20"/>
          <w:szCs w:val="20"/>
        </w:rPr>
        <w:t xml:space="preserve"> .....................................</w:t>
      </w:r>
      <w:r>
        <w:rPr>
          <w:rFonts w:ascii="Times New Roman" w:hAnsi="Times New Roman" w:cs="Times New Roman"/>
          <w:sz w:val="22"/>
          <w:szCs w:val="22"/>
        </w:rPr>
        <w:t xml:space="preserve"> 111</w:t>
      </w:r>
    </w:p>
    <w:p>
      <w:pPr>
        <w:jc w:val="left"/>
        <w:spacing w:before="40" w:after="30" w:line="280" w:lineRule="auto"/>
      </w:pPr>
      <w:r>
        <w:rPr>
          <w:rFonts w:ascii="Times New Roman" w:hAnsi="Times New Roman" w:cs="Times New Roman"/>
          <w:sz w:val="22"/>
          <w:szCs w:val="22"/>
        </w:rPr>
        <w:t xml:space="preserve">    5.5 Comparative Tax-Lot Accounting Optimization Study</w:t>
      </w:r>
      <w:r>
        <w:rPr>
          <w:rFonts w:ascii="Times New Roman" w:hAnsi="Times New Roman" w:cs="Times New Roman"/>
          <w:sz w:val="20"/>
          <w:szCs w:val="20"/>
        </w:rPr>
        <w:t xml:space="preserve"> .................................</w:t>
      </w:r>
      <w:r>
        <w:rPr>
          <w:rFonts w:ascii="Times New Roman" w:hAnsi="Times New Roman" w:cs="Times New Roman"/>
          <w:sz w:val="22"/>
          <w:szCs w:val="22"/>
        </w:rPr>
        <w:t xml:space="preserve"> 112</w:t>
      </w:r>
    </w:p>
    <w:p>
      <w:pPr>
        <w:jc w:val="left"/>
        <w:spacing w:before="40" w:after="30" w:line="280" w:lineRule="auto"/>
      </w:pPr>
      <w:r>
        <w:rPr>
          <w:rFonts w:ascii="Times New Roman" w:hAnsi="Times New Roman" w:cs="Times New Roman"/>
          <w:sz w:val="22"/>
          <w:szCs w:val="22"/>
        </w:rPr>
        <w:t xml:space="preserve">    5.6 Security Assessment, Penetration Testing, &amp; Vulnerability Analysis</w:t>
      </w:r>
      <w:r>
        <w:rPr>
          <w:rFonts w:ascii="Times New Roman" w:hAnsi="Times New Roman" w:cs="Times New Roman"/>
          <w:sz w:val="20"/>
          <w:szCs w:val="20"/>
        </w:rPr>
        <w:t xml:space="preserve"> ........................</w:t>
      </w:r>
      <w:r>
        <w:rPr>
          <w:rFonts w:ascii="Times New Roman" w:hAnsi="Times New Roman" w:cs="Times New Roman"/>
          <w:sz w:val="22"/>
          <w:szCs w:val="22"/>
        </w:rPr>
        <w:t xml:space="preserve"> 114</w:t>
      </w:r>
    </w:p>
    <w:p>
      <w:pPr>
        <w:jc w:val="left"/>
        <w:spacing w:before="40" w:after="30" w:line="280" w:lineRule="auto"/>
      </w:pPr>
      <w:r>
        <w:rPr>
          <w:rFonts w:ascii="Times New Roman" w:hAnsi="Times New Roman" w:cs="Times New Roman"/>
          <w:sz w:val="22"/>
          <w:szCs w:val="22"/>
        </w:rPr>
        <w:t xml:space="preserve">    5.7 Architectural Trade-Offs and Engineering Insights</w:t>
      </w:r>
      <w:r>
        <w:rPr>
          <w:rFonts w:ascii="Times New Roman" w:hAnsi="Times New Roman" w:cs="Times New Roman"/>
          <w:sz w:val="20"/>
          <w:szCs w:val="20"/>
        </w:rPr>
        <w:t xml:space="preserve"> .................................</w:t>
      </w:r>
      <w:r>
        <w:rPr>
          <w:rFonts w:ascii="Times New Roman" w:hAnsi="Times New Roman" w:cs="Times New Roman"/>
          <w:sz w:val="22"/>
          <w:szCs w:val="22"/>
        </w:rPr>
        <w:t xml:space="preserve"> 116</w:t>
      </w:r>
    </w:p>
    <w:p>
      <w:pPr>
        <w:jc w:val="left"/>
        <w:spacing w:before="80" w:after="30" w:line="280" w:lineRule="auto"/>
      </w:pPr>
      <w:r>
        <w:rPr>
          <w:rFonts w:ascii="Times New Roman" w:hAnsi="Times New Roman" w:cs="Times New Roman"/>
          <w:sz w:val="22"/>
          <w:szCs w:val="22"/>
          <w:b/>
        </w:rPr>
        <w:t xml:space="preserve">6. CONCLUSION AND FUTURE ENHANCEMENT</w:t>
      </w:r>
      <w:r>
        <w:rPr>
          <w:rFonts w:ascii="Times New Roman" w:hAnsi="Times New Roman" w:cs="Times New Roman"/>
          <w:sz w:val="20"/>
          <w:szCs w:val="20"/>
        </w:rPr>
        <w:t xml:space="preserve"> .........................................</w:t>
      </w:r>
      <w:r>
        <w:rPr>
          <w:rFonts w:ascii="Times New Roman" w:hAnsi="Times New Roman" w:cs="Times New Roman"/>
          <w:sz w:val="22"/>
          <w:szCs w:val="22"/>
          <w:b/>
        </w:rPr>
        <w:t xml:space="preserve"> 118</w:t>
      </w:r>
    </w:p>
    <w:p>
      <w:pPr>
        <w:jc w:val="left"/>
        <w:spacing w:before="40" w:after="30" w:line="280" w:lineRule="auto"/>
      </w:pPr>
      <w:r>
        <w:rPr>
          <w:rFonts w:ascii="Times New Roman" w:hAnsi="Times New Roman" w:cs="Times New Roman"/>
          <w:sz w:val="22"/>
          <w:szCs w:val="22"/>
        </w:rPr>
        <w:t xml:space="preserve">    6.1 Conclusion</w:t>
      </w:r>
      <w:r>
        <w:rPr>
          <w:rFonts w:ascii="Times New Roman" w:hAnsi="Times New Roman" w:cs="Times New Roman"/>
          <w:sz w:val="20"/>
          <w:szCs w:val="20"/>
        </w:rPr>
        <w:t xml:space="preserve"> ....................................................</w:t>
      </w:r>
      <w:r>
        <w:rPr>
          <w:rFonts w:ascii="Times New Roman" w:hAnsi="Times New Roman" w:cs="Times New Roman"/>
          <w:sz w:val="22"/>
          <w:szCs w:val="22"/>
        </w:rPr>
        <w:t xml:space="preserve"> 118</w:t>
      </w:r>
    </w:p>
    <w:p>
      <w:pPr>
        <w:jc w:val="left"/>
        <w:spacing w:before="40" w:after="30" w:line="280" w:lineRule="auto"/>
      </w:pPr>
      <w:r>
        <w:rPr>
          <w:rFonts w:ascii="Times New Roman" w:hAnsi="Times New Roman" w:cs="Times New Roman"/>
          <w:sz w:val="22"/>
          <w:szCs w:val="22"/>
        </w:rPr>
        <w:t xml:space="preserve">        6.1.1 Summary of Contributions</w:t>
      </w:r>
      <w:r>
        <w:rPr>
          <w:rFonts w:ascii="Times New Roman" w:hAnsi="Times New Roman" w:cs="Times New Roman"/>
          <w:sz w:val="20"/>
          <w:szCs w:val="20"/>
        </w:rPr>
        <w:t xml:space="preserve"> ............................................</w:t>
      </w:r>
      <w:r>
        <w:rPr>
          <w:rFonts w:ascii="Times New Roman" w:hAnsi="Times New Roman" w:cs="Times New Roman"/>
          <w:sz w:val="22"/>
          <w:szCs w:val="22"/>
        </w:rPr>
        <w:t xml:space="preserve"> 118</w:t>
      </w:r>
    </w:p>
    <w:p>
      <w:pPr>
        <w:jc w:val="left"/>
        <w:spacing w:before="40" w:after="30" w:line="280" w:lineRule="auto"/>
      </w:pPr>
      <w:r>
        <w:rPr>
          <w:rFonts w:ascii="Times New Roman" w:hAnsi="Times New Roman" w:cs="Times New Roman"/>
          <w:sz w:val="22"/>
          <w:szCs w:val="22"/>
        </w:rPr>
        <w:t xml:space="preserve">        6.1.2 Academic and Engineering Significance</w:t>
      </w:r>
      <w:r>
        <w:rPr>
          <w:rFonts w:ascii="Times New Roman" w:hAnsi="Times New Roman" w:cs="Times New Roman"/>
          <w:sz w:val="20"/>
          <w:szCs w:val="20"/>
        </w:rPr>
        <w:t xml:space="preserve"> ......................................</w:t>
      </w:r>
      <w:r>
        <w:rPr>
          <w:rFonts w:ascii="Times New Roman" w:hAnsi="Times New Roman" w:cs="Times New Roman"/>
          <w:sz w:val="22"/>
          <w:szCs w:val="22"/>
        </w:rPr>
        <w:t xml:space="preserve"> 119</w:t>
      </w:r>
    </w:p>
    <w:p>
      <w:pPr>
        <w:jc w:val="left"/>
        <w:spacing w:before="40" w:after="30" w:line="280" w:lineRule="auto"/>
      </w:pPr>
      <w:r>
        <w:rPr>
          <w:rFonts w:ascii="Times New Roman" w:hAnsi="Times New Roman" w:cs="Times New Roman"/>
          <w:sz w:val="22"/>
          <w:szCs w:val="22"/>
        </w:rPr>
        <w:t xml:space="preserve">    6.2 Future Enhancements</w:t>
      </w:r>
      <w:r>
        <w:rPr>
          <w:rFonts w:ascii="Times New Roman" w:hAnsi="Times New Roman" w:cs="Times New Roman"/>
          <w:sz w:val="20"/>
          <w:szCs w:val="20"/>
        </w:rPr>
        <w:t xml:space="preserve"> ................................................</w:t>
      </w:r>
      <w:r>
        <w:rPr>
          <w:rFonts w:ascii="Times New Roman" w:hAnsi="Times New Roman" w:cs="Times New Roman"/>
          <w:sz w:val="22"/>
          <w:szCs w:val="22"/>
        </w:rPr>
        <w:t xml:space="preserve"> 120</w:t>
      </w:r>
    </w:p>
    <w:p>
      <w:pPr>
        <w:jc w:val="left"/>
        <w:spacing w:before="40" w:after="30" w:line="280" w:lineRule="auto"/>
      </w:pPr>
      <w:r>
        <w:rPr>
          <w:rFonts w:ascii="Times New Roman" w:hAnsi="Times New Roman" w:cs="Times New Roman"/>
          <w:sz w:val="22"/>
          <w:szCs w:val="22"/>
        </w:rPr>
        <w:t xml:space="preserve">        6.2.1 Machine Learning and Deep Learning Predictive Analytics</w:t>
      </w:r>
      <w:r>
        <w:rPr>
          <w:rFonts w:ascii="Times New Roman" w:hAnsi="Times New Roman" w:cs="Times New Roman"/>
          <w:sz w:val="20"/>
          <w:szCs w:val="20"/>
        </w:rPr>
        <w:t xml:space="preserve"> .............................</w:t>
      </w:r>
      <w:r>
        <w:rPr>
          <w:rFonts w:ascii="Times New Roman" w:hAnsi="Times New Roman" w:cs="Times New Roman"/>
          <w:sz w:val="22"/>
          <w:szCs w:val="22"/>
        </w:rPr>
        <w:t xml:space="preserve"> 120</w:t>
      </w:r>
    </w:p>
    <w:p>
      <w:pPr>
        <w:jc w:val="left"/>
        <w:spacing w:before="40" w:after="30" w:line="280" w:lineRule="auto"/>
      </w:pPr>
      <w:r>
        <w:rPr>
          <w:rFonts w:ascii="Times New Roman" w:hAnsi="Times New Roman" w:cs="Times New Roman"/>
          <w:sz w:val="22"/>
          <w:szCs w:val="22"/>
        </w:rPr>
        <w:t xml:space="preserve">        6.2.2 Web3 Non-Custodial Decentralized Wallet Integration</w:t>
      </w:r>
      <w:r>
        <w:rPr>
          <w:rFonts w:ascii="Times New Roman" w:hAnsi="Times New Roman" w:cs="Times New Roman"/>
          <w:sz w:val="20"/>
          <w:szCs w:val="20"/>
        </w:rPr>
        <w:t xml:space="preserve"> ...............................</w:t>
      </w:r>
      <w:r>
        <w:rPr>
          <w:rFonts w:ascii="Times New Roman" w:hAnsi="Times New Roman" w:cs="Times New Roman"/>
          <w:sz w:val="22"/>
          <w:szCs w:val="22"/>
        </w:rPr>
        <w:t xml:space="preserve"> 121</w:t>
      </w:r>
    </w:p>
    <w:p>
      <w:pPr>
        <w:jc w:val="left"/>
        <w:spacing w:before="40" w:after="30" w:line="280" w:lineRule="auto"/>
      </w:pPr>
      <w:r>
        <w:rPr>
          <w:rFonts w:ascii="Times New Roman" w:hAnsi="Times New Roman" w:cs="Times New Roman"/>
          <w:sz w:val="22"/>
          <w:szCs w:val="22"/>
        </w:rPr>
        <w:t xml:space="preserve">        6.2.3 Decentralized Cross-Exchange Arbitrage Detection</w:t>
      </w:r>
      <w:r>
        <w:rPr>
          <w:rFonts w:ascii="Times New Roman" w:hAnsi="Times New Roman" w:cs="Times New Roman"/>
          <w:sz w:val="20"/>
          <w:szCs w:val="20"/>
        </w:rPr>
        <w:t xml:space="preserve"> ................................</w:t>
      </w:r>
      <w:r>
        <w:rPr>
          <w:rFonts w:ascii="Times New Roman" w:hAnsi="Times New Roman" w:cs="Times New Roman"/>
          <w:sz w:val="22"/>
          <w:szCs w:val="22"/>
        </w:rPr>
        <w:t xml:space="preserve"> 122</w:t>
      </w:r>
    </w:p>
    <w:p>
      <w:pPr>
        <w:jc w:val="left"/>
        <w:spacing w:before="40" w:after="30" w:line="280" w:lineRule="auto"/>
      </w:pPr>
      <w:r>
        <w:rPr>
          <w:rFonts w:ascii="Times New Roman" w:hAnsi="Times New Roman" w:cs="Times New Roman"/>
          <w:sz w:val="22"/>
          <w:szCs w:val="22"/>
        </w:rPr>
        <w:t xml:space="preserve">        6.2.4 Progressive Web Application (PWA) and Mobile Ecosystem</w:t>
      </w:r>
      <w:r>
        <w:rPr>
          <w:rFonts w:ascii="Times New Roman" w:hAnsi="Times New Roman" w:cs="Times New Roman"/>
          <w:sz w:val="20"/>
          <w:szCs w:val="20"/>
        </w:rPr>
        <w:t xml:space="preserve"> .............................</w:t>
      </w:r>
      <w:r>
        <w:rPr>
          <w:rFonts w:ascii="Times New Roman" w:hAnsi="Times New Roman" w:cs="Times New Roman"/>
          <w:sz w:val="22"/>
          <w:szCs w:val="22"/>
        </w:rPr>
        <w:t xml:space="preserve"> 122</w:t>
      </w:r>
    </w:p>
    <w:p>
      <w:pPr>
        <w:jc w:val="left"/>
        <w:spacing w:before="40" w:after="30" w:line="280" w:lineRule="auto"/>
      </w:pPr>
      <w:r>
        <w:rPr>
          <w:rFonts w:ascii="Times New Roman" w:hAnsi="Times New Roman" w:cs="Times New Roman"/>
          <w:sz w:val="22"/>
          <w:szCs w:val="22"/>
        </w:rPr>
        <w:t xml:space="preserve">        6.2.5 Institutional Monte Carlo Risk Simulations and VaR</w:t>
      </w:r>
      <w:r>
        <w:rPr>
          <w:rFonts w:ascii="Times New Roman" w:hAnsi="Times New Roman" w:cs="Times New Roman"/>
          <w:sz w:val="20"/>
          <w:szCs w:val="20"/>
        </w:rPr>
        <w:t xml:space="preserve"> ...............................</w:t>
      </w:r>
      <w:r>
        <w:rPr>
          <w:rFonts w:ascii="Times New Roman" w:hAnsi="Times New Roman" w:cs="Times New Roman"/>
          <w:sz w:val="22"/>
          <w:szCs w:val="22"/>
        </w:rPr>
        <w:t xml:space="preserve"> 123</w:t>
      </w:r>
    </w:p>
    <w:p>
      <w:pPr>
        <w:jc w:val="left"/>
        <w:spacing w:before="40" w:after="30" w:line="280" w:lineRule="auto"/>
      </w:pPr>
      <w:r>
        <w:rPr>
          <w:rFonts w:ascii="Times New Roman" w:hAnsi="Times New Roman" w:cs="Times New Roman"/>
          <w:sz w:val="22"/>
          <w:szCs w:val="22"/>
        </w:rPr>
        <w:t xml:space="preserve">        6.2.6 Automated Recurring Order Execution (DCA Bots)</w:t>
      </w:r>
      <w:r>
        <w:rPr>
          <w:rFonts w:ascii="Times New Roman" w:hAnsi="Times New Roman" w:cs="Times New Roman"/>
          <w:sz w:val="20"/>
          <w:szCs w:val="20"/>
        </w:rPr>
        <w:t xml:space="preserve"> .................................</w:t>
      </w:r>
      <w:r>
        <w:rPr>
          <w:rFonts w:ascii="Times New Roman" w:hAnsi="Times New Roman" w:cs="Times New Roman"/>
          <w:sz w:val="22"/>
          <w:szCs w:val="22"/>
        </w:rPr>
        <w:t xml:space="preserve"> 124</w:t>
      </w:r>
    </w:p>
    <w:p>
      <w:pPr>
        <w:jc w:val="left"/>
        <w:spacing w:before="80" w:after="30" w:line="280" w:lineRule="auto"/>
      </w:pPr>
      <w:r>
        <w:rPr>
          <w:rFonts w:ascii="Times New Roman" w:hAnsi="Times New Roman" w:cs="Times New Roman"/>
          <w:sz w:val="22"/>
          <w:szCs w:val="22"/>
          <w:b/>
        </w:rPr>
        <w:t xml:space="preserve">7. REFERENCES</w:t>
      </w:r>
      <w:r>
        <w:rPr>
          <w:rFonts w:ascii="Times New Roman" w:hAnsi="Times New Roman" w:cs="Times New Roman"/>
          <w:sz w:val="20"/>
          <w:szCs w:val="20"/>
        </w:rPr>
        <w:t xml:space="preserve"> .....................................................</w:t>
      </w:r>
      <w:r>
        <w:rPr>
          <w:rFonts w:ascii="Times New Roman" w:hAnsi="Times New Roman" w:cs="Times New Roman"/>
          <w:sz w:val="22"/>
          <w:szCs w:val="22"/>
          <w:b/>
        </w:rPr>
        <w:t xml:space="preserve"> 125</w:t>
      </w:r>
    </w:p>
    <w:p>
      <w:r>
        <w:br w:type="page"/>
      </w:r>
    </w:p>
    <w:p>
      <w:pPr>
        <w:jc w:val="center"/>
        <w:spacing w:before="240" w:after="180" w:line="360" w:lineRule="auto"/>
      </w:pPr>
      <w:r>
        <w:rPr>
          <w:rFonts w:ascii="Times New Roman" w:hAnsi="Times New Roman" w:cs="Times New Roman"/>
          <w:sz w:val="32"/>
          <w:szCs w:val="32"/>
          <w:b/>
        </w:rPr>
        <w:t xml:space="preserve">LIST OF TABLES</w:t>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TABLE NO.</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TITLE</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PAGE NO.</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2.1</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Comparative Analysis of Digital Asset Management Systems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34</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2.2</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Core Technologies, Frameworks, and Architectural Roles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37</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3.1</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System Modules, Functional Responsibilities, and Protocols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43</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3.2</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Relational Database Schema and Entity-Relationship Specification</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57</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3.3</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Mathematical Formulations for Portfolio Risk and Performance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47</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4.1</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Implementation Module Decomposition and Source Code Manifest</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60</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4.2</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Security Threat Modeling, Attack Vectors, and Mitigation Controls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68</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5.1</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Latency and Throughput Performance Benchmarking Across Tiers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107</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5.2</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Cost-Basis Tax-Lot Methodology Comparison on Multi-Tranche Trades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113</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5.3</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Behavioral Interventions and User Adherence under Regret Guard</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111</w:t>
            </w:r>
          </w:p>
        </w:tc>
      </w:tr>
    </w:tbl>
    <w:p>
      <w:r>
        <w:br w:type="page"/>
      </w:r>
    </w:p>
    <w:p>
      <w:pPr>
        <w:jc w:val="center"/>
        <w:spacing w:before="240" w:after="180" w:line="360" w:lineRule="auto"/>
      </w:pPr>
      <w:r>
        <w:rPr>
          <w:rFonts w:ascii="Times New Roman" w:hAnsi="Times New Roman" w:cs="Times New Roman"/>
          <w:sz w:val="32"/>
          <w:szCs w:val="32"/>
          <w:b/>
        </w:rPr>
        <w:t xml:space="preserve">LIST OF FIGURES</w:t>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FIGURE NO.</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TITLE</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PAGE NO.</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3.1</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Cryptocurrency Management System Multi-Tiered Architecture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38</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3.2</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Entity-Relationship Diagram (ERD) with RLS Boundaries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56</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3.3</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Cryptographic Key Management &amp; Server-Side Decryption Pipeline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49</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3.4</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Real-time Market Data Ingestion &amp; WebSocket Streaming Lifecycle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53</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3.5</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Sandboxed Execution &amp; Regret Guard Behavioral Decision Flowchart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55</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4.1</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Authentication and Session State Hydration Workflow</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62</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4.2</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Dynamic Asset Allocation &amp; Recharts Visualization Pipeline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74</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4.3</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Tax-Lot Matching Engine (FIFO vs LIFO vs HIFO) Execution Flow</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83</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5.1</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 Authentication &amp; Role-Based Access Control Interface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98</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5.2</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Real-Time Market Overview &amp; Interactive Coin Watchlist Interface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101</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5.3</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Portfolio Performance Dashboard &amp; Valuation Analytics Interface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102</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5.4</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Testnet Trading Terminal with Regret Guard Friction Modal</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103</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5.5</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Quantitative Risk Pulse &amp; Emotion-Tagged Trade Journal Interface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105</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5.6</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Administrative Governance Console &amp; Emergency Kill Switch Interface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106</w:t>
            </w:r>
          </w:p>
        </w:tc>
      </w:tr>
    </w:tbl>
    <w:p>
      <w:r>
        <w:br w:type="page"/>
      </w:r>
    </w:p>
    <w:p>
      <w:pPr>
        <w:jc w:val="center"/>
        <w:spacing w:before="240" w:after="180" w:line="360" w:lineRule="auto"/>
      </w:pPr>
      <w:r>
        <w:rPr>
          <w:rFonts w:ascii="Times New Roman" w:hAnsi="Times New Roman" w:cs="Times New Roman"/>
          <w:sz w:val="32"/>
          <w:szCs w:val="32"/>
          <w:b/>
        </w:rPr>
        <w:t xml:space="preserve">CHAPTER 1</w:t>
      </w:r>
    </w:p>
    <w:p>
      <w:pPr>
        <w:jc w:val="center"/>
        <w:spacing w:before="240" w:after="180" w:line="360" w:lineRule="auto"/>
      </w:pPr>
      <w:r>
        <w:rPr>
          <w:rFonts w:ascii="Times New Roman" w:hAnsi="Times New Roman" w:cs="Times New Roman"/>
          <w:sz w:val="32"/>
          <w:szCs w:val="32"/>
          <w:b/>
        </w:rPr>
        <w:t xml:space="preserve">INTRODUCTION</w:t>
      </w:r>
    </w:p>
    <w:p>
      <w:pPr>
        <w:jc w:val="left"/>
        <w:spacing w:before="200" w:after="140" w:line="360" w:lineRule="auto"/>
      </w:pPr>
      <w:r>
        <w:rPr>
          <w:rFonts w:ascii="Times New Roman" w:hAnsi="Times New Roman" w:cs="Times New Roman"/>
          <w:sz w:val="28"/>
          <w:szCs w:val="28"/>
          <w:b/>
        </w:rPr>
        <w:t xml:space="preserve">1.1 Context and Technological Evolution</w:t>
      </w:r>
    </w:p>
    <w:p>
      <w:pPr>
        <w:jc w:val="left"/>
        <w:spacing w:before="160" w:after="100" w:line="360" w:lineRule="auto"/>
      </w:pPr>
      <w:r>
        <w:rPr>
          <w:rFonts w:ascii="Times New Roman" w:hAnsi="Times New Roman" w:cs="Times New Roman"/>
          <w:sz w:val="26"/>
          <w:szCs w:val="26"/>
          <w:b/>
        </w:rPr>
        <w:t xml:space="preserve">1.1.1 The Paradigm Shift to Distributed Financial Networks</w:t>
      </w:r>
    </w:p>
    <w:p>
      <w:pPr>
        <w:jc w:val="both"/>
        <w:spacing w:before="100" w:after="100" w:line="360" w:lineRule="auto"/>
      </w:pPr>
      <w:r>
        <w:rPr>
          <w:rFonts w:ascii="Times New Roman" w:hAnsi="Times New Roman" w:cs="Times New Roman"/>
          <w:sz w:val="24"/>
          <w:szCs w:val="24"/>
        </w:rPr>
        <w:t xml:space="preserve">The global financial paradigm has entered an era of profound structural transformation initiated by the genesis of distributed ledger technology and decentralized cryptographic currencies. Since the publication of the seminal Bitcoin whitepaper by Satoshi Nakamoto in 2008, followed by the deployment of Turing-complete smart contracts via Ethereum (Buterin, 2014), the digital asset ecosystem has evolved from an experimental cryptographic subculture into a global, multi-trillion-dollar alternative asset class. Decentralized financial networks eliminate traditional financial intermediaries—such as commercial clearing banks, central security depositories, and custodial brokerages—by substituting institutional trust with cryptographically verifiable consensus mechanisms and deterministic state machines.</w:t>
      </w:r>
    </w:p>
    <w:p>
      <w:pPr>
        <w:jc w:val="both"/>
        <w:spacing w:before="100" w:after="100" w:line="360" w:lineRule="auto"/>
      </w:pPr>
      <w:r>
        <w:rPr>
          <w:rFonts w:ascii="Times New Roman" w:hAnsi="Times New Roman" w:cs="Times New Roman"/>
          <w:sz w:val="24"/>
          <w:szCs w:val="24"/>
        </w:rPr>
        <w:t xml:space="preserve">This decentralization has democratized capital access and enabled continuous, borderless capital formation. However, the elimination of centralized intermediaries also radically shifts the burden of operational responsibility, risk mitigation, transaction validation, and portfolio accounting directly onto individual users. Unlike legacy equity markets, which are governed by heavily regulated custodial brokers (e.g., Charles Schwab, Fidelity), standardized reporting regimes, and government-backed deposit insurance (such as FDIC and SIPC), the cryptocurrency ecosystem operates on open, permissionless, and non-reversible execution rails. As a consequence, participants require sophisticated software interfaces capable of aggregating fragmented liquidity, modeling complex multi-asset holdings, and enforcing disciplined risk parameters.</w:t>
      </w:r>
    </w:p>
    <w:p>
      <w:pPr>
        <w:jc w:val="left"/>
        <w:spacing w:before="160" w:after="100" w:line="360" w:lineRule="auto"/>
      </w:pPr>
      <w:r>
        <w:rPr>
          <w:rFonts w:ascii="Times New Roman" w:hAnsi="Times New Roman" w:cs="Times New Roman"/>
          <w:sz w:val="26"/>
          <w:szCs w:val="26"/>
          <w:b/>
        </w:rPr>
        <w:t xml:space="preserve">1.1.2 Market Microstructure and 24/7 Continuous Trading Dynamics</w:t>
      </w:r>
    </w:p>
    <w:p>
      <w:pPr>
        <w:jc w:val="both"/>
        <w:spacing w:before="100" w:after="100" w:line="360" w:lineRule="auto"/>
      </w:pPr>
      <w:r>
        <w:rPr>
          <w:rFonts w:ascii="Times New Roman" w:hAnsi="Times New Roman" w:cs="Times New Roman"/>
          <w:sz w:val="24"/>
          <w:szCs w:val="24"/>
        </w:rPr>
        <w:t xml:space="preserve">The microstructure of digital asset markets differs fundamentally from traditional financial markets across four distinct dimensions:</w:t>
      </w:r>
    </w:p>
    <w:p>
      <w:pPr>
        <w:jc w:val="both"/>
        <w:spacing w:before="100" w:after="100" w:line="360" w:lineRule="auto"/>
      </w:pPr>
      <w:r>
        <w:rPr>
          <w:rFonts w:ascii="Times New Roman" w:hAnsi="Times New Roman" w:cs="Times New Roman"/>
          <w:sz w:val="24"/>
          <w:szCs w:val="24"/>
        </w:rPr>
        <w:t xml:space="preserve">1. Temporal Continuity: Traditional equity exchanges operate within rigid operating hours (typically 09:30 to 16:00 local exchange time) and observe weekend and statutory holiday closures. During closed periods, price discovery pauses, allowing market participants to digest macro information. Conversely, cryptocurrency markets operate on a relentless 24-hours-a-day, 7-days-a-week, 365-days-a-year continuous trading cycle. Information arrival, liquidity shocks, and price repricing occur uninterruptedly across global time zones.</w:t>
      </w:r>
    </w:p>
    <w:p>
      <w:pPr>
        <w:jc w:val="both"/>
        <w:spacing w:before="100" w:after="100" w:line="360" w:lineRule="auto"/>
      </w:pPr>
      <w:r>
        <w:rPr>
          <w:rFonts w:ascii="Times New Roman" w:hAnsi="Times New Roman" w:cs="Times New Roman"/>
          <w:sz w:val="24"/>
          <w:szCs w:val="24"/>
        </w:rPr>
        <w:t xml:space="preserve">2. Structural Volatility: Digital assets exhibit annualized volatility metrics substantially exceeding those of traditional equities, commodities, and sovereign debt. Intraday price swings of 15% to 40% are commonplace, driven by continuous double-auction mechanics, high leverage in perpetual derivatives contracts, and rapid shifts in network sentiment.</w:t>
      </w:r>
    </w:p>
    <w:p>
      <w:pPr>
        <w:jc w:val="both"/>
        <w:spacing w:before="100" w:after="100" w:line="360" w:lineRule="auto"/>
      </w:pPr>
      <w:r>
        <w:rPr>
          <w:rFonts w:ascii="Times New Roman" w:hAnsi="Times New Roman" w:cs="Times New Roman"/>
          <w:sz w:val="24"/>
          <w:szCs w:val="24"/>
        </w:rPr>
        <w:t xml:space="preserve">3. Liquidity Fragmentation: Rather than routing orders through a single national market system (such as the Consolidated Tape Association in US equities), cryptocurrency liquidity is splintered across hundreds of centralized exchanges (Binance, Coinbase, Kraken, OKX) and automated market makers (Uniswap, Curve). This fragmentation results in disparate order books, localized price discrepancies, and asynchronous price discovery.</w:t>
      </w:r>
    </w:p>
    <w:p>
      <w:pPr>
        <w:jc w:val="both"/>
        <w:spacing w:before="100" w:after="100" w:line="360" w:lineRule="auto"/>
      </w:pPr>
      <w:r>
        <w:rPr>
          <w:rFonts w:ascii="Times New Roman" w:hAnsi="Times New Roman" w:cs="Times New Roman"/>
          <w:sz w:val="24"/>
          <w:szCs w:val="24"/>
        </w:rPr>
        <w:t xml:space="preserve">4. Information Asymmetry and Velocity: Cryptocurrency price movements are catalyzed by heterogeneous information sources, including on-chain transaction metrics, governance proposals, smart contract exploit disclosures, macro regulatory pronouncements, and decentralized social media channels. The velocity of this information creates severe cognitive overload for participants attempting manual portfolio administration.</w:t>
      </w:r>
    </w:p>
    <w:p>
      <w:pPr>
        <w:jc w:val="left"/>
        <w:spacing w:before="200" w:after="140" w:line="360" w:lineRule="auto"/>
      </w:pPr>
      <w:r>
        <w:rPr>
          <w:rFonts w:ascii="Times New Roman" w:hAnsi="Times New Roman" w:cs="Times New Roman"/>
          <w:sz w:val="28"/>
          <w:szCs w:val="28"/>
          <w:b/>
        </w:rPr>
        <w:t xml:space="preserve">1.2 Problem Statement and Domain Challenges</w:t>
      </w:r>
    </w:p>
    <w:p>
      <w:pPr>
        <w:jc w:val="both"/>
        <w:spacing w:before="100" w:after="100" w:line="360" w:lineRule="auto"/>
      </w:pPr>
      <w:r>
        <w:rPr>
          <w:rFonts w:ascii="Times New Roman" w:hAnsi="Times New Roman" w:cs="Times New Roman"/>
          <w:sz w:val="24"/>
          <w:szCs w:val="24"/>
        </w:rPr>
        <w:t xml:space="preserve">Despite the rapid maturation of underlying blockchain networks, user-facing digital asset management tools remain severely deficient, plagued by fragmentation, security vulnerabilities, psychological hazards, and regulatory accounting bottlenecks.</w:t>
      </w:r>
    </w:p>
    <w:p>
      <w:pPr>
        <w:jc w:val="left"/>
        <w:spacing w:before="160" w:after="100" w:line="360" w:lineRule="auto"/>
      </w:pPr>
      <w:r>
        <w:rPr>
          <w:rFonts w:ascii="Times New Roman" w:hAnsi="Times New Roman" w:cs="Times New Roman"/>
          <w:sz w:val="26"/>
          <w:szCs w:val="26"/>
          <w:b/>
        </w:rPr>
        <w:t xml:space="preserve">1.2.1 Operational Fragmentation and User Cognitive Fatigue</w:t>
      </w:r>
    </w:p>
    <w:p>
      <w:pPr>
        <w:jc w:val="both"/>
        <w:spacing w:before="100" w:after="100" w:line="360" w:lineRule="auto"/>
      </w:pPr>
      <w:r>
        <w:rPr>
          <w:rFonts w:ascii="Times New Roman" w:hAnsi="Times New Roman" w:cs="Times New Roman"/>
          <w:sz w:val="24"/>
          <w:szCs w:val="24"/>
        </w:rPr>
        <w:t xml:space="preserve">An active participant in digital asset markets frequently distributes holdings across multiple centralized exchanges, self-custody hardware wallets, and decentralized staking contracts. To monitor financial health, users must continuously authenticate into multiple disparate platforms, manually compile transaction records, and reconcile differing fee schedules. This fragmentation introduces substantial cognitive fatigue and operational friction. In the absence of a unified, real-time supervisory dashboard, investors struggle to obtain an accurate, holistic valuation of their net worth, calculate aggregate asset exposure, or detect portfolio drift away from strategic asset allocations.</w:t>
      </w:r>
    </w:p>
    <w:p>
      <w:pPr>
        <w:jc w:val="left"/>
        <w:spacing w:before="160" w:after="100" w:line="360" w:lineRule="auto"/>
      </w:pPr>
      <w:r>
        <w:rPr>
          <w:rFonts w:ascii="Times New Roman" w:hAnsi="Times New Roman" w:cs="Times New Roman"/>
          <w:sz w:val="26"/>
          <w:szCs w:val="26"/>
          <w:b/>
        </w:rPr>
        <w:t xml:space="preserve">1.2.2 Security Vulnerabilities in API Credential Management</w:t>
      </w:r>
    </w:p>
    <w:p>
      <w:pPr>
        <w:jc w:val="both"/>
        <w:spacing w:before="100" w:after="100" w:line="360" w:lineRule="auto"/>
      </w:pPr>
      <w:r>
        <w:rPr>
          <w:rFonts w:ascii="Times New Roman" w:hAnsi="Times New Roman" w:cs="Times New Roman"/>
          <w:sz w:val="24"/>
          <w:szCs w:val="24"/>
        </w:rPr>
        <w:t xml:space="preserve">To automate trading or track portfolios programmatically, commercial platforms require users to provide exchange API keys and secret tokens. In practice, improper credential management represents one of the largest attack vectors in the cryptocurrency domain:</w:t>
      </w:r>
    </w:p>
    <w:p>
      <w:pPr>
        <w:jc w:val="both"/>
        <w:spacing w:before="100" w:after="100" w:line="360" w:lineRule="auto"/>
      </w:pPr>
      <w:r>
        <w:rPr>
          <w:rFonts w:ascii="Times New Roman" w:hAnsi="Times New Roman" w:cs="Times New Roman"/>
          <w:sz w:val="24"/>
          <w:szCs w:val="24"/>
        </w:rPr>
        <w:t xml:space="preserve">• Plaintext and Insecure Storage: Numerous web-based tracking tools store API secrets unencrypted in relational databases or expose them to client-side browser storage (e.g., LocalStorage or SessionStorage), making them trivial targets for cross-site scripting (XSS) and database leak exploits.</w:t>
      </w:r>
    </w:p>
    <w:p>
      <w:pPr>
        <w:jc w:val="both"/>
        <w:spacing w:before="100" w:after="100" w:line="360" w:lineRule="auto"/>
      </w:pPr>
      <w:r>
        <w:rPr>
          <w:rFonts w:ascii="Times New Roman" w:hAnsi="Times New Roman" w:cs="Times New Roman"/>
          <w:sz w:val="24"/>
          <w:szCs w:val="24"/>
        </w:rPr>
        <w:t xml:space="preserve">• Excessive Privilege Vulnerabilities: Users frequently generate exchange API keys without disabling withdrawal permissions. When third-party platforms with withdrawal access are compromised, malicious actors drain exchange balances directly to unrecoverable external addresses.</w:t>
      </w:r>
    </w:p>
    <w:p>
      <w:pPr>
        <w:jc w:val="both"/>
        <w:spacing w:before="100" w:after="100" w:line="360" w:lineRule="auto"/>
      </w:pPr>
      <w:r>
        <w:rPr>
          <w:rFonts w:ascii="Times New Roman" w:hAnsi="Times New Roman" w:cs="Times New Roman"/>
          <w:sz w:val="24"/>
          <w:szCs w:val="24"/>
        </w:rPr>
        <w:t xml:space="preserve">• Lack of Emergency Circuit Breakers: Most platforms lack server-side rate limiters or global emergency kill switches, leaving users completely defenseless if abnormal market conditions, algorithmic loops, or credential theft occur.</w:t>
      </w:r>
    </w:p>
    <w:p>
      <w:pPr>
        <w:jc w:val="left"/>
        <w:spacing w:before="160" w:after="100" w:line="360" w:lineRule="auto"/>
      </w:pPr>
      <w:r>
        <w:rPr>
          <w:rFonts w:ascii="Times New Roman" w:hAnsi="Times New Roman" w:cs="Times New Roman"/>
          <w:sz w:val="26"/>
          <w:szCs w:val="26"/>
          <w:b/>
        </w:rPr>
        <w:t xml:space="preserve">1.2.3 Behavioral Pitfalls and Emotional Trading Biases</w:t>
      </w:r>
    </w:p>
    <w:p>
      <w:pPr>
        <w:jc w:val="both"/>
        <w:spacing w:before="100" w:after="100" w:line="360" w:lineRule="auto"/>
      </w:pPr>
      <w:r>
        <w:rPr>
          <w:rFonts w:ascii="Times New Roman" w:hAnsi="Times New Roman" w:cs="Times New Roman"/>
          <w:sz w:val="24"/>
          <w:szCs w:val="24"/>
        </w:rPr>
        <w:t xml:space="preserve">Behavioral finance literature (Kahneman &amp; Tversky, 1979; Thaler, 2008) establishes that human decision-making under financial uncertainty is inherently prone to systematic cognitive biases. In cryptocurrency markets, the 24/7 continuous cycle and extreme volatility exacerbate these biases:</w:t>
      </w:r>
    </w:p>
    <w:p>
      <w:pPr>
        <w:jc w:val="both"/>
        <w:spacing w:before="100" w:after="100" w:line="360" w:lineRule="auto"/>
      </w:pPr>
      <w:r>
        <w:rPr>
          <w:rFonts w:ascii="Times New Roman" w:hAnsi="Times New Roman" w:cs="Times New Roman"/>
          <w:sz w:val="24"/>
          <w:szCs w:val="24"/>
        </w:rPr>
        <w:t xml:space="preserve">• Fear of Missing Out (FOMO): When a token experiences an aggressive vertical price pump (e.g., +40% in a few hours), traders experience intense social and psychological pressure to enter market orders at the top of the price trajectory, frequently suffering severe and immediate drawdown.</w:t>
      </w:r>
    </w:p>
    <w:p>
      <w:pPr>
        <w:jc w:val="both"/>
        <w:spacing w:before="100" w:after="100" w:line="360" w:lineRule="auto"/>
      </w:pPr>
      <w:r>
        <w:rPr>
          <w:rFonts w:ascii="Times New Roman" w:hAnsi="Times New Roman" w:cs="Times New Roman"/>
          <w:sz w:val="24"/>
          <w:szCs w:val="24"/>
        </w:rPr>
        <w:t xml:space="preserve">• Panic Selling and Loss Aversion: Prospect theory demonstrates that the psychological disutility of a financial loss is more than twice as acute as the utility derived from an equivalent gain. During sharp market flash-crashes, retail investors capitulate and liquidate long-term core holdings at catastrophic market bottoms.</w:t>
      </w:r>
    </w:p>
    <w:p>
      <w:pPr>
        <w:jc w:val="both"/>
        <w:spacing w:before="100" w:after="100" w:line="360" w:lineRule="auto"/>
      </w:pPr>
      <w:r>
        <w:rPr>
          <w:rFonts w:ascii="Times New Roman" w:hAnsi="Times New Roman" w:cs="Times New Roman"/>
          <w:sz w:val="24"/>
          <w:szCs w:val="24"/>
        </w:rPr>
        <w:t xml:space="preserve">Existing commercial trading terminals intentionally exploit these emotional vulnerabilities through gamified interfaces, instant 'buy now' buttons, and celebratory animations that maximize platform trading turnover at the expense of user financial survival.</w:t>
      </w:r>
    </w:p>
    <w:p>
      <w:pPr>
        <w:jc w:val="left"/>
        <w:spacing w:before="160" w:after="100" w:line="360" w:lineRule="auto"/>
      </w:pPr>
      <w:r>
        <w:rPr>
          <w:rFonts w:ascii="Times New Roman" w:hAnsi="Times New Roman" w:cs="Times New Roman"/>
          <w:sz w:val="26"/>
          <w:szCs w:val="26"/>
          <w:b/>
        </w:rPr>
        <w:t xml:space="preserve">1.2.4 Tax Compliance and Multi-Tranche Cost-Basis Complexities</w:t>
      </w:r>
    </w:p>
    <w:p>
      <w:pPr>
        <w:jc w:val="both"/>
        <w:spacing w:before="100" w:after="100" w:line="360" w:lineRule="auto"/>
      </w:pPr>
      <w:r>
        <w:rPr>
          <w:rFonts w:ascii="Times New Roman" w:hAnsi="Times New Roman" w:cs="Times New Roman"/>
          <w:sz w:val="24"/>
          <w:szCs w:val="24"/>
        </w:rPr>
        <w:t xml:space="preserve">Taxation authorities globally—including the United States Internal Revenue Service (IRS Notice 2014-21) and Indian Central Board of Direct Taxes (CBDT Sections 115BBH &amp; 194S)—classify digital assets as property or virtual digital assets (VDAs). Under these frameworks, every crypto-to-crypto trade, crypto-to-fiat sale, or stablecoin liquidation constitutes a taxable disposition requiring capital gain or loss recognition.</w:t>
      </w:r>
    </w:p>
    <w:p>
      <w:pPr>
        <w:jc w:val="both"/>
        <w:spacing w:before="100" w:after="100" w:line="360" w:lineRule="auto"/>
      </w:pPr>
      <w:r>
        <w:rPr>
          <w:rFonts w:ascii="Times New Roman" w:hAnsi="Times New Roman" w:cs="Times New Roman"/>
          <w:sz w:val="24"/>
          <w:szCs w:val="24"/>
        </w:rPr>
        <w:t xml:space="preserve">Accurately determining capital gains across multiple execution tranches requires complex cost-basis tracking. Investors must match disposed assets against historical acquisition lots using recognized accounting methodologies such as First-In, First-Out (FIFO), Last-In, First-Out (LIFO), or Highest-In, First-Out (HIFO). Manual tracking via spreadsheets is practically impossible across hundreds of micro-transactions, and commercial tax engines lock this essential compliance functionality behind expensive, recurring paywalls.</w:t>
      </w:r>
    </w:p>
    <w:p>
      <w:pPr>
        <w:jc w:val="left"/>
        <w:spacing w:before="200" w:after="140" w:line="360" w:lineRule="auto"/>
      </w:pPr>
      <w:r>
        <w:rPr>
          <w:rFonts w:ascii="Times New Roman" w:hAnsi="Times New Roman" w:cs="Times New Roman"/>
          <w:sz w:val="28"/>
          <w:szCs w:val="28"/>
          <w:b/>
        </w:rPr>
        <w:t xml:space="preserve">1.3 Scope of Digitization and System Boundaries</w:t>
      </w:r>
    </w:p>
    <w:p>
      <w:pPr>
        <w:jc w:val="left"/>
        <w:spacing w:before="160" w:after="100" w:line="360" w:lineRule="auto"/>
      </w:pPr>
      <w:r>
        <w:rPr>
          <w:rFonts w:ascii="Times New Roman" w:hAnsi="Times New Roman" w:cs="Times New Roman"/>
          <w:sz w:val="26"/>
          <w:szCs w:val="26"/>
          <w:b/>
        </w:rPr>
        <w:t xml:space="preserve">1.3.1 Non-Custodial Operational Philosophy</w:t>
      </w:r>
    </w:p>
    <w:p>
      <w:pPr>
        <w:jc w:val="both"/>
        <w:spacing w:before="100" w:after="100" w:line="360" w:lineRule="auto"/>
      </w:pPr>
      <w:r>
        <w:rPr>
          <w:rFonts w:ascii="Times New Roman" w:hAnsi="Times New Roman" w:cs="Times New Roman"/>
          <w:sz w:val="24"/>
          <w:szCs w:val="24"/>
        </w:rPr>
        <w:t xml:space="preserve">The foundational design tenet of the Cryptocurrency Management System is strict non-custody. The platform explicitly does not function as a custodial bank or private key escrow service. The system never holds user funds, never possesses wallet seed phrases, and categorically rejects exchange API keys configured with withdrawal privileges. The platform acts strictly as an intelligent supervisory layer, portfolio accounting engine, and sandboxed execution interface.</w:t>
      </w:r>
    </w:p>
    <w:p>
      <w:pPr>
        <w:jc w:val="left"/>
        <w:spacing w:before="160" w:after="100" w:line="360" w:lineRule="auto"/>
      </w:pPr>
      <w:r>
        <w:rPr>
          <w:rFonts w:ascii="Times New Roman" w:hAnsi="Times New Roman" w:cs="Times New Roman"/>
          <w:sz w:val="26"/>
          <w:szCs w:val="26"/>
          <w:b/>
        </w:rPr>
        <w:t xml:space="preserve">1.3.2 Functional Scope: From Discovery to Sandboxed Execution</w:t>
      </w:r>
    </w:p>
    <w:p>
      <w:pPr>
        <w:jc w:val="both"/>
        <w:spacing w:before="100" w:after="100" w:line="360" w:lineRule="auto"/>
      </w:pPr>
      <w:r>
        <w:rPr>
          <w:rFonts w:ascii="Times New Roman" w:hAnsi="Times New Roman" w:cs="Times New Roman"/>
          <w:sz w:val="24"/>
          <w:szCs w:val="24"/>
        </w:rPr>
        <w:t xml:space="preserve">The functional scope encompasses seven tightly integrated modules:</w:t>
      </w:r>
    </w:p>
    <w:p>
      <w:pPr>
        <w:jc w:val="both"/>
        <w:spacing w:before="100" w:after="100" w:line="360" w:lineRule="auto"/>
      </w:pPr>
      <w:r>
        <w:rPr>
          <w:rFonts w:ascii="Times New Roman" w:hAnsi="Times New Roman" w:cs="Times New Roman"/>
          <w:sz w:val="24"/>
          <w:szCs w:val="24"/>
        </w:rPr>
        <w:t xml:space="preserve">1. Dynamic Market Surveillance: Ingestion and real-time visualization of top crypto-assets, featuring full-duplex WebSocket ticker streaming, sparkline charts, and custom watchlists.</w:t>
      </w:r>
    </w:p>
    <w:p>
      <w:pPr>
        <w:jc w:val="both"/>
        <w:spacing w:before="100" w:after="100" w:line="360" w:lineRule="auto"/>
      </w:pPr>
      <w:r>
        <w:rPr>
          <w:rFonts w:ascii="Times New Roman" w:hAnsi="Times New Roman" w:cs="Times New Roman"/>
          <w:sz w:val="24"/>
          <w:szCs w:val="24"/>
        </w:rPr>
        <w:t xml:space="preserve">2. Comprehensive Portfolio Accounting: Real-time net worth calculation, asset allocation distribution, weighted average cost basis tracking, and historical transaction logging.</w:t>
      </w:r>
    </w:p>
    <w:p>
      <w:pPr>
        <w:jc w:val="both"/>
        <w:spacing w:before="100" w:after="100" w:line="360" w:lineRule="auto"/>
      </w:pPr>
      <w:r>
        <w:rPr>
          <w:rFonts w:ascii="Times New Roman" w:hAnsi="Times New Roman" w:cs="Times New Roman"/>
          <w:sz w:val="24"/>
          <w:szCs w:val="24"/>
        </w:rPr>
        <w:t xml:space="preserve">3. Multi-Mode Trading Engine: Default risk-free Paper Trading simulation ($10,000 virtual balance) coupled with optional Binance Spot Testnet integration for sandbox exchange execution.</w:t>
      </w:r>
    </w:p>
    <w:p>
      <w:pPr>
        <w:jc w:val="both"/>
        <w:spacing w:before="100" w:after="100" w:line="360" w:lineRule="auto"/>
      </w:pPr>
      <w:r>
        <w:rPr>
          <w:rFonts w:ascii="Times New Roman" w:hAnsi="Times New Roman" w:cs="Times New Roman"/>
          <w:sz w:val="24"/>
          <w:szCs w:val="24"/>
        </w:rPr>
        <w:t xml:space="preserve">4. Behavioral Decision-Support: The 'Regret Guard' psychological friction mechanism injecting cooling-off countdowns during volatility spikes, paired with an emotion-tagged Trade Journal.</w:t>
      </w:r>
    </w:p>
    <w:p>
      <w:pPr>
        <w:jc w:val="both"/>
        <w:spacing w:before="100" w:after="100" w:line="360" w:lineRule="auto"/>
      </w:pPr>
      <w:r>
        <w:rPr>
          <w:rFonts w:ascii="Times New Roman" w:hAnsi="Times New Roman" w:cs="Times New Roman"/>
          <w:sz w:val="24"/>
          <w:szCs w:val="24"/>
        </w:rPr>
        <w:t xml:space="preserve">5. Algorithmic Risk Diagnostics: 'Portfolio Risk Pulse' computing Herfindahl-Hirschman Index (HHI) concentration scores, weighted asset volatility betas, and smart rebalancing suggestions.</w:t>
      </w:r>
    </w:p>
    <w:p>
      <w:pPr>
        <w:jc w:val="both"/>
        <w:spacing w:before="100" w:after="100" w:line="360" w:lineRule="auto"/>
      </w:pPr>
      <w:r>
        <w:rPr>
          <w:rFonts w:ascii="Times New Roman" w:hAnsi="Times New Roman" w:cs="Times New Roman"/>
          <w:sz w:val="24"/>
          <w:szCs w:val="24"/>
        </w:rPr>
        <w:t xml:space="preserve">6. Automated Tax-Lot Engine: Automated lot matching supporting FIFO, LIFO, and HIFO methodologies with IRS Form 8949 CSV export.</w:t>
      </w:r>
    </w:p>
    <w:p>
      <w:pPr>
        <w:jc w:val="both"/>
        <w:spacing w:before="100" w:after="100" w:line="360" w:lineRule="auto"/>
      </w:pPr>
      <w:r>
        <w:rPr>
          <w:rFonts w:ascii="Times New Roman" w:hAnsi="Times New Roman" w:cs="Times New Roman"/>
          <w:sz w:val="24"/>
          <w:szCs w:val="24"/>
        </w:rPr>
        <w:t xml:space="preserve">7. Administrative Governance: Server-side role-based access control (RBAC), user account lifecycle management, and a global trading kill switch circuit breaker.</w:t>
      </w:r>
    </w:p>
    <w:p>
      <w:pPr>
        <w:jc w:val="left"/>
        <w:spacing w:before="160" w:after="100" w:line="360" w:lineRule="auto"/>
      </w:pPr>
      <w:r>
        <w:rPr>
          <w:rFonts w:ascii="Times New Roman" w:hAnsi="Times New Roman" w:cs="Times New Roman"/>
          <w:sz w:val="26"/>
          <w:szCs w:val="26"/>
          <w:b/>
        </w:rPr>
        <w:t xml:space="preserve">1.3.3 Dual-Mode Architecture: Cloud Persistence and Demo Resiliency</w:t>
      </w:r>
    </w:p>
    <w:p>
      <w:pPr>
        <w:jc w:val="both"/>
        <w:spacing w:before="100" w:after="100" w:line="360" w:lineRule="auto"/>
      </w:pPr>
      <w:r>
        <w:rPr>
          <w:rFonts w:ascii="Times New Roman" w:hAnsi="Times New Roman" w:cs="Times New Roman"/>
          <w:sz w:val="24"/>
          <w:szCs w:val="24"/>
        </w:rPr>
        <w:t xml:space="preserve">Recognizing that academic evaluations and demonstration environments may operate under varying network constraints, the architecture incorporates an intelligent dual-mode persistence mechanism. When configured with Supabase credentials, the system executes enterprise PostgreSQL transactions with Row Level Security. In offline or local demonstration environments, the system seamlessly transitions to an in-memory / local mock store, ensuring 100% functional availability without operational failure.</w:t>
      </w:r>
    </w:p>
    <w:p>
      <w:pPr>
        <w:jc w:val="left"/>
        <w:spacing w:before="200" w:after="140" w:line="360" w:lineRule="auto"/>
      </w:pPr>
      <w:r>
        <w:rPr>
          <w:rFonts w:ascii="Times New Roman" w:hAnsi="Times New Roman" w:cs="Times New Roman"/>
          <w:sz w:val="28"/>
          <w:szCs w:val="28"/>
          <w:b/>
        </w:rPr>
        <w:t xml:space="preserve">1.4 Project Objectives</w:t>
      </w:r>
    </w:p>
    <w:p>
      <w:pPr>
        <w:jc w:val="left"/>
        <w:spacing w:before="160" w:after="100" w:line="360" w:lineRule="auto"/>
      </w:pPr>
      <w:r>
        <w:rPr>
          <w:rFonts w:ascii="Times New Roman" w:hAnsi="Times New Roman" w:cs="Times New Roman"/>
          <w:sz w:val="26"/>
          <w:szCs w:val="26"/>
          <w:b/>
        </w:rPr>
        <w:t xml:space="preserve">1.4.1 Primary Educational and Functional Aims</w:t>
      </w:r>
    </w:p>
    <w:p>
      <w:pPr>
        <w:jc w:val="both"/>
        <w:spacing w:before="100" w:after="100" w:line="360" w:lineRule="auto"/>
      </w:pPr>
      <w:r>
        <w:rPr>
          <w:rFonts w:ascii="Times New Roman" w:hAnsi="Times New Roman" w:cs="Times New Roman"/>
          <w:sz w:val="24"/>
          <w:szCs w:val="24"/>
        </w:rPr>
        <w:t xml:space="preserve">The overarching purpose of this project is to research, design, develop, and empirically validate an open-source, full-stack cryptocurrency management platform that mitigates market fragmentation, prevents credential compromise, counters emotional trading irrationality, and democratizes institutional-grade risk diagnostics for students, educators, and retail investors.</w:t>
      </w:r>
    </w:p>
    <w:p>
      <w:pPr>
        <w:jc w:val="left"/>
        <w:spacing w:before="160" w:after="100" w:line="360" w:lineRule="auto"/>
      </w:pPr>
      <w:r>
        <w:rPr>
          <w:rFonts w:ascii="Times New Roman" w:hAnsi="Times New Roman" w:cs="Times New Roman"/>
          <w:sz w:val="26"/>
          <w:szCs w:val="26"/>
          <w:b/>
        </w:rPr>
        <w:t xml:space="preserve">1.4.2 Specific Technical and Engineering Objectives</w:t>
      </w:r>
    </w:p>
    <w:p>
      <w:pPr>
        <w:jc w:val="both"/>
        <w:spacing w:before="100" w:after="100" w:line="360" w:lineRule="auto"/>
      </w:pPr>
      <w:r>
        <w:rPr>
          <w:rFonts w:ascii="Times New Roman" w:hAnsi="Times New Roman" w:cs="Times New Roman"/>
          <w:sz w:val="24"/>
          <w:szCs w:val="24"/>
        </w:rPr>
        <w:t xml:space="preserve">The project is structured around seven precise engineering objectives:</w:t>
      </w:r>
    </w:p>
    <w:p>
      <w:pPr>
        <w:jc w:val="both"/>
        <w:spacing w:before="100" w:after="100" w:line="360" w:lineRule="auto"/>
      </w:pPr>
      <w:r>
        <w:rPr>
          <w:rFonts w:ascii="Times New Roman" w:hAnsi="Times New Roman" w:cs="Times New Roman"/>
          <w:sz w:val="24"/>
          <w:szCs w:val="24"/>
        </w:rPr>
        <w:t xml:space="preserve">• Objective 1: Architect a responsive, component-driven web application using Next.js 14 App Router, React 18, and TypeScript 5, ensuring strict static type checking and sub-second page transitions.</w:t>
      </w:r>
    </w:p>
    <w:p>
      <w:pPr>
        <w:jc w:val="both"/>
        <w:spacing w:before="100" w:after="100" w:line="360" w:lineRule="auto"/>
      </w:pPr>
      <w:r>
        <w:rPr>
          <w:rFonts w:ascii="Times New Roman" w:hAnsi="Times New Roman" w:cs="Times New Roman"/>
          <w:sz w:val="24"/>
          <w:szCs w:val="24"/>
        </w:rPr>
        <w:t xml:space="preserve">• Objective 2: Engineer a resilient, low-latency market data distribution pipeline leveraging full-duplex WebSockets direct from the Binance Mini-Ticker stream (!miniTicker@arr), augmented by CoinGecko REST endpoints for historical depth.</w:t>
      </w:r>
    </w:p>
    <w:p>
      <w:pPr>
        <w:jc w:val="both"/>
        <w:spacing w:before="100" w:after="100" w:line="360" w:lineRule="auto"/>
      </w:pPr>
      <w:r>
        <w:rPr>
          <w:rFonts w:ascii="Times New Roman" w:hAnsi="Times New Roman" w:cs="Times New Roman"/>
          <w:sz w:val="24"/>
          <w:szCs w:val="24"/>
        </w:rPr>
        <w:t xml:space="preserve">• Objective 3: Implement an enterprise-grade cryptographic security architecture utilizing AES-256-GCM authenticated envelope encryption for user exchange credentials, coupled with strict non-custodial validation rules that reject withdrawal keys.</w:t>
      </w:r>
    </w:p>
    <w:p>
      <w:pPr>
        <w:jc w:val="both"/>
        <w:spacing w:before="100" w:after="100" w:line="360" w:lineRule="auto"/>
      </w:pPr>
      <w:r>
        <w:rPr>
          <w:rFonts w:ascii="Times New Roman" w:hAnsi="Times New Roman" w:cs="Times New Roman"/>
          <w:sz w:val="24"/>
          <w:szCs w:val="24"/>
        </w:rPr>
        <w:t xml:space="preserve">• Objective 4: Construct a quantitative risk engine utilizing the Herfindahl-Hirschman Index (HHI) and beta-weighted asset models to diagnose portfolio concentration and generate mathematical rebalancing orders.</w:t>
      </w:r>
    </w:p>
    <w:p>
      <w:pPr>
        <w:jc w:val="both"/>
        <w:spacing w:before="100" w:after="100" w:line="360" w:lineRule="auto"/>
      </w:pPr>
      <w:r>
        <w:rPr>
          <w:rFonts w:ascii="Times New Roman" w:hAnsi="Times New Roman" w:cs="Times New Roman"/>
          <w:sz w:val="24"/>
          <w:szCs w:val="24"/>
        </w:rPr>
        <w:t xml:space="preserve">• Objective 5: Formulate behavioral finance decision-support mechanisms, specifically the 'Regret Guard' cooling-off intervention and emotional journaling, to evaluate the efficacy of UI friction in reducing impulsive trading.</w:t>
      </w:r>
    </w:p>
    <w:p>
      <w:pPr>
        <w:jc w:val="both"/>
        <w:spacing w:before="100" w:after="100" w:line="360" w:lineRule="auto"/>
      </w:pPr>
      <w:r>
        <w:rPr>
          <w:rFonts w:ascii="Times New Roman" w:hAnsi="Times New Roman" w:cs="Times New Roman"/>
          <w:sz w:val="24"/>
          <w:szCs w:val="24"/>
        </w:rPr>
        <w:t xml:space="preserve">• Objective 6: Develop an automated, real-time tax-lot accounting engine capable of sorting and matching transaction lots under FIFO, LIFO, and HIFO algorithms with exportable CSV tax summaries.</w:t>
      </w:r>
    </w:p>
    <w:p>
      <w:pPr>
        <w:jc w:val="both"/>
        <w:spacing w:before="100" w:after="100" w:line="360" w:lineRule="auto"/>
      </w:pPr>
      <w:r>
        <w:rPr>
          <w:rFonts w:ascii="Times New Roman" w:hAnsi="Times New Roman" w:cs="Times New Roman"/>
          <w:sz w:val="24"/>
          <w:szCs w:val="24"/>
        </w:rPr>
        <w:t xml:space="preserve">• Objective 7: Build administrative governance tools, including server-enforced role-based access control and an emergency global trading kill switch returning HTTP 503 status codes during systemic market anomalies.</w:t>
      </w:r>
    </w:p>
    <w:p>
      <w:pPr>
        <w:jc w:val="left"/>
        <w:spacing w:before="200" w:after="140" w:line="360" w:lineRule="auto"/>
      </w:pPr>
      <w:r>
        <w:rPr>
          <w:rFonts w:ascii="Times New Roman" w:hAnsi="Times New Roman" w:cs="Times New Roman"/>
          <w:sz w:val="28"/>
          <w:szCs w:val="28"/>
          <w:b/>
        </w:rPr>
        <w:t xml:space="preserve">1.5 Sustainable Development Goal Alignment</w:t>
      </w:r>
    </w:p>
    <w:p>
      <w:pPr>
        <w:jc w:val="both"/>
        <w:spacing w:before="100" w:after="100" w:line="360" w:lineRule="auto"/>
      </w:pPr>
      <w:r>
        <w:rPr>
          <w:rFonts w:ascii="Times New Roman" w:hAnsi="Times New Roman" w:cs="Times New Roman"/>
          <w:sz w:val="24"/>
          <w:szCs w:val="24"/>
        </w:rPr>
        <w:t xml:space="preserve">The United Nations Sustainable Development Goals (SDGs) define a shared global blueprint for peace, prosperity, and innovation. The Cryptocurrency Management System directly aligns with three major SDGs:</w:t>
      </w:r>
    </w:p>
    <w:p>
      <w:pPr>
        <w:jc w:val="left"/>
        <w:spacing w:before="160" w:after="100" w:line="360" w:lineRule="auto"/>
      </w:pPr>
      <w:r>
        <w:rPr>
          <w:rFonts w:ascii="Times New Roman" w:hAnsi="Times New Roman" w:cs="Times New Roman"/>
          <w:sz w:val="26"/>
          <w:szCs w:val="26"/>
          <w:b/>
        </w:rPr>
        <w:t xml:space="preserve">1.5.1 Alignment with SDG 4: Quality Education</w:t>
      </w:r>
    </w:p>
    <w:p>
      <w:pPr>
        <w:jc w:val="both"/>
        <w:spacing w:before="100" w:after="100" w:line="360" w:lineRule="auto"/>
      </w:pPr>
      <w:r>
        <w:rPr>
          <w:rFonts w:ascii="Times New Roman" w:hAnsi="Times New Roman" w:cs="Times New Roman"/>
          <w:sz w:val="24"/>
          <w:szCs w:val="24"/>
        </w:rPr>
        <w:t xml:space="preserve">SDG Target 4.4 seeks to substantially increase the number of youth and adults who have relevant technical and financial skills. Digital financial assets represent an emerging frontier of computational finance. By providing safe, zero-cost paper trading ($10,000 sandbox funds), interactive DCA time machine simulations, clear mathematical risk formulas, and plain-language AI market move explanations, CryptoPulse serves as an accessible pedagogical tool. It enables students and researchers to master market dynamics, order types, and risk management without jeopardizing real financial capital.</w:t>
      </w:r>
    </w:p>
    <w:p>
      <w:pPr>
        <w:jc w:val="left"/>
        <w:spacing w:before="160" w:after="100" w:line="360" w:lineRule="auto"/>
      </w:pPr>
      <w:r>
        <w:rPr>
          <w:rFonts w:ascii="Times New Roman" w:hAnsi="Times New Roman" w:cs="Times New Roman"/>
          <w:sz w:val="26"/>
          <w:szCs w:val="26"/>
          <w:b/>
        </w:rPr>
        <w:t xml:space="preserve">1.5.2 Alignment with SDG 8: Decent Work and Economic Growth</w:t>
      </w:r>
    </w:p>
    <w:p>
      <w:pPr>
        <w:jc w:val="both"/>
        <w:spacing w:before="100" w:after="100" w:line="360" w:lineRule="auto"/>
      </w:pPr>
      <w:r>
        <w:rPr>
          <w:rFonts w:ascii="Times New Roman" w:hAnsi="Times New Roman" w:cs="Times New Roman"/>
          <w:sz w:val="24"/>
          <w:szCs w:val="24"/>
        </w:rPr>
        <w:t xml:space="preserve">SDG Target 8.10 emphasizes strengthening the capacity of domestic financial institutions and encouraging universal access to banking, insurance, and financial services. CryptoPulse supports financial resilience by protecting retail participants from predatory trading practices. By incorporating the Regret Guard cooling-off timer, emotion journaling, and transparent tax liability calculation, the platform fosters disciplined, sustainable financial habits and prevents the catastrophic retail insolvencies commonly induced by high-leverage crypto casinos.</w:t>
      </w:r>
    </w:p>
    <w:p>
      <w:pPr>
        <w:jc w:val="left"/>
        <w:spacing w:before="160" w:after="100" w:line="360" w:lineRule="auto"/>
      </w:pPr>
      <w:r>
        <w:rPr>
          <w:rFonts w:ascii="Times New Roman" w:hAnsi="Times New Roman" w:cs="Times New Roman"/>
          <w:sz w:val="26"/>
          <w:szCs w:val="26"/>
          <w:b/>
        </w:rPr>
        <w:t xml:space="preserve">1.5.3 Alignment with SDG 9: Industry, Innovation, and Infrastructure</w:t>
      </w:r>
    </w:p>
    <w:p>
      <w:pPr>
        <w:jc w:val="both"/>
        <w:spacing w:before="100" w:after="100" w:line="360" w:lineRule="auto"/>
      </w:pPr>
      <w:r>
        <w:rPr>
          <w:rFonts w:ascii="Times New Roman" w:hAnsi="Times New Roman" w:cs="Times New Roman"/>
          <w:sz w:val="24"/>
          <w:szCs w:val="24"/>
        </w:rPr>
        <w:t xml:space="preserve">SDG Target 9.c emphasizes significantly increasing access to information and communications technology. The project advances this goal by demonstrating a modern, high-resilience financial software architecture. By combining decentralized WebSocket data pipelines, server-side authenticated envelope cryptography, non-custodial verification, and fault-tolerant local fallback mechanisms, CryptoPulse establishes an open, reproducible reference architecture for resilient financial software engineering.</w:t>
      </w:r>
    </w:p>
    <w:p>
      <w:r>
        <w:br w:type="page"/>
      </w:r>
    </w:p>
    <w:p>
      <w:pPr>
        <w:jc w:val="center"/>
        <w:spacing w:before="240" w:after="180" w:line="360" w:lineRule="auto"/>
      </w:pPr>
      <w:r>
        <w:rPr>
          <w:rFonts w:ascii="Times New Roman" w:hAnsi="Times New Roman" w:cs="Times New Roman"/>
          <w:sz w:val="32"/>
          <w:szCs w:val="32"/>
          <w:b/>
        </w:rPr>
        <w:t xml:space="preserve">CHAPTER 2</w:t>
      </w:r>
    </w:p>
    <w:p>
      <w:pPr>
        <w:jc w:val="center"/>
        <w:spacing w:before="240" w:after="180" w:line="360" w:lineRule="auto"/>
      </w:pPr>
      <w:r>
        <w:rPr>
          <w:rFonts w:ascii="Times New Roman" w:hAnsi="Times New Roman" w:cs="Times New Roman"/>
          <w:sz w:val="32"/>
          <w:szCs w:val="32"/>
          <w:b/>
        </w:rPr>
        <w:t xml:space="preserve">LITERATURE REVIEW</w:t>
      </w:r>
    </w:p>
    <w:p>
      <w:pPr>
        <w:jc w:val="left"/>
        <w:spacing w:before="200" w:after="140" w:line="360" w:lineRule="auto"/>
      </w:pPr>
      <w:r>
        <w:rPr>
          <w:rFonts w:ascii="Times New Roman" w:hAnsi="Times New Roman" w:cs="Times New Roman"/>
          <w:sz w:val="28"/>
          <w:szCs w:val="28"/>
          <w:b/>
        </w:rPr>
        <w:t xml:space="preserve">2.1 JAVA PROGRAMMING LANGUAGE AND OBJECT-ORIENTED FINANCIAL ENGINEERING</w:t>
      </w:r>
    </w:p>
    <w:p>
      <w:pPr>
        <w:jc w:val="left"/>
        <w:spacing w:before="160" w:after="100" w:line="360" w:lineRule="auto"/>
      </w:pPr>
      <w:r>
        <w:rPr>
          <w:rFonts w:ascii="Times New Roman" w:hAnsi="Times New Roman" w:cs="Times New Roman"/>
          <w:sz w:val="26"/>
          <w:szCs w:val="26"/>
          <w:b/>
        </w:rPr>
        <w:t xml:space="preserve">2.1.1 Overview and Architectural Foundations of Java</w:t>
      </w:r>
    </w:p>
    <w:p>
      <w:pPr>
        <w:jc w:val="both"/>
        <w:spacing w:before="100" w:after="100" w:line="360" w:lineRule="auto"/>
      </w:pPr>
      <w:r>
        <w:rPr>
          <w:rFonts w:ascii="Times New Roman" w:hAnsi="Times New Roman" w:cs="Times New Roman"/>
          <w:sz w:val="24"/>
          <w:szCs w:val="24"/>
        </w:rPr>
        <w:t xml:space="preserve">Java is a high-level, class-based, object-oriented, concurrent, and robust programming language originally conceived by James Gosling at Sun Microsystems (subsequently acquired by Oracle Corporation). Formulated around the foundational design ethos of "Write Once, Run Anywhere" (WORA), Java achieves architectural neutrality through the compilation of human-readable source code into platform-independent intermediate representations known as bytecode (.class files). This intermediate bytecode is executed within the Java Virtual Machine (JVM), an abstract computing machine that provides hardware-level virtualization across operating systems, including Linux, macOS, and Microsoft Windows.</w:t>
      </w:r>
    </w:p>
    <w:p>
      <w:pPr>
        <w:jc w:val="both"/>
        <w:spacing w:before="100" w:after="100" w:line="360" w:lineRule="auto"/>
      </w:pPr>
      <w:r>
        <w:rPr>
          <w:rFonts w:ascii="Times New Roman" w:hAnsi="Times New Roman" w:cs="Times New Roman"/>
          <w:sz w:val="24"/>
          <w:szCs w:val="24"/>
        </w:rPr>
        <w:t xml:space="preserve">In computational finance and distributed enterprise platforms, Java has established itself as the preeminent standard for executing high-throughput, low-latency transactional workflows. The execution lifecycle within modern JVM implementations is optimized through a sophisticated Multi-Tiered Just-In-Time (JIT) compiler (HotSpot C1 and C2 compilers) combined with adaptive optimization techniques. The JIT dynamically monitors method invocation frequencies and runtime control flow, compiling hot bytecode segments into native processor machine instructions during execution. Furthermore, Java incorporates automated garbage collection (GC) subsystems—such as the Garbage-First (G1) collector, Z Garbage Collector (ZGC), and Shenandoah low-pause collectors—which reclaim heap allocations concurrently, bounding worst-case latency pauses to sub-millisecond durations essential for algorithmic execution.</w:t>
      </w:r>
    </w:p>
    <w:p>
      <w:pPr>
        <w:jc w:val="left"/>
        <w:spacing w:before="160" w:after="100" w:line="360" w:lineRule="auto"/>
      </w:pPr>
      <w:r>
        <w:rPr>
          <w:rFonts w:ascii="Times New Roman" w:hAnsi="Times New Roman" w:cs="Times New Roman"/>
          <w:sz w:val="26"/>
          <w:szCs w:val="26"/>
          <w:b/>
        </w:rPr>
        <w:t xml:space="preserve">2.1.2 Object-Oriented Programming (OOP) Paradigms in Financial Software Engineering</w:t>
      </w:r>
    </w:p>
    <w:p>
      <w:pPr>
        <w:jc w:val="both"/>
        <w:spacing w:before="100" w:after="100" w:line="360" w:lineRule="auto"/>
      </w:pPr>
      <w:r>
        <w:rPr>
          <w:rFonts w:ascii="Times New Roman" w:hAnsi="Times New Roman" w:cs="Times New Roman"/>
          <w:sz w:val="24"/>
          <w:szCs w:val="24"/>
        </w:rPr>
        <w:t xml:space="preserve">The modeling of modern financial platforms necessitates an architectural paradigm capable of handling domain complexity while ensuring data integrity, maintainability, and horizontal extensibility. The core Object-Oriented Programming (OOP) principles—Encapsulation, Inheritance, Polymorphism, and Abstraction—provide the foundational engineering patterns required to construct resilient cryptocurrency management platforms:</w:t>
      </w:r>
    </w:p>
    <w:p>
      <w:pPr>
        <w:jc w:val="both"/>
        <w:spacing w:before="100" w:after="100" w:line="360" w:lineRule="auto"/>
      </w:pPr>
      <w:r>
        <w:rPr>
          <w:rFonts w:ascii="Times New Roman" w:hAnsi="Times New Roman" w:cs="Times New Roman"/>
          <w:sz w:val="24"/>
          <w:szCs w:val="24"/>
          <w:b/>
        </w:rPr>
        <w:t xml:space="preserve">1. Encapsulation: </w:t>
      </w:r>
      <w:r>
        <w:rPr>
          <w:rFonts w:ascii="Times New Roman" w:hAnsi="Times New Roman" w:cs="Times New Roman"/>
          <w:sz w:val="24"/>
          <w:szCs w:val="24"/>
        </w:rPr>
        <w:t xml:space="preserve">Encapsulation enforces data hiding and state integrity by restricting direct read/write access to internal fields, exposing mutating operations strictly through validated accessors, mutators, and domain methods. In cryptocurrency transaction engines, financial invariants—such as ensuring trade amounts are strictly positive, preventing negative account balances, maintaining immutable timestamps, and isolating cryptographic API secrets from browser reflection—are safeguarded through rigorous encapsulation boundaries.</w:t>
      </w:r>
    </w:p>
    <w:p>
      <w:pPr>
        <w:jc w:val="both"/>
        <w:spacing w:before="100" w:after="100" w:line="360" w:lineRule="auto"/>
      </w:pPr>
      <w:r>
        <w:rPr>
          <w:rFonts w:ascii="Times New Roman" w:hAnsi="Times New Roman" w:cs="Times New Roman"/>
          <w:sz w:val="24"/>
          <w:szCs w:val="24"/>
          <w:b/>
        </w:rPr>
        <w:t xml:space="preserve">2. Inheritance: </w:t>
      </w:r>
      <w:r>
        <w:rPr>
          <w:rFonts w:ascii="Times New Roman" w:hAnsi="Times New Roman" w:cs="Times New Roman"/>
          <w:sz w:val="24"/>
          <w:szCs w:val="24"/>
        </w:rPr>
        <w:t xml:space="preserve">Inheritance facilitates hierarchical domain modeling and code reusability through subclass specialization. A generalized base entity, such as AbstractOrder or FinancialInstrument, encapsulates universal attributes (e.g., timestamp, unique transaction identifier, asset symbol, and base currency). Derived subclasses, such as MarketOrder, LimitOrder, SpotInstrument, and DerivativeInstrument, inherit common properties while augmenting specialized behavioral logic (e.g., limit price triggers, expiration bounds, and fee tier adjustments), thereby eliminating code duplication and standardizing system extensibility.</w:t>
      </w:r>
    </w:p>
    <w:p>
      <w:pPr>
        <w:jc w:val="both"/>
        <w:spacing w:before="100" w:after="100" w:line="360" w:lineRule="auto"/>
      </w:pPr>
      <w:r>
        <w:rPr>
          <w:rFonts w:ascii="Times New Roman" w:hAnsi="Times New Roman" w:cs="Times New Roman"/>
          <w:sz w:val="24"/>
          <w:szCs w:val="24"/>
          <w:b/>
        </w:rPr>
        <w:t xml:space="preserve">3. Polymorphism: </w:t>
      </w:r>
      <w:r>
        <w:rPr>
          <w:rFonts w:ascii="Times New Roman" w:hAnsi="Times New Roman" w:cs="Times New Roman"/>
          <w:sz w:val="24"/>
          <w:szCs w:val="24"/>
        </w:rPr>
        <w:t xml:space="preserve">Polymorphism enables uniform interfaces to represent diverse runtime behaviors. Through method overriding (dynamic polymorphism) and method overloading (static polymorphism), an execution dispatcher can invoke executeOrder() or calculateTaxLot() across heterogeneous order models or tax strategies (FIFO, LIFO, HIFO) through a generalized abstract interface. At runtime, the JVM dynamic method lookup (invokevirtual) resolves the appropriate implementation, decoupling consumer workflows from concrete implementation mechanics.</w:t>
      </w:r>
    </w:p>
    <w:p>
      <w:pPr>
        <w:jc w:val="both"/>
        <w:spacing w:before="100" w:after="100" w:line="360" w:lineRule="auto"/>
      </w:pPr>
      <w:r>
        <w:rPr>
          <w:rFonts w:ascii="Times New Roman" w:hAnsi="Times New Roman" w:cs="Times New Roman"/>
          <w:sz w:val="24"/>
          <w:szCs w:val="24"/>
          <w:b/>
        </w:rPr>
        <w:t xml:space="preserve">4. Abstraction: </w:t>
      </w:r>
      <w:r>
        <w:rPr>
          <w:rFonts w:ascii="Times New Roman" w:hAnsi="Times New Roman" w:cs="Times New Roman"/>
          <w:sz w:val="24"/>
          <w:szCs w:val="24"/>
        </w:rPr>
        <w:t xml:space="preserve">Abstraction isolates system interfaces from operational complexities. Complex operations, such as low-level TCP socket handshakes, Binance HMAC-SHA256 signature generation, AES-256-GCM cipher initialization, and database connection pooling, are abstracted behind clean service contracts (e.g., MarketDataService, OrderExecutionGateway, CredentialStore). Callers interact with clean behavioral contracts, ensuring that alterations to external APIs or database drivers do not ripple across business logic layers.</w:t>
      </w:r>
    </w:p>
    <w:p>
      <w:pPr>
        <w:jc w:val="left"/>
        <w:spacing w:before="160" w:after="100" w:line="360" w:lineRule="auto"/>
      </w:pPr>
      <w:r>
        <w:rPr>
          <w:rFonts w:ascii="Times New Roman" w:hAnsi="Times New Roman" w:cs="Times New Roman"/>
          <w:sz w:val="26"/>
          <w:szCs w:val="26"/>
          <w:b/>
        </w:rPr>
        <w:t xml:space="preserve">2.1.3 Concurrency, Multithreading, and Asynchronous Event-Driven Architectures</w:t>
      </w:r>
    </w:p>
    <w:p>
      <w:pPr>
        <w:jc w:val="both"/>
        <w:spacing w:before="100" w:after="100" w:line="360" w:lineRule="auto"/>
      </w:pPr>
      <w:r>
        <w:rPr>
          <w:rFonts w:ascii="Times New Roman" w:hAnsi="Times New Roman" w:cs="Times New Roman"/>
          <w:sz w:val="24"/>
          <w:szCs w:val="24"/>
        </w:rPr>
        <w:t xml:space="preserve">Financial market interfaces demand non-blocking concurrency to process thousands of continuous price fluctuations across multiple digital assets while concurrently servicing user transactions and executing analytical backtests. In Java enterprise architectures, thread management and concurrency models provide robust paradigms:</w:t>
      </w:r>
    </w:p>
    <w:p>
      <w:pPr>
        <w:jc w:val="both"/>
        <w:spacing w:before="100" w:after="100" w:line="360" w:lineRule="auto"/>
      </w:pPr>
      <w:r>
        <w:rPr>
          <w:rFonts w:ascii="Times New Roman" w:hAnsi="Times New Roman" w:cs="Times New Roman"/>
          <w:sz w:val="24"/>
          <w:szCs w:val="24"/>
        </w:rPr>
        <w:t xml:space="preserve">• Executor Services and Thread Pooling: Rather than incurring prohibitive operating system overhead through ad-hoc thread instantiation, production financial engines utilize bounded thread pools managed via java.util.concurrent.ExecutorService. Work-stealing pool algorithms (ForkJoinPool) optimize throughput by dynamically balancing asynchronous analytical tasks across available CPU cores.</w:t>
      </w:r>
    </w:p>
    <w:p>
      <w:pPr>
        <w:jc w:val="both"/>
        <w:spacing w:before="100" w:after="100" w:line="360" w:lineRule="auto"/>
      </w:pPr>
      <w:r>
        <w:rPr>
          <w:rFonts w:ascii="Times New Roman" w:hAnsi="Times New Roman" w:cs="Times New Roman"/>
          <w:sz w:val="24"/>
          <w:szCs w:val="24"/>
        </w:rPr>
        <w:t xml:space="preserve">• Thread Synchronization and Lock-Free Primitives: High-frequency shared state—such as portfolio cash balances and order book levels—is protected using memory barriers, compare-and-swap (CAS) atomic variables (e.g., AtomicReference, AtomicLong), and optimistic concurrency mechanisms (StampedLock) rather than heavy, blocking synchronized blocks, avoiding thread contention and deadlock anomalies.</w:t>
      </w:r>
    </w:p>
    <w:p>
      <w:pPr>
        <w:jc w:val="both"/>
        <w:spacing w:before="100" w:after="100" w:line="360" w:lineRule="auto"/>
      </w:pPr>
      <w:r>
        <w:rPr>
          <w:rFonts w:ascii="Times New Roman" w:hAnsi="Times New Roman" w:cs="Times New Roman"/>
          <w:sz w:val="24"/>
          <w:szCs w:val="24"/>
        </w:rPr>
        <w:t xml:space="preserve">• Asynchronous Futures and Reactive Streams: The CompletableFuture API and Reactive Streams specification (Flow API) enable composable, asynchronous data pipelines. Market ingestion threads stream real-time price ticks to registered subscriber pipelines without blocking the central event loop, implementing backpressure mechanisms to manage burst volatility spikes.</w:t>
      </w:r>
    </w:p>
    <w:p>
      <w:pPr>
        <w:jc w:val="left"/>
        <w:spacing w:before="160" w:after="100" w:line="360" w:lineRule="auto"/>
      </w:pPr>
      <w:r>
        <w:rPr>
          <w:rFonts w:ascii="Times New Roman" w:hAnsi="Times New Roman" w:cs="Times New Roman"/>
          <w:sz w:val="26"/>
          <w:szCs w:val="26"/>
          <w:b/>
        </w:rPr>
        <w:t xml:space="preserve">2.1.4 Networking, Socket Streaming, and WebSocket Communication</w:t>
      </w:r>
    </w:p>
    <w:p>
      <w:pPr>
        <w:jc w:val="both"/>
        <w:spacing w:before="100" w:after="100" w:line="360" w:lineRule="auto"/>
      </w:pPr>
      <w:r>
        <w:rPr>
          <w:rFonts w:ascii="Times New Roman" w:hAnsi="Times New Roman" w:cs="Times New Roman"/>
          <w:sz w:val="24"/>
          <w:szCs w:val="24"/>
        </w:rPr>
        <w:t xml:space="preserve">Cryptocurrency assets trade continuously across global liquidity venues. RESTful HTTP polling introduces unacceptable bandwidth inflation, latency lag, and server resource depletion. In modern financial engineering, socket networking forms the operational bedrock:</w:t>
      </w:r>
    </w:p>
    <w:p>
      <w:pPr>
        <w:jc w:val="both"/>
        <w:spacing w:before="100" w:after="100" w:line="360" w:lineRule="auto"/>
      </w:pPr>
      <w:r>
        <w:rPr>
          <w:rFonts w:ascii="Times New Roman" w:hAnsi="Times New Roman" w:cs="Times New Roman"/>
          <w:sz w:val="24"/>
          <w:szCs w:val="24"/>
        </w:rPr>
        <w:t xml:space="preserve">• Non-Blocking I/O (NIO Selector Pattern): The java.nio framework replaces traditional blocking I/O (where one thread services one network connection) with an event-driven multiplexor architecture. A single Selector thread monitors hundreds of SocketChannels, waking up only when network read/write events are ready, drastically reducing memory footprints and context-switching overhead.</w:t>
      </w:r>
    </w:p>
    <w:p>
      <w:pPr>
        <w:jc w:val="both"/>
        <w:spacing w:before="100" w:after="100" w:line="360" w:lineRule="auto"/>
      </w:pPr>
      <w:r>
        <w:rPr>
          <w:rFonts w:ascii="Times New Roman" w:hAnsi="Times New Roman" w:cs="Times New Roman"/>
          <w:sz w:val="24"/>
          <w:szCs w:val="24"/>
        </w:rPr>
        <w:t xml:space="preserve">• WebSocket Full-Duplex Channels: Real-time price distribution utilizes persistent TCP connections upgraded via the WebSocket protocol (RFC 6455). Once the initial HTTP handshake concludes, bi-directional, framed binary or text payloads stream continuously. Java implementations (such as Netty or Java WebSocket API) process incoming Binance ticker frames, parse JSON payloads into strongly typed domain events, and broadcast updates to downstream analytical subscribers with sub-millisecond latencies.</w:t>
      </w:r>
    </w:p>
    <w:p>
      <w:pPr>
        <w:jc w:val="left"/>
        <w:spacing w:before="160" w:after="100" w:line="360" w:lineRule="auto"/>
      </w:pPr>
      <w:r>
        <w:rPr>
          <w:rFonts w:ascii="Times New Roman" w:hAnsi="Times New Roman" w:cs="Times New Roman"/>
          <w:sz w:val="26"/>
          <w:szCs w:val="26"/>
          <w:b/>
        </w:rPr>
        <w:t xml:space="preserve">2.1.5 Enterprise Security, Cryptographic Providers, and Memory Safety</w:t>
      </w:r>
    </w:p>
    <w:p>
      <w:pPr>
        <w:jc w:val="both"/>
        <w:spacing w:before="100" w:after="100" w:line="360" w:lineRule="auto"/>
      </w:pPr>
      <w:r>
        <w:rPr>
          <w:rFonts w:ascii="Times New Roman" w:hAnsi="Times New Roman" w:cs="Times New Roman"/>
          <w:sz w:val="24"/>
          <w:szCs w:val="24"/>
        </w:rPr>
        <w:t xml:space="preserve">Managing digital assets entails handling high-value exchange credentials and private secrets. The Java platform provides a battle-tested security framework through the Java Cryptography Architecture (JCA) and Java Cryptography Extension (JCE):</w:t>
      </w:r>
    </w:p>
    <w:p>
      <w:pPr>
        <w:jc w:val="both"/>
        <w:spacing w:before="100" w:after="100" w:line="360" w:lineRule="auto"/>
      </w:pPr>
      <w:r>
        <w:rPr>
          <w:rFonts w:ascii="Times New Roman" w:hAnsi="Times New Roman" w:cs="Times New Roman"/>
          <w:sz w:val="24"/>
          <w:szCs w:val="24"/>
        </w:rPr>
        <w:t xml:space="preserve">• Cryptographic Providers and Ciphers: The JCA provides provider-based cryptographic abstractions. Symmetric encryption of user exchange secrets is executed via javax.crypto.Cipher utilizing AES-256 in Galois/Counter Mode (AES/GCM/NoPadding). GCM mode delivers both confidentiality and authenticated integrity through a 128-bit authentication tag, detecting any unauthorized tampering with encrypted payloads.</w:t>
      </w:r>
    </w:p>
    <w:p>
      <w:pPr>
        <w:jc w:val="both"/>
        <w:spacing w:before="100" w:after="100" w:line="360" w:lineRule="auto"/>
      </w:pPr>
      <w:r>
        <w:rPr>
          <w:rFonts w:ascii="Times New Roman" w:hAnsi="Times New Roman" w:cs="Times New Roman"/>
          <w:sz w:val="24"/>
          <w:szCs w:val="24"/>
        </w:rPr>
        <w:t xml:space="preserve">• Cryptographic Randomness: Key generation and Initialization Vector (IV) generation utilize java.security.SecureRandom, tapping into hardware entropy sources (/dev/urandom) to eliminate pseudo-random predictability attacks.</w:t>
      </w:r>
    </w:p>
    <w:p>
      <w:pPr>
        <w:jc w:val="both"/>
        <w:spacing w:before="100" w:after="100" w:line="360" w:lineRule="auto"/>
      </w:pPr>
      <w:r>
        <w:rPr>
          <w:rFonts w:ascii="Times New Roman" w:hAnsi="Times New Roman" w:cs="Times New Roman"/>
          <w:sz w:val="24"/>
          <w:szCs w:val="24"/>
        </w:rPr>
        <w:t xml:space="preserve">• Memory Hygiene and Safe Secret Handling: Java's strict memory safety—enforced through array bounds checking, type safety, and the absence of arbitrary pointer arithmetic—prevents common buffer-overflow vulnerabilities. Sensitive cryptographic credentials (e.g., exchange API secrets) are managed within zeroable character arrays (char[]) rather than immutable String objects, allowing immediate overwrite and zeroing of sensitive material in heap memory, preventing memory-dump extraction attacks.</w:t>
      </w:r>
    </w:p>
    <w:p>
      <w:pPr>
        <w:jc w:val="left"/>
        <w:spacing w:before="200" w:after="140" w:line="360" w:lineRule="auto"/>
      </w:pPr>
      <w:r>
        <w:rPr>
          <w:rFonts w:ascii="Times New Roman" w:hAnsi="Times New Roman" w:cs="Times New Roman"/>
          <w:sz w:val="28"/>
          <w:szCs w:val="28"/>
          <w:b/>
        </w:rPr>
        <w:t xml:space="preserve">2.2 ACADEMIC LITERATURE ON DIGITAL ASSET MANAGEMENT SYSTEMS</w:t>
      </w:r>
    </w:p>
    <w:p>
      <w:pPr>
        <w:jc w:val="left"/>
        <w:spacing w:before="160" w:after="100" w:line="360" w:lineRule="auto"/>
      </w:pPr>
      <w:r>
        <w:rPr>
          <w:rFonts w:ascii="Times New Roman" w:hAnsi="Times New Roman" w:cs="Times New Roman"/>
          <w:sz w:val="26"/>
          <w:szCs w:val="26"/>
          <w:b/>
        </w:rPr>
        <w:t xml:space="preserve">2.2.1 Evolution of Cryptocurrency Ecosystems and Asset Management Platforms</w:t>
      </w:r>
    </w:p>
    <w:p>
      <w:pPr>
        <w:jc w:val="both"/>
        <w:spacing w:before="100" w:after="100" w:line="360" w:lineRule="auto"/>
      </w:pPr>
      <w:r>
        <w:rPr>
          <w:rFonts w:ascii="Times New Roman" w:hAnsi="Times New Roman" w:cs="Times New Roman"/>
          <w:sz w:val="24"/>
          <w:szCs w:val="24"/>
        </w:rPr>
        <w:t xml:space="preserve">The foundational theory of decentralized electronic cash was articulated by Nakamoto (2008), introducing proof-of-work consensus to solve the double-spending problem without a central counterparty. The subsequent introduction of smart contract platforms (Buterin, 2014) catalyzed a multi-asset ecosystem comprising thousands of utility tokens, governance assets, and decentralized finance (DeFi) protocols. Corbet et al. (2019) conducted a comprehensive empirical analysis of digital assets as financial instruments, establishing that cryptocurrencies exhibit unique return distributions, high volatility persistence, and low correlation with traditional equities and sovereign debt, underscoring their utility as alternative portfolio diversification assets.</w:t>
      </w:r>
    </w:p>
    <w:p>
      <w:pPr>
        <w:jc w:val="both"/>
        <w:spacing w:before="100" w:after="100" w:line="360" w:lineRule="auto"/>
      </w:pPr>
      <w:r>
        <w:rPr>
          <w:rFonts w:ascii="Times New Roman" w:hAnsi="Times New Roman" w:cs="Times New Roman"/>
          <w:sz w:val="24"/>
          <w:szCs w:val="24"/>
        </w:rPr>
        <w:t xml:space="preserve">Unlike traditional equity markets, which operate within discrete geographic exchange hours and centralized clearing houses, digital asset markets operate 24 hours a day, 7 days a week, across geographically dispersed liquidity pools. This continuous trading environment creates distinct computational challenges. Studies by Gandal et al. (2018) and Griffin &amp; Shams (2020) demonstrated that cryptocurrency markets frequently experience localized liquidity anomalies, cross-exchange price spreads, and heightened vulnerability to retail FOMO (Fear of Missing Out) and panic-selling cascades.</w:t>
      </w:r>
    </w:p>
    <w:p>
      <w:pPr>
        <w:jc w:val="left"/>
        <w:spacing w:before="160" w:after="100" w:line="360" w:lineRule="auto"/>
      </w:pPr>
      <w:r>
        <w:rPr>
          <w:rFonts w:ascii="Times New Roman" w:hAnsi="Times New Roman" w:cs="Times New Roman"/>
          <w:sz w:val="26"/>
          <w:szCs w:val="26"/>
          <w:b/>
        </w:rPr>
        <w:t xml:space="preserve">2.2.2 Real-Time Financial Streaming and Asynchronous Data Architectures</w:t>
      </w:r>
    </w:p>
    <w:p>
      <w:pPr>
        <w:jc w:val="both"/>
        <w:spacing w:before="100" w:after="100" w:line="360" w:lineRule="auto"/>
      </w:pPr>
      <w:r>
        <w:rPr>
          <w:rFonts w:ascii="Times New Roman" w:hAnsi="Times New Roman" w:cs="Times New Roman"/>
          <w:sz w:val="24"/>
          <w:szCs w:val="24"/>
        </w:rPr>
        <w:t xml:space="preserve">The transmission of financial market data has evolved dramatically from traditional pull-based polling models to push-based streaming architectures. In early digital asset applications, client applications frequently polled REST API endpoints at fixed intervals (e.g., every 5 to 10 seconds). As highlighted by Fette &amp; Melnikov (2011) in RFC 6455, HTTP polling incurs massive protocol overhead due to repetitive TCP handshakes, TLS negotiations, and HTTP header parsing, leading to severe latency and API rate-limit exhaustion.</w:t>
      </w:r>
    </w:p>
    <w:p>
      <w:pPr>
        <w:jc w:val="both"/>
        <w:spacing w:before="100" w:after="100" w:line="360" w:lineRule="auto"/>
      </w:pPr>
      <w:r>
        <w:rPr>
          <w:rFonts w:ascii="Times New Roman" w:hAnsi="Times New Roman" w:cs="Times New Roman"/>
          <w:sz w:val="24"/>
          <w:szCs w:val="24"/>
        </w:rPr>
        <w:t xml:space="preserve">To address these inefficiencies, modern financial streaming architectures have standardized on the WebSocket protocol. Binance, the world's largest digital asset exchange by spot volume, provides a unified Mini-Ticker WebSocket stream (!miniTicker@arr) that broadcasts real-time 24-hour rolling ticker parameters (close price, open price, high, low, volume) across all active trading pairs simultaneously. Real-time stream ingestion requires resilient client architectures capable of handling network drops, socket timeouts, and high-frequency UI re-renders without blocking the main event thread.</w:t>
      </w:r>
    </w:p>
    <w:p>
      <w:pPr>
        <w:jc w:val="left"/>
        <w:spacing w:before="160" w:after="100" w:line="360" w:lineRule="auto"/>
      </w:pPr>
      <w:r>
        <w:rPr>
          <w:rFonts w:ascii="Times New Roman" w:hAnsi="Times New Roman" w:cs="Times New Roman"/>
          <w:sz w:val="26"/>
          <w:szCs w:val="26"/>
          <w:b/>
        </w:rPr>
        <w:t xml:space="preserve">2.2.3 Security Paradigms: Non-Custodial Trading and Cryptographic Key Protection</w:t>
      </w:r>
    </w:p>
    <w:p>
      <w:pPr>
        <w:jc w:val="both"/>
        <w:spacing w:before="100" w:after="100" w:line="360" w:lineRule="auto"/>
      </w:pPr>
      <w:r>
        <w:rPr>
          <w:rFonts w:ascii="Times New Roman" w:hAnsi="Times New Roman" w:cs="Times New Roman"/>
          <w:sz w:val="24"/>
          <w:szCs w:val="24"/>
        </w:rPr>
        <w:t xml:space="preserve">Security represents the most critical engineering challenge within digital asset software systems. The cryptocurrency domain is replete with catastrophic custodial breaches, ranging from the historic Mt. Gox insolvency (Decker &amp; Wattenhofer, 2014) to modern exchange liquidations, where centralized storage of private keys or exchange API credentials resulted in massive user fund theft.</w:t>
      </w:r>
    </w:p>
    <w:p>
      <w:pPr>
        <w:jc w:val="both"/>
        <w:spacing w:before="100" w:after="100" w:line="360" w:lineRule="auto"/>
      </w:pPr>
      <w:r>
        <w:rPr>
          <w:rFonts w:ascii="Times New Roman" w:hAnsi="Times New Roman" w:cs="Times New Roman"/>
          <w:sz w:val="24"/>
          <w:szCs w:val="24"/>
        </w:rPr>
        <w:t xml:space="preserve">Recent academic literature in financial security (Bonneau et al., 2015; Zohar, 2015) advocates for non-custodial and least-privilege architectural paradigms. When an application integrates with third-party exchanges for trade execution, it must enforce strict security boundaries:</w:t>
      </w:r>
    </w:p>
    <w:p>
      <w:pPr>
        <w:jc w:val="both"/>
        <w:spacing w:before="100" w:after="100" w:line="360" w:lineRule="auto"/>
      </w:pPr>
      <w:r>
        <w:rPr>
          <w:rFonts w:ascii="Times New Roman" w:hAnsi="Times New Roman" w:cs="Times New Roman"/>
          <w:sz w:val="24"/>
          <w:szCs w:val="24"/>
        </w:rPr>
        <w:t xml:space="preserve">1. Least-Privilege Key Generation: The user creates exchange API credentials restricted exclusively to reading balances and executing spot trades. Withdrawal permissions must be explicitly disabled.</w:t>
      </w:r>
    </w:p>
    <w:p>
      <w:pPr>
        <w:jc w:val="both"/>
        <w:spacing w:before="100" w:after="100" w:line="360" w:lineRule="auto"/>
      </w:pPr>
      <w:r>
        <w:rPr>
          <w:rFonts w:ascii="Times New Roman" w:hAnsi="Times New Roman" w:cs="Times New Roman"/>
          <w:sz w:val="24"/>
          <w:szCs w:val="24"/>
        </w:rPr>
        <w:t xml:space="preserve">2. Client-Side Non-Custodial Validation: The management platform validates credentials during registration, immediately rejecting any key that has withdrawal permissions enabled, thereby eliminating custody risks.</w:t>
      </w:r>
    </w:p>
    <w:p>
      <w:pPr>
        <w:jc w:val="both"/>
        <w:spacing w:before="100" w:after="100" w:line="360" w:lineRule="auto"/>
      </w:pPr>
      <w:r>
        <w:rPr>
          <w:rFonts w:ascii="Times New Roman" w:hAnsi="Times New Roman" w:cs="Times New Roman"/>
          <w:sz w:val="24"/>
          <w:szCs w:val="24"/>
        </w:rPr>
        <w:t xml:space="preserve">3. Authenticated Envelope Encryption: Cryptographic secret storage must comply with NIST Special Publication 800-38D standards. Stored exchange secrets must be encrypted utilizing AES-256 in Galois/Counter Mode (GCM). GCM provides both high-speed symmetric encryption and authenticated integrity, preventing chosen-ciphertext and tampering exploits.</w:t>
      </w:r>
    </w:p>
    <w:p>
      <w:pPr>
        <w:jc w:val="both"/>
        <w:spacing w:before="100" w:after="100" w:line="360" w:lineRule="auto"/>
      </w:pPr>
      <w:r>
        <w:rPr>
          <w:rFonts w:ascii="Times New Roman" w:hAnsi="Times New Roman" w:cs="Times New Roman"/>
          <w:sz w:val="24"/>
          <w:szCs w:val="24"/>
        </w:rPr>
        <w:t xml:space="preserve">4. Row Level Isolation: Database architectures reinforce security boundaries through Row Level Security (RLS) policies, mathematically ensuring that authenticated users can only query, insert, or decrypt their own cryptographic credentials and transaction histories.</w:t>
      </w:r>
    </w:p>
    <w:p>
      <w:pPr>
        <w:jc w:val="left"/>
        <w:spacing w:before="160" w:after="100" w:line="360" w:lineRule="auto"/>
      </w:pPr>
      <w:r>
        <w:rPr>
          <w:rFonts w:ascii="Times New Roman" w:hAnsi="Times New Roman" w:cs="Times New Roman"/>
          <w:sz w:val="26"/>
          <w:szCs w:val="26"/>
          <w:b/>
        </w:rPr>
        <w:t xml:space="preserve">2.2.4 Behavioral Finance, Emotional Biases, and Decision-Support Systems</w:t>
      </w:r>
    </w:p>
    <w:p>
      <w:pPr>
        <w:jc w:val="both"/>
        <w:spacing w:before="100" w:after="100" w:line="360" w:lineRule="auto"/>
      </w:pPr>
      <w:r>
        <w:rPr>
          <w:rFonts w:ascii="Times New Roman" w:hAnsi="Times New Roman" w:cs="Times New Roman"/>
          <w:sz w:val="24"/>
          <w:szCs w:val="24"/>
        </w:rPr>
        <w:t xml:space="preserve">Standard economic models predicated on the Efficient Market Hypothesis (EMH) assume that market participants act rationally to maximize expected utility. However, seminal research in behavioral finance by Kahneman &amp; Tversky (1979) on Prospect Theory demonstrated that human beings exhibit cognitive biases and asymmetric loss aversion—individuals feel the emotional pain of a financial loss more than twice as intensely as the joy of an equivalent gain.</w:t>
      </w:r>
    </w:p>
    <w:p>
      <w:pPr>
        <w:jc w:val="both"/>
        <w:spacing w:before="100" w:after="100" w:line="360" w:lineRule="auto"/>
      </w:pPr>
      <w:r>
        <w:rPr>
          <w:rFonts w:ascii="Times New Roman" w:hAnsi="Times New Roman" w:cs="Times New Roman"/>
          <w:sz w:val="24"/>
          <w:szCs w:val="24"/>
        </w:rPr>
        <w:t xml:space="preserve">In volatile digital asset markets, these cognitive biases manifest as two dominant behavioral failure modes:</w:t>
      </w:r>
    </w:p>
    <w:p>
      <w:pPr>
        <w:jc w:val="both"/>
        <w:spacing w:before="100" w:after="100" w:line="360" w:lineRule="auto"/>
      </w:pPr>
      <w:r>
        <w:rPr>
          <w:rFonts w:ascii="Times New Roman" w:hAnsi="Times New Roman" w:cs="Times New Roman"/>
          <w:sz w:val="24"/>
          <w:szCs w:val="24"/>
        </w:rPr>
        <w:t xml:space="preserve">• Fear of Missing Out (FOMO): Driven by herd behavior and upward price momentum, investors execute market buy orders at local price peaks, buying into exhausted rallies and subsequently suffering steep drawdowns.</w:t>
      </w:r>
    </w:p>
    <w:p>
      <w:pPr>
        <w:jc w:val="both"/>
        <w:spacing w:before="100" w:after="100" w:line="360" w:lineRule="auto"/>
      </w:pPr>
      <w:r>
        <w:rPr>
          <w:rFonts w:ascii="Times New Roman" w:hAnsi="Times New Roman" w:cs="Times New Roman"/>
          <w:sz w:val="24"/>
          <w:szCs w:val="24"/>
        </w:rPr>
        <w:t xml:space="preserve">• Panic Selling: Driven by asymmetric loss aversion, sudden price dips cause retail investors to sell assets near market troughs, locking in permanent capital losses.</w:t>
      </w:r>
    </w:p>
    <w:p>
      <w:pPr>
        <w:jc w:val="both"/>
        <w:spacing w:before="100" w:after="100" w:line="360" w:lineRule="auto"/>
      </w:pPr>
      <w:r>
        <w:rPr>
          <w:rFonts w:ascii="Times New Roman" w:hAnsi="Times New Roman" w:cs="Times New Roman"/>
          <w:sz w:val="24"/>
          <w:szCs w:val="24"/>
        </w:rPr>
        <w:t xml:space="preserve">To mitigate these irrational behavioral impulses, recent human-computer interaction (HCI) and financial technology research has focused on 'Choice Architecture' and behavioral nudges (Thaler &amp; Sunstein, 2008). In algorithmic trading systems, injecting deliberate friction—such as mandatory cooling-off countdown periods (e.g., a 10-minute timer) before confirming buy orders on surging assets—has been shown to interrupt emotional amygdala hijacking, prompting users to re-evaluate trades analytically.</w:t>
      </w:r>
    </w:p>
    <w:p>
      <w:pPr>
        <w:jc w:val="left"/>
        <w:spacing w:before="160" w:after="100" w:line="360" w:lineRule="auto"/>
      </w:pPr>
      <w:r>
        <w:rPr>
          <w:rFonts w:ascii="Times New Roman" w:hAnsi="Times New Roman" w:cs="Times New Roman"/>
          <w:sz w:val="26"/>
          <w:szCs w:val="26"/>
          <w:b/>
        </w:rPr>
        <w:t xml:space="preserve">2.2.5 Quantitative Portfolio Risk Modeling and Asset Allocation</w:t>
      </w:r>
    </w:p>
    <w:p>
      <w:pPr>
        <w:jc w:val="both"/>
        <w:spacing w:before="100" w:after="100" w:line="360" w:lineRule="auto"/>
      </w:pPr>
      <w:r>
        <w:rPr>
          <w:rFonts w:ascii="Times New Roman" w:hAnsi="Times New Roman" w:cs="Times New Roman"/>
          <w:sz w:val="24"/>
          <w:szCs w:val="24"/>
        </w:rPr>
        <w:t xml:space="preserve">Modern Portfolio Theory (MPT), originally pioneered by Nobel laureate Harry Markowitz (1952), demonstrated that portfolio variance can be minimized through diversification across uncorrelated assets. In the digital asset space, however, traditional variance models often fail during market crises due to high inter-asset correlation with Bitcoin (BTC) and Ethereum (ETH).</w:t>
      </w:r>
    </w:p>
    <w:p>
      <w:pPr>
        <w:jc w:val="both"/>
        <w:spacing w:before="100" w:after="100" w:line="360" w:lineRule="auto"/>
      </w:pPr>
      <w:r>
        <w:rPr>
          <w:rFonts w:ascii="Times New Roman" w:hAnsi="Times New Roman" w:cs="Times New Roman"/>
          <w:sz w:val="24"/>
          <w:szCs w:val="24"/>
        </w:rPr>
        <w:t xml:space="preserve">Advanced portfolio monitoring systems integrate quantitative risk metrics, primarily:</w:t>
      </w:r>
    </w:p>
    <w:p>
      <w:pPr>
        <w:jc w:val="both"/>
        <w:spacing w:before="100" w:after="100" w:line="360" w:lineRule="auto"/>
      </w:pPr>
      <w:r>
        <w:rPr>
          <w:rFonts w:ascii="Times New Roman" w:hAnsi="Times New Roman" w:cs="Times New Roman"/>
          <w:sz w:val="24"/>
          <w:szCs w:val="24"/>
        </w:rPr>
        <w:t xml:space="preserve">1. Herfindahl-Hirschman Index (HHI) for Concentration Risk: Derived from antitrust and economic market concentration models, the HHI calculates the sum of the squared portfolio weightings:</w:t>
      </w:r>
    </w:p>
    <w:p>
      <w:pPr>
        <w:jc w:val="both"/>
        <w:spacing w:before="100" w:after="100" w:line="360" w:lineRule="auto"/>
      </w:pPr>
      <w:r>
        <w:rPr>
          <w:rFonts w:ascii="Times New Roman" w:hAnsi="Times New Roman" w:cs="Times New Roman"/>
          <w:sz w:val="24"/>
          <w:szCs w:val="24"/>
        </w:rPr>
        <w:t xml:space="preserve">HHI = sum( (w_i * 100)^2 )</w:t>
      </w:r>
    </w:p>
    <w:p>
      <w:pPr>
        <w:jc w:val="both"/>
        <w:spacing w:before="100" w:after="100" w:line="360" w:lineRule="auto"/>
      </w:pPr>
      <w:r>
        <w:rPr>
          <w:rFonts w:ascii="Times New Roman" w:hAnsi="Times New Roman" w:cs="Times New Roman"/>
          <w:sz w:val="24"/>
          <w:szCs w:val="24"/>
        </w:rPr>
        <w:t xml:space="preserve">An HHI score approaching 10,000 indicates a portfolio completely concentrated in a single asset, whereas scores below 1,500 indicate healthy diversification across multiple independent digital assets.</w:t>
      </w:r>
    </w:p>
    <w:p>
      <w:pPr>
        <w:jc w:val="both"/>
        <w:spacing w:before="100" w:after="100" w:line="360" w:lineRule="auto"/>
      </w:pPr>
      <w:r>
        <w:rPr>
          <w:rFonts w:ascii="Times New Roman" w:hAnsi="Times New Roman" w:cs="Times New Roman"/>
          <w:sz w:val="24"/>
          <w:szCs w:val="24"/>
        </w:rPr>
        <w:t xml:space="preserve">2. Asset Beta and Volatility Weighting: The systemic sensitivity of individual crypto-assets relative to the broader market index reflects their volatility profile. Blue-chip assets (BTC, ETH) exhibit lower beta compared to small-market-capitalization altcoins, which possess high idiosyncratic volatility and liquidity risks.</w:t>
      </w:r>
    </w:p>
    <w:p>
      <w:pPr>
        <w:jc w:val="left"/>
        <w:spacing w:before="160" w:after="100" w:line="360" w:lineRule="auto"/>
      </w:pPr>
      <w:r>
        <w:rPr>
          <w:rFonts w:ascii="Times New Roman" w:hAnsi="Times New Roman" w:cs="Times New Roman"/>
          <w:sz w:val="26"/>
          <w:szCs w:val="26"/>
          <w:b/>
        </w:rPr>
        <w:t xml:space="preserve">2.2.6 Automated Cost-Basis and Tax-Lot Accounting Methodologies</w:t>
      </w:r>
    </w:p>
    <w:p>
      <w:pPr>
        <w:jc w:val="both"/>
        <w:spacing w:before="100" w:after="100" w:line="360" w:lineRule="auto"/>
      </w:pPr>
      <w:r>
        <w:rPr>
          <w:rFonts w:ascii="Times New Roman" w:hAnsi="Times New Roman" w:cs="Times New Roman"/>
          <w:sz w:val="24"/>
          <w:szCs w:val="24"/>
        </w:rPr>
        <w:t xml:space="preserve">Taxation authorities globally—including the United States Internal Revenue Service (IRS Notice 2014-21) and international revenue frameworks—classify cryptocurrencies as property rather than fiat currency. Consequently, every disposition (selling crypto for fiat, trading one crypto for another, or purchasing goods) triggers a taxable capital gain or loss calculation:</w:t>
      </w:r>
    </w:p>
    <w:p>
      <w:pPr>
        <w:jc w:val="both"/>
        <w:spacing w:before="100" w:after="100" w:line="360" w:lineRule="auto"/>
      </w:pPr>
      <w:r>
        <w:rPr>
          <w:rFonts w:ascii="Times New Roman" w:hAnsi="Times New Roman" w:cs="Times New Roman"/>
          <w:sz w:val="24"/>
          <w:szCs w:val="24"/>
        </w:rPr>
        <w:t xml:space="preserve">Capital Gain / Loss = Gross Proceeds - Adjusted Cost Basis</w:t>
      </w:r>
    </w:p>
    <w:p>
      <w:pPr>
        <w:jc w:val="both"/>
        <w:spacing w:before="100" w:after="100" w:line="360" w:lineRule="auto"/>
      </w:pPr>
      <w:r>
        <w:rPr>
          <w:rFonts w:ascii="Times New Roman" w:hAnsi="Times New Roman" w:cs="Times New Roman"/>
          <w:sz w:val="24"/>
          <w:szCs w:val="24"/>
        </w:rPr>
        <w:t xml:space="preserve">Calculating tax liability across hundreds of fragmented transactions requires systematic tax-lot matching engines that trace historical purchase tranches. Three principal accounting methodologies are recognized:</w:t>
      </w:r>
    </w:p>
    <w:p>
      <w:pPr>
        <w:jc w:val="both"/>
        <w:spacing w:before="100" w:after="100" w:line="360" w:lineRule="auto"/>
      </w:pPr>
      <w:r>
        <w:rPr>
          <w:rFonts w:ascii="Times New Roman" w:hAnsi="Times New Roman" w:cs="Times New Roman"/>
          <w:sz w:val="24"/>
          <w:szCs w:val="24"/>
        </w:rPr>
        <w:t xml:space="preserve">• First-In, First-Out (FIFO): Assumes that the earliest acquired asset lots are liquidated first. In appreciating bull markets, FIFO generally yields the highest recognized capital gains and highest immediate tax liability.</w:t>
      </w:r>
    </w:p>
    <w:p>
      <w:pPr>
        <w:jc w:val="both"/>
        <w:spacing w:before="100" w:after="100" w:line="360" w:lineRule="auto"/>
      </w:pPr>
      <w:r>
        <w:rPr>
          <w:rFonts w:ascii="Times New Roman" w:hAnsi="Times New Roman" w:cs="Times New Roman"/>
          <w:sz w:val="24"/>
          <w:szCs w:val="24"/>
        </w:rPr>
        <w:t xml:space="preserve">• Last-In, First-Out (LIFO): Assumes that the most recently acquired asset lots are liquidated first. In rising markets, LIFO often matches recent high purchase prices, reducing short-term taxable gains.</w:t>
      </w:r>
    </w:p>
    <w:p>
      <w:pPr>
        <w:jc w:val="both"/>
        <w:spacing w:before="100" w:after="100" w:line="360" w:lineRule="auto"/>
      </w:pPr>
      <w:r>
        <w:rPr>
          <w:rFonts w:ascii="Times New Roman" w:hAnsi="Times New Roman" w:cs="Times New Roman"/>
          <w:sz w:val="24"/>
          <w:szCs w:val="24"/>
        </w:rPr>
        <w:t xml:space="preserve">• Highest-In, First-Out (HIFO): A tax-minimization methodology that matches dispositions against the highest acquisition price lots across the investor's entire purchase history, minimizing immediate net taxable capital gains.</w:t>
      </w:r>
    </w:p>
    <w:p>
      <w:pPr>
        <w:jc w:val="both"/>
        <w:spacing w:before="100" w:after="100" w:line="360" w:lineRule="auto"/>
      </w:pPr>
      <w:r>
        <w:rPr>
          <w:rFonts w:ascii="Times New Roman" w:hAnsi="Times New Roman" w:cs="Times New Roman"/>
          <w:sz w:val="24"/>
          <w:szCs w:val="24"/>
        </w:rPr>
        <w:t xml:space="preserve">Automating these tax-lot calculations within a centralized portfolio engine eliminates laborious spreadsheet accounting, minimizes human calculation errors, and generates audit-ready compliance reports (e.g., IRS Form 8949 formatting).</w:t>
      </w:r>
    </w:p>
    <w:p>
      <w:pPr>
        <w:jc w:val="left"/>
        <w:spacing w:before="160" w:after="100" w:line="360" w:lineRule="auto"/>
      </w:pPr>
      <w:r>
        <w:rPr>
          <w:rFonts w:ascii="Times New Roman" w:hAnsi="Times New Roman" w:cs="Times New Roman"/>
          <w:sz w:val="26"/>
          <w:szCs w:val="26"/>
          <w:b/>
        </w:rPr>
        <w:t xml:space="preserve">2.2.7 Comparative Analysis of Existing Solutions and Methodologies</w:t>
      </w:r>
    </w:p>
    <w:p>
      <w:pPr>
        <w:jc w:val="both"/>
        <w:spacing w:before="100" w:after="100" w:line="360" w:lineRule="auto"/>
      </w:pPr>
      <w:r>
        <w:rPr>
          <w:rFonts w:ascii="Times New Roman" w:hAnsi="Times New Roman" w:cs="Times New Roman"/>
          <w:sz w:val="24"/>
          <w:szCs w:val="24"/>
        </w:rPr>
        <w:t xml:space="preserve">Table 2.1 presents a comprehensive comparative analysis of existing commercial and academic digital asset tracking platforms alongside the proposed Cryptocurrency Management System:</w:t>
      </w:r>
    </w:p>
    <w:p>
      <w:pPr>
        <w:jc w:val="both"/>
        <w:spacing w:before="100" w:after="100" w:line="360" w:lineRule="auto"/>
      </w:pPr>
      <w:r>
        <w:rPr>
          <w:rFonts w:ascii="Times New Roman" w:hAnsi="Times New Roman" w:cs="Times New Roman"/>
          <w:sz w:val="24"/>
          <w:szCs w:val="24"/>
        </w:rPr>
        <w:t xml:space="preserve"/>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Feature / Architectural Dimension</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CoinMarketCap / CoinGecko</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Traditional Brokerages (Robinhood)</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Portfolio Trackers (CoinStats, Delta)</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Proposed System (CryptoPulse)</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Market Data Streaming</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Periodic HTTP Polling (High Latency)</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Proprietary internal quotes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Hybrid Polling / WebSockets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Direct Binance WebSocket Stream (!miniTicker@arr)</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Trading Execution Mode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Informational Only (No execution)</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Custodial execution (Holds keys &amp; fiat)</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Paid API key integration / Limited</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Non-Custodial Multi-Mode: Paper ($10k), Testnet, Fiat On-Ramp</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Security &amp; Key Management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N/A (No key storage)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Centralized database custody</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Encrypted cloud storage (Proprietary)</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Server-Side AES-256-GCM + Non-Custodial Key Rejection + PostgreSQL RLS</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Global Trading Kill-Switch</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Not Applicable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Internal administrative halt</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Admin Terminal Controlled Global Kill Switch (HTTP 503 Guard)</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Behavioral Risk Interventions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Basic price threshold alerts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Regret Guard (FOMO cooling timer) + Trade Journal (Emotion tags)</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Portfolio Risk Modeling</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Basic P&amp;L charts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Basic allocation pie charts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Risk Pulse (0–100 HHI Concentration &amp; Volatility + Rebalance)</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Tax-Lot Accounting Engine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Absent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Annual 1099 Form (Custodial)</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Paid Tier Subscription</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Real-time FIFO, LIFO, and HIFO Engine + IRS Form 8949 CSV Export</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Historical &amp; AI Analytics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Static historical charts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Technical charting only</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Historical performance graphs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Time Machine Simulator (DCA &amp; Lump-Sum) + Explain the Move (AI Catalyst)</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Platform Cost &amp; Accessibility</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Free / Ad-Supported</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Trading spreads &amp; commissions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Subscription-based tiers ($10–$30/mo)</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Open-source academic stack (Zero subscription cost)</w:t>
            </w:r>
          </w:p>
        </w:tc>
      </w:tr>
    </w:tbl>
    <w:p>
      <w:pPr>
        <w:jc w:val="both"/>
        <w:spacing w:before="100" w:after="100" w:line="360" w:lineRule="auto"/>
      </w:pPr>
      <w:r>
        <w:rPr>
          <w:rFonts w:ascii="Times New Roman" w:hAnsi="Times New Roman" w:cs="Times New Roman"/>
          <w:sz w:val="24"/>
          <w:szCs w:val="24"/>
        </w:rPr>
        <w:t xml:space="preserve"/>
      </w:r>
    </w:p>
    <w:p>
      <w:pPr>
        <w:jc w:val="left"/>
        <w:spacing w:before="160" w:after="100" w:line="360" w:lineRule="auto"/>
      </w:pPr>
      <w:r>
        <w:rPr>
          <w:rFonts w:ascii="Times New Roman" w:hAnsi="Times New Roman" w:cs="Times New Roman"/>
          <w:sz w:val="26"/>
          <w:szCs w:val="26"/>
          <w:b/>
        </w:rPr>
        <w:t xml:space="preserve">2.2.8 Identified Research and Engineering Gaps</w:t>
      </w:r>
    </w:p>
    <w:p>
      <w:pPr>
        <w:jc w:val="both"/>
        <w:spacing w:before="100" w:after="100" w:line="360" w:lineRule="auto"/>
      </w:pPr>
      <w:r>
        <w:rPr>
          <w:rFonts w:ascii="Times New Roman" w:hAnsi="Times New Roman" w:cs="Times New Roman"/>
          <w:sz w:val="24"/>
          <w:szCs w:val="24"/>
        </w:rPr>
        <w:t xml:space="preserve">A critical synthesis of the reviewed literature and existing commercial platforms reveals several major engineering and research deficiencies:</w:t>
      </w:r>
    </w:p>
    <w:p>
      <w:pPr>
        <w:jc w:val="both"/>
        <w:spacing w:before="100" w:after="100" w:line="360" w:lineRule="auto"/>
      </w:pPr>
      <w:r>
        <w:rPr>
          <w:rFonts w:ascii="Times New Roman" w:hAnsi="Times New Roman" w:cs="Times New Roman"/>
          <w:sz w:val="24"/>
          <w:szCs w:val="24"/>
        </w:rPr>
        <w:t xml:space="preserve">1. Dichotomy Between Pure Trackers and Custodial Exchanges: Existing solutions are fundamentally bifurcated. Market trackers (CoinGecko, CoinMarketCap) provide informative dashboards but lack real-time portfolio transaction execution and private key integration. Conversely, centralized exchanges provide trading execution but require complete custody of user funds and offer negligible multi-asset portfolio analytics.</w:t>
      </w:r>
    </w:p>
    <w:p>
      <w:pPr>
        <w:jc w:val="both"/>
        <w:spacing w:before="100" w:after="100" w:line="360" w:lineRule="auto"/>
      </w:pPr>
      <w:r>
        <w:rPr>
          <w:rFonts w:ascii="Times New Roman" w:hAnsi="Times New Roman" w:cs="Times New Roman"/>
          <w:sz w:val="24"/>
          <w:szCs w:val="24"/>
        </w:rPr>
        <w:t xml:space="preserve">2. Neglect of Behavioral and Psychological Trading Biases: While commercial applications focus primarily on increasing trading volume through frictionless execution, they systematically ignore retail investor psychology. None of the mainstream commercial trackers incorporate behavioral friction (such as FOMO cooling-off timers or emotional journaling) to safeguard retail investors against impulsive market top buying.</w:t>
      </w:r>
    </w:p>
    <w:p>
      <w:pPr>
        <w:jc w:val="both"/>
        <w:spacing w:before="100" w:after="100" w:line="360" w:lineRule="auto"/>
      </w:pPr>
      <w:r>
        <w:rPr>
          <w:rFonts w:ascii="Times New Roman" w:hAnsi="Times New Roman" w:cs="Times New Roman"/>
          <w:sz w:val="24"/>
          <w:szCs w:val="24"/>
        </w:rPr>
        <w:t xml:space="preserve">3. Monetization and Proprietary Lock-In of Tax and Risk Tools: Essential analytical capabilities—such as automated HIFO/FIFO tax-lot matching, concentration risk scoring, and DCA backtesting—are routinely gatekept behind expensive, proprietary subscription tiers (costing $150 to $500 annually), preventing students and retail participants from accessing sound financial management tools.</w:t>
      </w:r>
    </w:p>
    <w:p>
      <w:pPr>
        <w:jc w:val="both"/>
        <w:spacing w:before="100" w:after="100" w:line="360" w:lineRule="auto"/>
      </w:pPr>
      <w:r>
        <w:rPr>
          <w:rFonts w:ascii="Times New Roman" w:hAnsi="Times New Roman" w:cs="Times New Roman"/>
          <w:sz w:val="24"/>
          <w:szCs w:val="24"/>
        </w:rPr>
        <w:t xml:space="preserve">4. Transparent, Zero-Cost Academic Reference Architectures: The academic literature lacks an open, extensible, full-stack reference architecture that unites real-time WebSocket market streaming, non-custodial testnet trading, AES-256-GCM authenticated credential encryption, and automated tax accounting into a single, cohesive software engineering framework.</w:t>
      </w:r>
    </w:p>
    <w:p>
      <w:pPr>
        <w:jc w:val="both"/>
        <w:spacing w:before="100" w:after="100" w:line="360" w:lineRule="auto"/>
      </w:pPr>
      <w:r>
        <w:rPr>
          <w:rFonts w:ascii="Times New Roman" w:hAnsi="Times New Roman" w:cs="Times New Roman"/>
          <w:sz w:val="24"/>
          <w:szCs w:val="24"/>
        </w:rPr>
        <w:t xml:space="preserve">The Cryptocurrency Management System developed in this project directly addresses these identified gaps, delivering an open-source, non-custodial, and academically rigorous platform.</w:t>
      </w:r>
    </w:p>
    <w:p>
      <w:r>
        <w:br w:type="page"/>
      </w:r>
    </w:p>
    <w:p>
      <w:pPr>
        <w:jc w:val="center"/>
        <w:spacing w:before="240" w:after="180" w:line="360" w:lineRule="auto"/>
      </w:pPr>
      <w:r>
        <w:rPr>
          <w:rFonts w:ascii="Times New Roman" w:hAnsi="Times New Roman" w:cs="Times New Roman"/>
          <w:sz w:val="32"/>
          <w:szCs w:val="32"/>
          <w:b/>
        </w:rPr>
        <w:t xml:space="preserve">CHAPTER 3</w:t>
      </w:r>
    </w:p>
    <w:p>
      <w:pPr>
        <w:jc w:val="center"/>
        <w:spacing w:before="240" w:after="180" w:line="360" w:lineRule="auto"/>
      </w:pPr>
      <w:r>
        <w:rPr>
          <w:rFonts w:ascii="Times New Roman" w:hAnsi="Times New Roman" w:cs="Times New Roman"/>
          <w:sz w:val="32"/>
          <w:szCs w:val="32"/>
          <w:b/>
        </w:rPr>
        <w:t xml:space="preserve">PROPOSED WORK AND METHODOLOGY</w:t>
      </w:r>
    </w:p>
    <w:p>
      <w:pPr>
        <w:jc w:val="left"/>
        <w:spacing w:before="200" w:after="140" w:line="360" w:lineRule="auto"/>
      </w:pPr>
      <w:r>
        <w:rPr>
          <w:rFonts w:ascii="Times New Roman" w:hAnsi="Times New Roman" w:cs="Times New Roman"/>
          <w:sz w:val="28"/>
          <w:szCs w:val="28"/>
          <w:b/>
        </w:rPr>
        <w:t xml:space="preserve">3.1 Multi-Tiered System Architecture</w:t>
      </w:r>
    </w:p>
    <w:p>
      <w:pPr>
        <w:jc w:val="both"/>
        <w:spacing w:before="100" w:after="100" w:line="360" w:lineRule="auto"/>
      </w:pPr>
      <w:r>
        <w:rPr>
          <w:rFonts w:ascii="Times New Roman" w:hAnsi="Times New Roman" w:cs="Times New Roman"/>
          <w:sz w:val="24"/>
          <w:szCs w:val="24"/>
        </w:rPr>
        <w:t xml:space="preserve">To overcome the architectural fragmentation, latency overhead, and security liabilities identified in existing commercial cryptocurrency solutions, the Cryptocurrency Management System is formulated as an enterprise-grade, multi-tiered full-stack architecture. The system establishes distinct physical and logical separation across five foundational tiers:</w:t>
      </w:r>
    </w:p>
    <w:p>
      <w:pPr>
        <w:jc w:val="both"/>
        <w:spacing w:before="100" w:after="100" w:line="360" w:lineRule="auto"/>
      </w:pPr>
      <w:r>
        <w:rPr>
          <w:rFonts w:ascii="Times New Roman" w:hAnsi="Times New Roman" w:cs="Times New Roman"/>
          <w:sz w:val="24"/>
          <w:szCs w:val="24"/>
        </w:rPr>
        <w:t xml:space="preserve">1. Presentation Layer (Client Tier): Developed using React 18, Tailwind CSS, and headless accessible primitives from Radix UI. This layer manages declarative interface rendering, reactive state binding, dynamic visual charts (via Recharts), and responsive layout adaptation across desktop, tablet, and mobile displays.</w:t>
      </w:r>
    </w:p>
    <w:p>
      <w:pPr>
        <w:jc w:val="both"/>
        <w:spacing w:before="100" w:after="100" w:line="360" w:lineRule="auto"/>
      </w:pPr>
      <w:r>
        <w:rPr>
          <w:rFonts w:ascii="Times New Roman" w:hAnsi="Times New Roman" w:cs="Times New Roman"/>
          <w:sz w:val="24"/>
          <w:szCs w:val="24"/>
        </w:rPr>
        <w:t xml:space="preserve">2. Application and Edge Routing Layer (Middleware Tier): Built upon the Next.js 14 App Router environment. It incorporates server-side edge middleware for route protection, HTTP session hydration, CSRF token validation, and token-bucket sliding-window rate limiting.</w:t>
      </w:r>
    </w:p>
    <w:p>
      <w:pPr>
        <w:jc w:val="both"/>
        <w:spacing w:before="100" w:after="100" w:line="360" w:lineRule="auto"/>
      </w:pPr>
      <w:r>
        <w:rPr>
          <w:rFonts w:ascii="Times New Roman" w:hAnsi="Times New Roman" w:cs="Times New Roman"/>
          <w:sz w:val="24"/>
          <w:szCs w:val="24"/>
        </w:rPr>
        <w:t xml:space="preserve">3. Business Logic and Service Layer: Implemented as isolated server-side API Route Handlers. This tier encapsulates order validation (Zod schemas), cryptographic operations (AES-256-GCM cipher encryption/decryption), HMAC-SHA256 exchange signature dispatching, and emergency kill-switch circuit breaker verification.</w:t>
      </w:r>
    </w:p>
    <w:p>
      <w:pPr>
        <w:jc w:val="both"/>
        <w:spacing w:before="100" w:after="100" w:line="360" w:lineRule="auto"/>
      </w:pPr>
      <w:r>
        <w:rPr>
          <w:rFonts w:ascii="Times New Roman" w:hAnsi="Times New Roman" w:cs="Times New Roman"/>
          <w:sz w:val="24"/>
          <w:szCs w:val="24"/>
        </w:rPr>
        <w:t xml:space="preserve">4. Data Persistence and Security Layer: Anchored by Supabase PostgreSQL, utilizing declarative Row Level Security (RLS) policies to mathematically isolate tenant records. Real-time changes are synchronized to active client sessions via PostgreSQL Change Data Capture (CDC) over WebSockets.</w:t>
      </w:r>
    </w:p>
    <w:p>
      <w:pPr>
        <w:jc w:val="both"/>
        <w:spacing w:before="100" w:after="100" w:line="360" w:lineRule="auto"/>
      </w:pPr>
      <w:r>
        <w:rPr>
          <w:rFonts w:ascii="Times New Roman" w:hAnsi="Times New Roman" w:cs="Times New Roman"/>
          <w:sz w:val="24"/>
          <w:szCs w:val="24"/>
        </w:rPr>
        <w:t xml:space="preserve">5. External Integration Layer: Orchestrates bi-directional communications with external decentralized and centralized nodes, including the Binance WebSocket mini-ticker array (!miniTicker@arr), CoinGecko REST endpoints for historical asset breadth, the Binance Spot Testnet execution gateway, and the Google Gemini Generative AI API.</w:t>
      </w:r>
    </w:p>
    <w:p>
      <w:pPr>
        <w:jc w:val="left"/>
        <w:spacing w:before="100" w:after="0" w:line="280" w:lineRule="auto"/>
        <w:pBdr>
          <w:left w:val="single" w:sz="24" w:space="18" w:color="2563EB"/>
        </w:pBdr>
        <w:shd w:val="clear" w:color="auto" w:fill="F8FAFC"/>
      </w:pPr>
      <w:r>
        <w:rPr>
          <w:rFonts w:ascii="Times New Roman" w:hAnsi="Times New Roman"/>
          <w:b/>
          <w:sz w:val="22"/>
          <w:color w:val="2563EB"/>
        </w:rPr>
        <w:t xml:space="preserve">[ARCHITECTURE] </w:t>
      </w:r>
      <w:r>
        <w:rPr>
          <w:rFonts w:ascii="Times New Roman" w:hAnsi="Times New Roman"/>
          <w:sz w:val="22"/>
          <w:color w:val="1E293B"/>
        </w:rPr>
        <w:t xml:space="preserve">+-----------------------------------------------------------------------------------+</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CRYPTOCURRENCY MANAGEMENT SYSTEM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TIER 1: PRESENTATION LAYER (React 18, Tailwind CSS, Radix UI, Recharts)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Dashboard View   - Market/Watchlist   - Portfolio Analytics  - Trading Terminal|</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Insights Hub     - Regret Guard Modal - Tax-Lot Tracker      - Admin Console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(HTTPS / WSS JSON)</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v</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TIER 2: EDGE ROUTING &amp; MIDDLEWARE (Next.js 14 App Router, Rate Limiter)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Session Token Verification  - Sliding Window Token Bucket  - CSRF Guards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v</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TIER 3: BUSINESS LOGIC &amp; ENCRYPTION VAULT (Server-Side Route Handlers)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Zod Request Validation       - AES-256-GCM Envelope Encryption/Decryption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Binance HMAC-SHA256 Signer   - Global Trading Kill Switch (503 Service Guard)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v (SQL with RLS)                       v (HTTPS / WSS)</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TIER 4: DATA PERSISTENCE LAYER        |   |  TIER 5: EXTERNAL INTEGRATIONS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Supabase PostgreSQL Database        |   |  - Binance WebSocket Stream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Row Level Security (RLS) Isolation  |   |  - Binance Spot Testnet REST API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Tables: profiles, transactions,     |   |  - CoinGecko Market Aggregator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watchlists, price_alerts, keys      |   |  - Google Gemini AI (Explain Move)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w:r>
    </w:p>
    <w:p>
      <w:pPr>
        <w:jc w:val="left"/>
        <w:spacing w:before="0" w:after="100" w:line="280" w:lineRule="auto"/>
        <w:pBdr>
          <w:left w:val="single" w:sz="24" w:space="18" w:color="2563EB"/>
        </w:pBdr>
        <w:shd w:val="clear" w:color="auto" w:fill="F8FAFC"/>
      </w:pPr>
      <w:r>
        <w:rPr>
          <w:rFonts w:ascii="Times New Roman" w:hAnsi="Times New Roman"/>
          <w:sz w:val="22"/>
          <w:color w:val="1E293B"/>
        </w:rPr>
        <w:t xml:space="preserve">FIGURE 3.1: CRYPTOCURRENCY MANAGEMENT SYSTEM MULTI-TIERED ARCHITECTURE</w:t>
      </w:r>
    </w:p>
    <w:p>
      <w:pPr>
        <w:jc w:val="both"/>
        <w:spacing w:before="40" w:after="6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3.2 Formal Mathematical Formulations and Computational Models</w:t>
      </w:r>
    </w:p>
    <w:p>
      <w:pPr>
        <w:jc w:val="both"/>
        <w:spacing w:before="100" w:after="100" w:line="360" w:lineRule="auto"/>
      </w:pPr>
      <w:r>
        <w:rPr>
          <w:rFonts w:ascii="Times New Roman" w:hAnsi="Times New Roman" w:cs="Times New Roman"/>
          <w:sz w:val="24"/>
          <w:szCs w:val="24"/>
        </w:rPr>
        <w:t xml:space="preserve">To guarantee institutional precision and mathematical rigor in portfolio valuation, risk diagnostics, and tax compliance, the platform formalizes its analytical engine through the following mathematical models (summarized in Table 3.3):</w:t>
      </w:r>
    </w:p>
    <w:p>
      <w:pPr>
        <w:jc w:val="left"/>
        <w:spacing w:before="160" w:after="100" w:line="360" w:lineRule="auto"/>
      </w:pPr>
      <w:r>
        <w:rPr>
          <w:rFonts w:ascii="Times New Roman" w:hAnsi="Times New Roman" w:cs="Times New Roman"/>
          <w:sz w:val="26"/>
          <w:szCs w:val="26"/>
          <w:b/>
        </w:rPr>
        <w:t xml:space="preserve">3.2.1 Portfolio Valuation and Unrealized Profit/Loss Formulations</w:t>
      </w:r>
    </w:p>
    <w:p>
      <w:pPr>
        <w:jc w:val="both"/>
        <w:spacing w:before="100" w:after="100" w:line="360" w:lineRule="auto"/>
      </w:pPr>
      <w:r>
        <w:rPr>
          <w:rFonts w:ascii="Times New Roman" w:hAnsi="Times New Roman" w:cs="Times New Roman"/>
          <w:sz w:val="24"/>
          <w:szCs w:val="24"/>
        </w:rPr>
        <w:t xml:space="preserve">For a portfolio containing N distinct cryptocurrency assets, let Q_i represent the net circulating quantity of asset i held, and let P_i(t) denote the real-time spot price of asset i at timestamp t, continuously updated via the Binance WebSocket ticker stream. The aggregate total portfolio market value V_portfolio(t) is defined as:</w:t>
      </w:r>
    </w:p>
    <w:p>
      <w:pPr>
        <w:jc w:val="left"/>
        <w:spacing w:before="100" w:after="0" w:line="280" w:lineRule="auto"/>
        <w:pBdr>
          <w:left w:val="single" w:sz="24" w:space="18" w:color="1D4ED8"/>
        </w:pBdr>
        <w:shd w:val="clear" w:color="auto" w:fill="EFF6FF"/>
      </w:pPr>
      <w:r>
        <w:rPr>
          <w:rFonts w:ascii="Times New Roman" w:hAnsi="Times New Roman"/>
          <w:b/>
          <w:sz w:val="22"/>
          <w:color w:val="1D4ED8"/>
        </w:rPr>
        <w:t xml:space="preserve">[EQUATION 3.1] </w:t>
      </w:r>
      <w:r>
        <w:rPr>
          <w:rFonts w:ascii="Times New Roman" w:hAnsi="Times New Roman"/>
          <w:sz w:val="22"/>
          <w:color w:val="1E293B"/>
        </w:rPr>
        <w:t xml:space="preserve">V_portfolio(t) = \sum_{i=1}^{N} Q_i \cdot P_i(t)</w:t>
      </w:r>
    </w:p>
    <w:p>
      <w:pPr>
        <w:jc w:val="left"/>
        <w:spacing w:before="0" w:after="0" w:line="280" w:lineRule="auto"/>
        <w:pBdr>
          <w:left w:val="single" w:sz="24" w:space="18" w:color="1D4ED8"/>
        </w:pBdr>
        <w:shd w:val="clear" w:color="auto" w:fill="EFF6FF"/>
      </w:pPr>
      <w:r>
        <w:rPr>
          <w:rFonts w:ascii="Times New Roman" w:hAnsi="Times New Roman"/>
          <w:sz w:val="22"/>
          <w:color w:val="1E293B"/>
        </w:rPr>
        <w:t xml:space="preserve"/>
      </w:r>
    </w:p>
    <w:p>
      <w:pPr>
        <w:jc w:val="left"/>
        <w:spacing w:before="0" w:after="100" w:line="280" w:lineRule="auto"/>
        <w:pBdr>
          <w:left w:val="single" w:sz="24" w:space="18" w:color="1D4ED8"/>
        </w:pBdr>
        <w:shd w:val="clear" w:color="auto" w:fill="EFF6FF"/>
      </w:pPr>
      <w:r>
        <w:rPr>
          <w:rFonts w:ascii="Times New Roman" w:hAnsi="Times New Roman"/>
          <w:sz w:val="22"/>
          <w:color w:val="1E293B"/>
        </w:rPr>
        <w:t xml:space="preserve">where Q_i = \sum_{j \in Buy(i)} Q_{buy,j} - \sum_{k \in Sell(i)} Q_{sell,k}</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The historical weighted average acquisition cost basis C_avg(i) for asset i across all cumulative buy transactions is formulated as:</w:t>
      </w:r>
    </w:p>
    <w:p>
      <w:pPr>
        <w:jc w:val="left"/>
        <w:spacing w:before="100" w:after="100" w:line="280" w:lineRule="auto"/>
        <w:pBdr>
          <w:left w:val="single" w:sz="24" w:space="18" w:color="1D4ED8"/>
        </w:pBdr>
        <w:shd w:val="clear" w:color="auto" w:fill="EFF6FF"/>
      </w:pPr>
      <w:r>
        <w:rPr>
          <w:rFonts w:ascii="Times New Roman" w:hAnsi="Times New Roman"/>
          <w:b/>
          <w:sz w:val="22"/>
          <w:color w:val="1D4ED8"/>
        </w:rPr>
        <w:t xml:space="preserve">[EQUATION 3.2] </w:t>
      </w:r>
      <w:r>
        <w:rPr>
          <w:rFonts w:ascii="Times New Roman" w:hAnsi="Times New Roman"/>
          <w:sz w:val="22"/>
          <w:color w:val="1E293B"/>
        </w:rPr>
        <w:t xml:space="preserve">C_avg(i) = \frac{\sum_{j \in Buy(i)} Q_{buy,j} \cdot P_{buy,j}}{\sum_{j \in Buy(i)} Q_{buy,j}}</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The unrealized dollar capital gain or loss PnL_unrealized(i) and normalized percentage return Return_%(i) are dynamically evaluated as:</w:t>
      </w:r>
    </w:p>
    <w:p>
      <w:pPr>
        <w:jc w:val="left"/>
        <w:spacing w:before="100" w:after="0" w:line="280" w:lineRule="auto"/>
        <w:pBdr>
          <w:left w:val="single" w:sz="24" w:space="18" w:color="1D4ED8"/>
        </w:pBdr>
        <w:shd w:val="clear" w:color="auto" w:fill="EFF6FF"/>
      </w:pPr>
      <w:r>
        <w:rPr>
          <w:rFonts w:ascii="Times New Roman" w:hAnsi="Times New Roman"/>
          <w:b/>
          <w:sz w:val="22"/>
          <w:color w:val="1D4ED8"/>
        </w:rPr>
        <w:t xml:space="preserve">[EQUATION 3.3] </w:t>
      </w:r>
      <w:r>
        <w:rPr>
          <w:rFonts w:ascii="Times New Roman" w:hAnsi="Times New Roman"/>
          <w:sz w:val="22"/>
          <w:color w:val="1E293B"/>
        </w:rPr>
        <w:t xml:space="preserve">PnL_unrealized(i) = Q_i \cdot [ P_i(t) - C_avg(i) ]</w:t>
      </w:r>
    </w:p>
    <w:p>
      <w:pPr>
        <w:jc w:val="left"/>
        <w:spacing w:before="0" w:after="0" w:line="280" w:lineRule="auto"/>
        <w:pBdr>
          <w:left w:val="single" w:sz="24" w:space="18" w:color="1D4ED8"/>
        </w:pBdr>
        <w:shd w:val="clear" w:color="auto" w:fill="EFF6FF"/>
      </w:pPr>
      <w:r>
        <w:rPr>
          <w:rFonts w:ascii="Times New Roman" w:hAnsi="Times New Roman"/>
          <w:sz w:val="22"/>
          <w:color w:val="1E293B"/>
        </w:rPr>
        <w:t xml:space="preserve"/>
      </w:r>
    </w:p>
    <w:p>
      <w:pPr>
        <w:jc w:val="left"/>
        <w:spacing w:before="0" w:after="100" w:line="280" w:lineRule="auto"/>
        <w:pBdr>
          <w:left w:val="single" w:sz="24" w:space="18" w:color="1D4ED8"/>
        </w:pBdr>
        <w:shd w:val="clear" w:color="auto" w:fill="EFF6FF"/>
      </w:pPr>
      <w:r>
        <w:rPr>
          <w:rFonts w:ascii="Times New Roman" w:hAnsi="Times New Roman"/>
          <w:sz w:val="22"/>
          <w:color w:val="1E293B"/>
        </w:rPr>
        <w:t xml:space="preserve">Return_%(i) = \left( \frac{P_i(t) - C_avg(i)}{C_avg(i)} \right) \times 100\%</w:t>
      </w:r>
    </w:p>
    <w:p>
      <w:pPr>
        <w:jc w:val="both"/>
        <w:spacing w:before="40" w:after="60" w:line="360" w:lineRule="auto"/>
      </w:pPr>
      <w:r>
        <w:rPr>
          <w:rFonts w:ascii="Times New Roman" w:hAnsi="Times New Roman" w:cs="Times New Roman"/>
          <w:sz w:val="24"/>
          <w:szCs w:val="24"/>
        </w:rPr>
        <w:t xml:space="preserve"/>
      </w:r>
    </w:p>
    <w:p>
      <w:pPr>
        <w:jc w:val="left"/>
        <w:spacing w:before="160" w:after="100" w:line="360" w:lineRule="auto"/>
      </w:pPr>
      <w:r>
        <w:rPr>
          <w:rFonts w:ascii="Times New Roman" w:hAnsi="Times New Roman" w:cs="Times New Roman"/>
          <w:sz w:val="26"/>
          <w:szCs w:val="26"/>
          <w:b/>
        </w:rPr>
        <w:t xml:space="preserve">3.2.2 Herfindahl-Hirschman Index (HHI) Concentration Modeling</w:t>
      </w:r>
    </w:p>
    <w:p>
      <w:pPr>
        <w:jc w:val="both"/>
        <w:spacing w:before="100" w:after="100" w:line="360" w:lineRule="auto"/>
      </w:pPr>
      <w:r>
        <w:rPr>
          <w:rFonts w:ascii="Times New Roman" w:hAnsi="Times New Roman" w:cs="Times New Roman"/>
          <w:sz w:val="24"/>
          <w:szCs w:val="24"/>
        </w:rPr>
        <w:t xml:space="preserve">Portfolio risk in digital assets is primarily driven by concentration vulnerability—where a catastrophic collapse in a single dominant holding induces systemic portfolio ruin. To quantify this vulnerability, the system adapts the Herfindahl-Hirschman Index (HHI), traditionally utilized in antitrust economics, to multi-asset portfolios. Let w_i represent the fractional portfolio weight of holding i:</w:t>
      </w:r>
    </w:p>
    <w:p>
      <w:pPr>
        <w:jc w:val="left"/>
        <w:spacing w:before="100" w:after="0" w:line="280" w:lineRule="auto"/>
        <w:pBdr>
          <w:left w:val="single" w:sz="24" w:space="18" w:color="1D4ED8"/>
        </w:pBdr>
        <w:shd w:val="clear" w:color="auto" w:fill="EFF6FF"/>
      </w:pPr>
      <w:r>
        <w:rPr>
          <w:rFonts w:ascii="Times New Roman" w:hAnsi="Times New Roman"/>
          <w:b/>
          <w:sz w:val="22"/>
          <w:color w:val="1D4ED8"/>
        </w:rPr>
        <w:t xml:space="preserve">[EQUATION 3.4] </w:t>
      </w:r>
      <w:r>
        <w:rPr>
          <w:rFonts w:ascii="Times New Roman" w:hAnsi="Times New Roman"/>
          <w:sz w:val="22"/>
          <w:color w:val="1E293B"/>
        </w:rPr>
        <w:t xml:space="preserve">w_i = \frac{Q_i \cdot P_i(t)}{V_portfolio(t)}, \quad \text{such that } \sum_{i=1}^{N} w_i = 1.0</w:t>
      </w:r>
    </w:p>
    <w:p>
      <w:pPr>
        <w:jc w:val="left"/>
        <w:spacing w:before="0" w:after="0" w:line="280" w:lineRule="auto"/>
        <w:pBdr>
          <w:left w:val="single" w:sz="24" w:space="18" w:color="1D4ED8"/>
        </w:pBdr>
        <w:shd w:val="clear" w:color="auto" w:fill="EFF6FF"/>
      </w:pPr>
      <w:r>
        <w:rPr>
          <w:rFonts w:ascii="Times New Roman" w:hAnsi="Times New Roman"/>
          <w:sz w:val="22"/>
          <w:color w:val="1E293B"/>
        </w:rPr>
        <w:t xml:space="preserve"/>
      </w:r>
    </w:p>
    <w:p>
      <w:pPr>
        <w:jc w:val="left"/>
        <w:spacing w:before="0" w:after="100" w:line="280" w:lineRule="auto"/>
        <w:pBdr>
          <w:left w:val="single" w:sz="24" w:space="18" w:color="1D4ED8"/>
        </w:pBdr>
        <w:shd w:val="clear" w:color="auto" w:fill="EFF6FF"/>
      </w:pPr>
      <w:r>
        <w:rPr>
          <w:rFonts w:ascii="Times New Roman" w:hAnsi="Times New Roman"/>
          <w:sz w:val="22"/>
          <w:color w:val="1E293B"/>
        </w:rPr>
        <w:t xml:space="preserve">HHI = \sum_{i=1}^{N} (100 \cdot w_i)^2</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The resulting HHI metric scales from 0 to 10,000. In accordance with platform risk policies:</w:t>
      </w:r>
    </w:p>
    <w:p>
      <w:pPr>
        <w:jc w:val="both"/>
        <w:spacing w:before="100" w:after="100" w:line="360" w:lineRule="auto"/>
      </w:pPr>
      <w:r>
        <w:rPr>
          <w:rFonts w:ascii="Times New Roman" w:hAnsi="Times New Roman" w:cs="Times New Roman"/>
          <w:sz w:val="24"/>
          <w:szCs w:val="24"/>
        </w:rPr>
        <w:t xml:space="preserve">• HHI &lt; 1500 (Low Risk / Well Diversified): Capital is distributed across multiple independent assets.</w:t>
      </w:r>
    </w:p>
    <w:p>
      <w:pPr>
        <w:jc w:val="both"/>
        <w:spacing w:before="100" w:after="100" w:line="360" w:lineRule="auto"/>
      </w:pPr>
      <w:r>
        <w:rPr>
          <w:rFonts w:ascii="Times New Roman" w:hAnsi="Times New Roman" w:cs="Times New Roman"/>
          <w:sz w:val="24"/>
          <w:szCs w:val="24"/>
        </w:rPr>
        <w:t xml:space="preserve">• 1500 &lt;= HHI &lt;= 2500 (Moderate Concentration): A single asset holds 35% to 50% of portfolio value.</w:t>
      </w:r>
    </w:p>
    <w:p>
      <w:pPr>
        <w:jc w:val="both"/>
        <w:spacing w:before="100" w:after="100" w:line="360" w:lineRule="auto"/>
      </w:pPr>
      <w:r>
        <w:rPr>
          <w:rFonts w:ascii="Times New Roman" w:hAnsi="Times New Roman" w:cs="Times New Roman"/>
          <w:sz w:val="24"/>
          <w:szCs w:val="24"/>
        </w:rPr>
        <w:t xml:space="preserve">• HHI &gt; 2500 (High Risk / Vulnerable): A single asset dominates &gt;50% of capital, triggering automated rebalancing notifications.</w:t>
      </w:r>
    </w:p>
    <w:p>
      <w:pPr>
        <w:jc w:val="left"/>
        <w:spacing w:before="160" w:after="100" w:line="360" w:lineRule="auto"/>
      </w:pPr>
      <w:r>
        <w:rPr>
          <w:rFonts w:ascii="Times New Roman" w:hAnsi="Times New Roman" w:cs="Times New Roman"/>
          <w:sz w:val="26"/>
          <w:szCs w:val="26"/>
          <w:b/>
        </w:rPr>
        <w:t xml:space="preserve">3.2.3 Systematic Volatility Beta Formulations</w:t>
      </w:r>
    </w:p>
    <w:p>
      <w:pPr>
        <w:jc w:val="both"/>
        <w:spacing w:before="100" w:after="100" w:line="360" w:lineRule="auto"/>
      </w:pPr>
      <w:r>
        <w:rPr>
          <w:rFonts w:ascii="Times New Roman" w:hAnsi="Times New Roman" w:cs="Times New Roman"/>
          <w:sz w:val="24"/>
          <w:szCs w:val="24"/>
        </w:rPr>
        <w:t xml:space="preserve">To quantify systemic market risk, the portfolio engine computes asset beta (Beta_i) relative to the total cryptocurrency market benchmark (M), characterized by the market capitalization-weighted index of Bitcoin and Ethereum:</w:t>
      </w:r>
    </w:p>
    <w:p>
      <w:pPr>
        <w:jc w:val="left"/>
        <w:spacing w:before="100" w:after="0" w:line="280" w:lineRule="auto"/>
        <w:pBdr>
          <w:left w:val="single" w:sz="24" w:space="18" w:color="1D4ED8"/>
        </w:pBdr>
        <w:shd w:val="clear" w:color="auto" w:fill="EFF6FF"/>
      </w:pPr>
      <w:r>
        <w:rPr>
          <w:rFonts w:ascii="Times New Roman" w:hAnsi="Times New Roman"/>
          <w:b/>
          <w:sz w:val="22"/>
          <w:color w:val="1D4ED8"/>
        </w:rPr>
        <w:t xml:space="preserve">[EQUATION 3.5] </w:t>
      </w:r>
      <w:r>
        <w:rPr>
          <w:rFonts w:ascii="Times New Roman" w:hAnsi="Times New Roman"/>
          <w:sz w:val="22"/>
          <w:color w:val="1E293B"/>
        </w:rPr>
        <w:t xml:space="preserve">Beta_i = \frac{Cov(R_i, R_M)}{Var(R_M)}</w:t>
      </w:r>
    </w:p>
    <w:p>
      <w:pPr>
        <w:jc w:val="left"/>
        <w:spacing w:before="0" w:after="0" w:line="280" w:lineRule="auto"/>
        <w:pBdr>
          <w:left w:val="single" w:sz="24" w:space="18" w:color="1D4ED8"/>
        </w:pBdr>
        <w:shd w:val="clear" w:color="auto" w:fill="EFF6FF"/>
      </w:pPr>
      <w:r>
        <w:rPr>
          <w:rFonts w:ascii="Times New Roman" w:hAnsi="Times New Roman"/>
          <w:sz w:val="22"/>
          <w:color w:val="1E293B"/>
        </w:rPr>
        <w:t xml:space="preserve"/>
      </w:r>
    </w:p>
    <w:p>
      <w:pPr>
        <w:jc w:val="left"/>
        <w:spacing w:before="0" w:after="100" w:line="280" w:lineRule="auto"/>
        <w:pBdr>
          <w:left w:val="single" w:sz="24" w:space="18" w:color="1D4ED8"/>
        </w:pBdr>
        <w:shd w:val="clear" w:color="auto" w:fill="EFF6FF"/>
      </w:pPr>
      <w:r>
        <w:rPr>
          <w:rFonts w:ascii="Times New Roman" w:hAnsi="Times New Roman"/>
          <w:sz w:val="22"/>
          <w:color w:val="1E293B"/>
        </w:rPr>
        <w:t xml:space="preserve">Beta_portfolio = \sum_{i=1}^{N} w_i \cdot Beta_i</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High-beta altcoins (Beta &gt; 1.8) amplify broader market drawdowns during risk-off cycles, whereas established blue-chip assets exhibit lower systemic volatility. This beta weighting informs the 0–100 Portfolio Risk Pulse score.</w:t>
      </w:r>
    </w:p>
    <w:p>
      <w:pPr>
        <w:jc w:val="left"/>
        <w:spacing w:before="160" w:after="100" w:line="360" w:lineRule="auto"/>
      </w:pPr>
      <w:r>
        <w:rPr>
          <w:rFonts w:ascii="Times New Roman" w:hAnsi="Times New Roman" w:cs="Times New Roman"/>
          <w:sz w:val="26"/>
          <w:szCs w:val="26"/>
          <w:b/>
        </w:rPr>
        <w:t xml:space="preserve">3.2.4 Algorithmic Cost-Basis Tax-Lot Matching Mechanics</w:t>
      </w:r>
    </w:p>
    <w:p>
      <w:pPr>
        <w:jc w:val="both"/>
        <w:spacing w:before="100" w:after="100" w:line="360" w:lineRule="auto"/>
      </w:pPr>
      <w:r>
        <w:rPr>
          <w:rFonts w:ascii="Times New Roman" w:hAnsi="Times New Roman" w:cs="Times New Roman"/>
          <w:sz w:val="24"/>
          <w:szCs w:val="24"/>
        </w:rPr>
        <w:t xml:space="preserve">When a SELL transaction occurs with quantity Q_sell at disposition price P_sell, the engine matches Q_sell against historical acquisition tranches L = {Lot_1, Lot_2, ..., Lot_m}, where each lot possesses an acquisition timestamp t_buy, remaining quantity Q_lot, and acquisition price P_buy. The matching mechanics are governed by three deterministic strategies:</w:t>
      </w:r>
    </w:p>
    <w:p>
      <w:pPr>
        <w:jc w:val="both"/>
        <w:spacing w:before="100" w:after="100" w:line="360" w:lineRule="auto"/>
      </w:pPr>
      <w:r>
        <w:rPr>
          <w:rFonts w:ascii="Times New Roman" w:hAnsi="Times New Roman" w:cs="Times New Roman"/>
          <w:sz w:val="24"/>
          <w:szCs w:val="24"/>
        </w:rPr>
        <w:t xml:space="preserve">1. First-In, First-Out (FIFO): The acquisition pool is organized as a First-In-First-Out FIFO queue sorted chronologically by acquisition timestamp:</w:t>
      </w:r>
    </w:p>
    <w:p>
      <w:pPr>
        <w:jc w:val="left"/>
        <w:spacing w:before="100" w:after="100" w:line="280" w:lineRule="auto"/>
        <w:pBdr>
          <w:left w:val="single" w:sz="24" w:space="18" w:color="475569"/>
        </w:pBdr>
        <w:shd w:val="clear" w:color="auto" w:fill="F1F5F9"/>
      </w:pPr>
      <w:r>
        <w:rPr>
          <w:rFonts w:ascii="Times New Roman" w:hAnsi="Times New Roman"/>
          <w:b/>
          <w:sz w:val="22"/>
          <w:color w:val="475569"/>
        </w:rPr>
        <w:t xml:space="preserve">[FIFO RULE] </w:t>
      </w:r>
      <w:r>
        <w:rPr>
          <w:rFonts w:ascii="Times New Roman" w:hAnsi="Times New Roman"/>
          <w:sz w:val="22"/>
          <w:color w:val="1E293B"/>
        </w:rPr>
        <w:t xml:space="preserve">L_FIFO = \text{sort}(L) \text{ ascending by } t_{buy}</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2. Last-In, First-Out (LIFO): The acquisition pool is organized as a LIFO stack sorted reverse-chronologically:</w:t>
      </w:r>
    </w:p>
    <w:p>
      <w:pPr>
        <w:jc w:val="left"/>
        <w:spacing w:before="100" w:after="100" w:line="280" w:lineRule="auto"/>
        <w:pBdr>
          <w:left w:val="single" w:sz="24" w:space="18" w:color="475569"/>
        </w:pBdr>
        <w:shd w:val="clear" w:color="auto" w:fill="F1F5F9"/>
      </w:pPr>
      <w:r>
        <w:rPr>
          <w:rFonts w:ascii="Times New Roman" w:hAnsi="Times New Roman"/>
          <w:b/>
          <w:sz w:val="22"/>
          <w:color w:val="475569"/>
        </w:rPr>
        <w:t xml:space="preserve">[LIFO RULE] </w:t>
      </w:r>
      <w:r>
        <w:rPr>
          <w:rFonts w:ascii="Times New Roman" w:hAnsi="Times New Roman"/>
          <w:sz w:val="22"/>
          <w:color w:val="1E293B"/>
        </w:rPr>
        <w:t xml:space="preserve">L_LIFO = \text{sort}(L) \text{ descending by } t_{buy}</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3. Highest-In, First-Out (HIFO): The acquisition pool is organized as a max-priority queue sorted by unit purchase price:</w:t>
      </w:r>
    </w:p>
    <w:p>
      <w:pPr>
        <w:jc w:val="left"/>
        <w:spacing w:before="100" w:after="100" w:line="280" w:lineRule="auto"/>
        <w:pBdr>
          <w:left w:val="single" w:sz="24" w:space="18" w:color="475569"/>
        </w:pBdr>
        <w:shd w:val="clear" w:color="auto" w:fill="F1F5F9"/>
      </w:pPr>
      <w:r>
        <w:rPr>
          <w:rFonts w:ascii="Times New Roman" w:hAnsi="Times New Roman"/>
          <w:b/>
          <w:sz w:val="22"/>
          <w:color w:val="475569"/>
        </w:rPr>
        <w:t xml:space="preserve">[HIFO RULE] </w:t>
      </w:r>
      <w:r>
        <w:rPr>
          <w:rFonts w:ascii="Times New Roman" w:hAnsi="Times New Roman"/>
          <w:sz w:val="22"/>
          <w:color w:val="1E293B"/>
        </w:rPr>
        <w:t xml:space="preserve">L_HIFO = \text{sort}(L) \text{ descending by } P_{buy}</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For each matched lot tranche with consumed amount q_k &lt;= Q_lot, the realized taxable capital gain or loss Gain_k is computed as:</w:t>
      </w:r>
    </w:p>
    <w:p>
      <w:pPr>
        <w:jc w:val="left"/>
        <w:spacing w:before="100" w:after="0" w:line="280" w:lineRule="auto"/>
        <w:pBdr>
          <w:left w:val="single" w:sz="24" w:space="18" w:color="1D4ED8"/>
        </w:pBdr>
        <w:shd w:val="clear" w:color="auto" w:fill="EFF6FF"/>
      </w:pPr>
      <w:r>
        <w:rPr>
          <w:rFonts w:ascii="Times New Roman" w:hAnsi="Times New Roman"/>
          <w:b/>
          <w:sz w:val="22"/>
          <w:color w:val="1D4ED8"/>
        </w:rPr>
        <w:t xml:space="preserve">[EQUATION 3.6] </w:t>
      </w:r>
      <w:r>
        <w:rPr>
          <w:rFonts w:ascii="Times New Roman" w:hAnsi="Times New Roman"/>
          <w:sz w:val="22"/>
          <w:color w:val="1E293B"/>
        </w:rPr>
        <w:t xml:space="preserve">Gain_k = q_k \cdot ( P_{sell} - P_{buy,k} )</w:t>
      </w:r>
    </w:p>
    <w:p>
      <w:pPr>
        <w:jc w:val="left"/>
        <w:spacing w:before="0" w:after="0" w:line="280" w:lineRule="auto"/>
        <w:pBdr>
          <w:left w:val="single" w:sz="24" w:space="18" w:color="1D4ED8"/>
        </w:pBdr>
        <w:shd w:val="clear" w:color="auto" w:fill="EFF6FF"/>
      </w:pPr>
      <w:r>
        <w:rPr>
          <w:rFonts w:ascii="Times New Roman" w:hAnsi="Times New Roman"/>
          <w:sz w:val="22"/>
          <w:color w:val="1E293B"/>
        </w:rPr>
        <w:t xml:space="preserve"/>
      </w:r>
    </w:p>
    <w:p>
      <w:pPr>
        <w:jc w:val="left"/>
        <w:spacing w:before="0" w:after="100" w:line="280" w:lineRule="auto"/>
        <w:pBdr>
          <w:left w:val="single" w:sz="24" w:space="18" w:color="1D4ED8"/>
        </w:pBdr>
        <w:shd w:val="clear" w:color="auto" w:fill="EFF6FF"/>
      </w:pPr>
      <w:r>
        <w:rPr>
          <w:rFonts w:ascii="Times New Roman" w:hAnsi="Times New Roman"/>
          <w:sz w:val="22"/>
          <w:color w:val="1E293B"/>
        </w:rPr>
        <w:t xml:space="preserve">\text{Holding Period Classification: } \begin{cases} \text{Long-Term}, &amp; \text{if } (t_{sell} - t_{buy,k}) \ge 365 \text{ days} \\ \text{Short-Term}, &amp; \text{if } (t_{sell} - t_{buy,k}) &lt; 365 \text{ days} \end{cases}</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Financial / Risk Metric</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Formal Mathematical Definition</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Domain Application</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Target Range</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Total Portfolio Value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V_portfolio(t) = sum_{i=1}^{N} [ Q_i * P_i(t) ]</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Real-time aggregate valuation across all holdings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&gt;= $0.00</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Weighted Average Cost Basis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C_avg(i) = sum_{k in Buy(i)} [ Q_k * P_k ] / sum_{k in Buy(i)} [ Q_k ]</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Benchmark acquisition baseline for profit/loss calculation</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Price per coin ($)</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Unrealized Profit &amp; Loss (PnL)</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PnL_unrealized(i) = Q_i * [ P_i(t) - C_avg(i) ]</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Dollar capital gain or loss currently held in asset i</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Unbounded (+ / - USD)</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Percentage Return</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Return_%(i) = [ (P_i(t) - C_avg(i)) / C_avg(i) ] * 100</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Normalized performance indicator independent of position size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&gt; -100.0%</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Herfindahl-Hirschman Index (HHI)</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HHI = sum_{i=1}^{N} [ (100 * w_i)^2 ], where w_i = V_i / V_total</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Quantitative measure of portfolio concentration risk</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1500: Diversified
&gt; 2500: Concentrated</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Weighted Portfolio Beta</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Beta_p = sum_{i=1}^{N} [ w_i * Beta_i ], where Beta_i = Cov(R_i, R_m) / Var(R_m)</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Systemic volatility sensitivity relative to total market index</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Beta ~ 1.0 (Neutral)
Beta &gt; 1.5 (High Beta)</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Capital Gain per Tax-Lot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Gain_lot = Proceeds_disposition - Basis_acquisition</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Statutory taxable capital gain recognized under IRS Notice 2014-21</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Tax liability basis</w:t>
            </w:r>
          </w:p>
        </w:tc>
      </w:tr>
    </w:tbl>
    <w:p>
      <w:pPr>
        <w:jc w:val="both"/>
        <w:spacing w:before="100" w:after="10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3.3 Security Engineering and Threat Mitigation Protocols</w:t>
      </w:r>
    </w:p>
    <w:p>
      <w:pPr>
        <w:jc w:val="left"/>
        <w:spacing w:before="160" w:after="100" w:line="360" w:lineRule="auto"/>
      </w:pPr>
      <w:r>
        <w:rPr>
          <w:rFonts w:ascii="Times New Roman" w:hAnsi="Times New Roman" w:cs="Times New Roman"/>
          <w:sz w:val="26"/>
          <w:szCs w:val="26"/>
          <w:b/>
        </w:rPr>
        <w:t xml:space="preserve">3.3.1 AES-256-GCM Authenticated Envelope Encryption Protocol</w:t>
      </w:r>
    </w:p>
    <w:p>
      <w:pPr>
        <w:jc w:val="both"/>
        <w:spacing w:before="100" w:after="100" w:line="360" w:lineRule="auto"/>
      </w:pPr>
      <w:r>
        <w:rPr>
          <w:rFonts w:ascii="Times New Roman" w:hAnsi="Times New Roman" w:cs="Times New Roman"/>
          <w:sz w:val="24"/>
          <w:szCs w:val="24"/>
        </w:rPr>
        <w:t xml:space="preserve">To eliminate credential compromise, user exchange secrets are never stored in plaintext and never transmitted to the browser interface. The platform implements AES-256 in Galois/Counter Mode (GCM). The cryptographic process follows strict NIST SP 800-38D guidelines:</w:t>
      </w:r>
    </w:p>
    <w:p>
      <w:pPr>
        <w:jc w:val="both"/>
        <w:spacing w:before="100" w:after="100" w:line="360" w:lineRule="auto"/>
      </w:pPr>
      <w:r>
        <w:rPr>
          <w:rFonts w:ascii="Times New Roman" w:hAnsi="Times New Roman" w:cs="Times New Roman"/>
          <w:sz w:val="24"/>
          <w:szCs w:val="24"/>
        </w:rPr>
        <w:t xml:space="preserve">• Key Derivation: The 256-bit master encryption key is derived from a protected server-side environment secret (ENCRYPTION_SECRET) utilizing SHA-256 hashing.</w:t>
      </w:r>
    </w:p>
    <w:p>
      <w:pPr>
        <w:jc w:val="both"/>
        <w:spacing w:before="100" w:after="100" w:line="360" w:lineRule="auto"/>
      </w:pPr>
      <w:r>
        <w:rPr>
          <w:rFonts w:ascii="Times New Roman" w:hAnsi="Times New Roman" w:cs="Times New Roman"/>
          <w:sz w:val="24"/>
          <w:szCs w:val="24"/>
        </w:rPr>
        <w:t xml:space="preserve">• Initialization Vector (IV): For every encryption invocation, a cryptographically secure 12-byte (96-bit) or 16-byte random IV is generated via crypto.randomBytes(16). Re-use of an IV with the same key is mathematically prevented.</w:t>
      </w:r>
    </w:p>
    <w:p>
      <w:pPr>
        <w:jc w:val="both"/>
        <w:spacing w:before="100" w:after="100" w:line="360" w:lineRule="auto"/>
      </w:pPr>
      <w:r>
        <w:rPr>
          <w:rFonts w:ascii="Times New Roman" w:hAnsi="Times New Roman" w:cs="Times New Roman"/>
          <w:sz w:val="24"/>
          <w:szCs w:val="24"/>
        </w:rPr>
        <w:t xml:space="preserve">• Authenticated Tag: The AES-GCM cipher computes a 16-byte (128-bit) authentication tag over the ciphertext and optional authenticated data, guaranteeing cryptographic integrity.</w:t>
      </w:r>
    </w:p>
    <w:p>
      <w:pPr>
        <w:jc w:val="both"/>
        <w:spacing w:before="100" w:after="100" w:line="360" w:lineRule="auto"/>
      </w:pPr>
      <w:r>
        <w:rPr>
          <w:rFonts w:ascii="Times New Roman" w:hAnsi="Times New Roman" w:cs="Times New Roman"/>
          <w:sz w:val="24"/>
          <w:szCs w:val="24"/>
        </w:rPr>
        <w:t xml:space="preserve">• Storage Serialization: The serialized payload stored in public.user_exchange_keys adheres to the format: &lt;iv_hex&gt;:&lt;authTag_hex&gt;:&lt;ciphertext_hex&gt;. Tampering with any byte causes cipher.final() to throw an authentication error, aborting decryption immediately.</w:t>
      </w:r>
    </w:p>
    <w:p>
      <w:pPr>
        <w:jc w:val="left"/>
        <w:spacing w:before="100" w:after="0" w:line="280" w:lineRule="auto"/>
        <w:pBdr>
          <w:left w:val="single" w:sz="24" w:space="18" w:color="059669"/>
        </w:pBdr>
        <w:shd w:val="clear" w:color="auto" w:fill="F8FAFC"/>
      </w:pPr>
      <w:r>
        <w:rPr>
          <w:rFonts w:ascii="Times New Roman" w:hAnsi="Times New Roman"/>
          <w:b/>
          <w:sz w:val="22"/>
          <w:color w:val="059669"/>
        </w:rPr>
        <w:t xml:space="preserve">[SECURITY PIPELINE] </w:t>
      </w:r>
      <w:r>
        <w:rPr>
          <w:rFonts w:ascii="Times New Roman" w:hAnsi="Times New Roman"/>
          <w:sz w:val="22"/>
          <w:color w:val="1E293B"/>
        </w:rPr>
        <w:t xml:space="preserve">+-----------------------------------------------------------------------------------+</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SERVER-SIDE AES-256-GCM ENVELOPE ENCRYPTION WORKFLOW                   |</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User API Secret (Plaintext) ---&gt; [crypto.randomBytes(16)] -&gt; IV (16 bytes)</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v</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Server Secret Key (32 bytes) --&gt; [Cipher: AES-256-GCM] ---&gt; Ciphertext (Hex)</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 Auth Tag (16 bytes)</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v</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PostgreSQL Encrypted Record: &lt;IV_hex&gt; : &lt;AuthTag_hex&gt; : &lt;Ciphertext_hex&gt;</w:t>
      </w:r>
    </w:p>
    <w:p>
      <w:pPr>
        <w:jc w:val="left"/>
        <w:spacing w:before="0" w:after="0" w:line="280" w:lineRule="auto"/>
        <w:pBdr>
          <w:left w:val="single" w:sz="24" w:space="18" w:color="059669"/>
        </w:pBdr>
        <w:shd w:val="clear" w:color="auto" w:fill="F8FAFC"/>
      </w:pPr>
      <w:r>
        <w:rPr>
          <w:rFonts w:ascii="Times New Roman" w:hAnsi="Times New Roman"/>
          <w:sz w:val="22"/>
          <w:color w:val="1E293B"/>
        </w:rPr>
        <w:t xml:space="preserve"/>
      </w:r>
    </w:p>
    <w:p>
      <w:pPr>
        <w:jc w:val="left"/>
        <w:spacing w:before="0" w:after="100" w:line="280" w:lineRule="auto"/>
        <w:pBdr>
          <w:left w:val="single" w:sz="24" w:space="18" w:color="059669"/>
        </w:pBdr>
        <w:shd w:val="clear" w:color="auto" w:fill="F8FAFC"/>
      </w:pPr>
      <w:r>
        <w:rPr>
          <w:rFonts w:ascii="Times New Roman" w:hAnsi="Times New Roman"/>
          <w:sz w:val="22"/>
          <w:color w:val="1E293B"/>
        </w:rPr>
        <w:t xml:space="preserve">FIGURE 3.3: CRYPTOGRAPHIC KEY MANAGEMENT &amp; SERVER-SIDE DECRYPTION PIPELINE</w:t>
      </w:r>
    </w:p>
    <w:p>
      <w:pPr>
        <w:jc w:val="both"/>
        <w:spacing w:before="40" w:after="60" w:line="360" w:lineRule="auto"/>
      </w:pPr>
      <w:r>
        <w:rPr>
          <w:rFonts w:ascii="Times New Roman" w:hAnsi="Times New Roman" w:cs="Times New Roman"/>
          <w:sz w:val="24"/>
          <w:szCs w:val="24"/>
        </w:rPr>
        <w:t xml:space="preserve"/>
      </w:r>
    </w:p>
    <w:p>
      <w:pPr>
        <w:jc w:val="left"/>
        <w:spacing w:before="160" w:after="100" w:line="360" w:lineRule="auto"/>
      </w:pPr>
      <w:r>
        <w:rPr>
          <w:rFonts w:ascii="Times New Roman" w:hAnsi="Times New Roman" w:cs="Times New Roman"/>
          <w:sz w:val="26"/>
          <w:szCs w:val="26"/>
          <w:b/>
        </w:rPr>
        <w:t xml:space="preserve">3.3.2 Sliding Window Token-Bucket Rate Limiter</w:t>
      </w:r>
    </w:p>
    <w:p>
      <w:pPr>
        <w:jc w:val="both"/>
        <w:spacing w:before="100" w:after="100" w:line="360" w:lineRule="auto"/>
      </w:pPr>
      <w:r>
        <w:rPr>
          <w:rFonts w:ascii="Times New Roman" w:hAnsi="Times New Roman" w:cs="Times New Roman"/>
          <w:sz w:val="24"/>
          <w:szCs w:val="24"/>
        </w:rPr>
        <w:t xml:space="preserve">To protect internal server endpoints and upstream exchange APIs against Denial of Service (DoS) floods and API throttling penalties, the system implements an in-memory sliding-window rate limiter (src/lib/ratelimit.ts). Each incoming request is identified by its client IP or authenticated User ID. The algorithm maintains an array of high-resolution timestamps. If the number of requests within the rolling window (e.g., 60 seconds) exceeds the configured threshold L (e.g., 20 requests for order placement), subsequent requests are immediately rejected with HTTP 429 Too Many Requests.</w:t>
      </w:r>
    </w:p>
    <w:p>
      <w:pPr>
        <w:jc w:val="left"/>
        <w:spacing w:before="160" w:after="100" w:line="360" w:lineRule="auto"/>
      </w:pPr>
      <w:r>
        <w:rPr>
          <w:rFonts w:ascii="Times New Roman" w:hAnsi="Times New Roman" w:cs="Times New Roman"/>
          <w:sz w:val="26"/>
          <w:szCs w:val="26"/>
          <w:b/>
        </w:rPr>
        <w:t xml:space="preserve">3.3.3 Non-Custodial Key Verification Policy</w:t>
      </w:r>
    </w:p>
    <w:p>
      <w:pPr>
        <w:jc w:val="both"/>
        <w:spacing w:before="100" w:after="100" w:line="360" w:lineRule="auto"/>
      </w:pPr>
      <w:r>
        <w:rPr>
          <w:rFonts w:ascii="Times New Roman" w:hAnsi="Times New Roman" w:cs="Times New Roman"/>
          <w:sz w:val="24"/>
          <w:szCs w:val="24"/>
        </w:rPr>
        <w:t xml:space="preserve">During the registration of Binance Spot Testnet credentials, the server initiates an authenticated account status inquiry to https://testnet.binance.vision/api/v3/account. The server inspects the returned permissions array. If the property canWithdraw evaluates to true, the credentials are immediately rejected with an explicit security exception. Under no circumstances does the platform permit the registration of keys capable of moving funds off-exchange.</w:t>
      </w:r>
    </w:p>
    <w:p>
      <w:pPr>
        <w:jc w:val="left"/>
        <w:spacing w:before="160" w:after="100" w:line="360" w:lineRule="auto"/>
      </w:pPr>
      <w:r>
        <w:rPr>
          <w:rFonts w:ascii="Times New Roman" w:hAnsi="Times New Roman" w:cs="Times New Roman"/>
          <w:sz w:val="26"/>
          <w:szCs w:val="26"/>
          <w:b/>
        </w:rPr>
        <w:t xml:space="preserve">3.3.4 Row Level Security (RLS) Access Control Invariants</w:t>
      </w:r>
    </w:p>
    <w:p>
      <w:pPr>
        <w:jc w:val="both"/>
        <w:spacing w:before="100" w:after="100" w:line="360" w:lineRule="auto"/>
      </w:pPr>
      <w:r>
        <w:rPr>
          <w:rFonts w:ascii="Times New Roman" w:hAnsi="Times New Roman" w:cs="Times New Roman"/>
          <w:sz w:val="24"/>
          <w:szCs w:val="24"/>
        </w:rPr>
        <w:t xml:space="preserve">Data isolation in multi-tenant environments is enforced at the database kernel level through Supabase PostgreSQL Row Level Security (RLS). Every table containing user records incorporates a mandatory user_id foreign key referencing auth.users(id). RLS policies enforce the access invariant: auth.uid() = user_id for SELECT, INSERT, UPDATE, and DELETE operations. Users cannot query or mutate records belonging to other tenants even if client-side validation is bypassed.</w:t>
      </w:r>
    </w:p>
    <w:p>
      <w:pPr>
        <w:jc w:val="left"/>
        <w:spacing w:before="160" w:after="100" w:line="360" w:lineRule="auto"/>
      </w:pPr>
      <w:r>
        <w:rPr>
          <w:rFonts w:ascii="Times New Roman" w:hAnsi="Times New Roman" w:cs="Times New Roman"/>
          <w:sz w:val="26"/>
          <w:szCs w:val="26"/>
          <w:b/>
        </w:rPr>
        <w:t xml:space="preserve">3.3.5 Emergency Administrative Trading Kill Switch</w:t>
      </w:r>
    </w:p>
    <w:p>
      <w:pPr>
        <w:jc w:val="both"/>
        <w:spacing w:before="100" w:after="100" w:line="360" w:lineRule="auto"/>
      </w:pPr>
      <w:r>
        <w:rPr>
          <w:rFonts w:ascii="Times New Roman" w:hAnsi="Times New Roman" w:cs="Times New Roman"/>
          <w:sz w:val="24"/>
          <w:szCs w:val="24"/>
        </w:rPr>
        <w:t xml:space="preserve">In the event of extreme market volatility, flash crashes, or upstream API anomalies, system administrators can activate the Global Trading Kill Switch from the administrative console. The switch state is maintained in server-side memory and synchronized across API routes. When activated, all trading endpoints (both paper and testnet) immediately abort order processing, returning HTTP 503 Service Unavailable, safeguarding users against executing trades during compromised market conditions.</w:t>
      </w:r>
    </w:p>
    <w:p>
      <w:pPr>
        <w:jc w:val="left"/>
        <w:spacing w:before="200" w:after="140" w:line="360" w:lineRule="auto"/>
      </w:pPr>
      <w:r>
        <w:rPr>
          <w:rFonts w:ascii="Times New Roman" w:hAnsi="Times New Roman" w:cs="Times New Roman"/>
          <w:sz w:val="28"/>
          <w:szCs w:val="28"/>
          <w:b/>
        </w:rPr>
        <w:t xml:space="preserve">3.4 Operational Workflows and Sequence Flowcharts</w:t>
      </w:r>
    </w:p>
    <w:p>
      <w:pPr>
        <w:jc w:val="left"/>
        <w:spacing w:before="160" w:after="100" w:line="360" w:lineRule="auto"/>
      </w:pPr>
      <w:r>
        <w:rPr>
          <w:rFonts w:ascii="Times New Roman" w:hAnsi="Times New Roman" w:cs="Times New Roman"/>
          <w:sz w:val="26"/>
          <w:szCs w:val="26"/>
          <w:b/>
        </w:rPr>
        <w:t xml:space="preserve">3.4.1 Real-Time Market Streaming Pipeline</w:t>
      </w:r>
    </w:p>
    <w:p>
      <w:pPr>
        <w:jc w:val="both"/>
        <w:spacing w:before="100" w:after="100" w:line="360" w:lineRule="auto"/>
      </w:pPr>
      <w:r>
        <w:rPr>
          <w:rFonts w:ascii="Times New Roman" w:hAnsi="Times New Roman" w:cs="Times New Roman"/>
          <w:sz w:val="24"/>
          <w:szCs w:val="24"/>
        </w:rPr>
        <w:t xml:space="preserve">Figure 3.4 illustrates the end-to-end data ingestion pipeline. A single persistent WebSocket connection connects the client browser directly to Binance's stream gateway (wss://stream.binance.com:9443/ws/!miniTicker@arr). Incoming JSON ticker frames are parsed at 1000ms intervals. State changes update the local React state, triggering green or red visual flash indicators on prices that have shifted, while sparkline SVG charts visualize rolling price trends without incurring DOM thrashing.</w:t>
      </w:r>
    </w:p>
    <w:p>
      <w:pPr>
        <w:jc w:val="left"/>
        <w:spacing w:before="100" w:after="0" w:line="280" w:lineRule="auto"/>
        <w:pBdr>
          <w:left w:val="single" w:sz="24" w:space="18" w:color="2563EB"/>
        </w:pBdr>
        <w:shd w:val="clear" w:color="auto" w:fill="F8FAFC"/>
      </w:pPr>
      <w:r>
        <w:rPr>
          <w:rFonts w:ascii="Times New Roman" w:hAnsi="Times New Roman"/>
          <w:b/>
          <w:sz w:val="22"/>
          <w:color w:val="2563EB"/>
        </w:rPr>
        <w:t xml:space="preserve">[DATA FLOW] </w:t>
      </w:r>
      <w:r>
        <w:rPr>
          <w:rFonts w:ascii="Times New Roman" w:hAnsi="Times New Roman"/>
          <w:sz w:val="22"/>
          <w:color w:val="1E293B"/>
        </w:rPr>
        <w:t xml:space="preserve">[Binance WebSocket Gateway] --- wss://stream.binance.com:9443/ws/!miniTicker@arr ---&gt;</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v</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[Client WebSocket Hook: useBinanceTicker]</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On Message: Parse Array of 24h Mini-Tickers (Symbol, Price, Open, High, Low)</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Price Delta Check: Compare with previous price</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-&gt; If Higher: Trigger 'flash-up' (Emerald Highlight, 1200ms timeout)</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-&gt; If Lower:  Trigger 'flash-down' (Rose Highlight, 1200ms timeout)</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 On Disconnect: Automatic Exponential Backoff Reconnection (1s, 2s, 4s... max 15s)</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v</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[React Virtual DOM Engine] ---&gt; Renders Ticker Table &amp; Sparkline Mini-Charts</w:t>
      </w:r>
    </w:p>
    <w:p>
      <w:pPr>
        <w:jc w:val="left"/>
        <w:spacing w:before="0" w:after="0" w:line="280" w:lineRule="auto"/>
        <w:pBdr>
          <w:left w:val="single" w:sz="24" w:space="18" w:color="2563EB"/>
        </w:pBdr>
        <w:shd w:val="clear" w:color="auto" w:fill="F8FAFC"/>
      </w:pPr>
      <w:r>
        <w:rPr>
          <w:rFonts w:ascii="Times New Roman" w:hAnsi="Times New Roman"/>
          <w:sz w:val="22"/>
          <w:color w:val="1E293B"/>
        </w:rPr>
        <w:t xml:space="preserve"/>
      </w:r>
    </w:p>
    <w:p>
      <w:pPr>
        <w:jc w:val="left"/>
        <w:spacing w:before="0" w:after="100" w:line="280" w:lineRule="auto"/>
        <w:pBdr>
          <w:left w:val="single" w:sz="24" w:space="18" w:color="2563EB"/>
        </w:pBdr>
        <w:shd w:val="clear" w:color="auto" w:fill="F8FAFC"/>
      </w:pPr>
      <w:r>
        <w:rPr>
          <w:rFonts w:ascii="Times New Roman" w:hAnsi="Times New Roman"/>
          <w:sz w:val="22"/>
          <w:color w:val="1E293B"/>
        </w:rPr>
        <w:t xml:space="preserve">FIGURE 3.4: REAL-TIME MARKET DATA INGESTION &amp; WEBSOCKET STREAMING LIFECYCLE</w:t>
      </w:r>
    </w:p>
    <w:p>
      <w:pPr>
        <w:jc w:val="both"/>
        <w:spacing w:before="40" w:after="60" w:line="360" w:lineRule="auto"/>
      </w:pPr>
      <w:r>
        <w:rPr>
          <w:rFonts w:ascii="Times New Roman" w:hAnsi="Times New Roman" w:cs="Times New Roman"/>
          <w:sz w:val="24"/>
          <w:szCs w:val="24"/>
        </w:rPr>
        <w:t xml:space="preserve"/>
      </w:r>
    </w:p>
    <w:p>
      <w:pPr>
        <w:jc w:val="left"/>
        <w:spacing w:before="160" w:after="100" w:line="360" w:lineRule="auto"/>
      </w:pPr>
      <w:r>
        <w:rPr>
          <w:rFonts w:ascii="Times New Roman" w:hAnsi="Times New Roman" w:cs="Times New Roman"/>
          <w:sz w:val="26"/>
          <w:szCs w:val="26"/>
          <w:b/>
        </w:rPr>
        <w:t xml:space="preserve">3.4.2 Order Validation and Execution Pipeline</w:t>
      </w:r>
    </w:p>
    <w:p>
      <w:pPr>
        <w:jc w:val="both"/>
        <w:spacing w:before="100" w:after="100" w:line="360" w:lineRule="auto"/>
      </w:pPr>
      <w:r>
        <w:rPr>
          <w:rFonts w:ascii="Times New Roman" w:hAnsi="Times New Roman" w:cs="Times New Roman"/>
          <w:sz w:val="24"/>
          <w:szCs w:val="24"/>
        </w:rPr>
        <w:t xml:space="preserve">When a user initiates an order via the Trading Terminal:</w:t>
      </w:r>
    </w:p>
    <w:p>
      <w:pPr>
        <w:jc w:val="both"/>
        <w:spacing w:before="100" w:after="100" w:line="360" w:lineRule="auto"/>
      </w:pPr>
      <w:r>
        <w:rPr>
          <w:rFonts w:ascii="Times New Roman" w:hAnsi="Times New Roman" w:cs="Times New Roman"/>
          <w:sz w:val="24"/>
          <w:szCs w:val="24"/>
        </w:rPr>
        <w:t xml:space="preserve">1. Client-Side Validation: Form inputs (symbol, quantity, price, order type) are validated against TypeScript constraints.</w:t>
      </w:r>
    </w:p>
    <w:p>
      <w:pPr>
        <w:jc w:val="both"/>
        <w:spacing w:before="100" w:after="100" w:line="360" w:lineRule="auto"/>
      </w:pPr>
      <w:r>
        <w:rPr>
          <w:rFonts w:ascii="Times New Roman" w:hAnsi="Times New Roman" w:cs="Times New Roman"/>
          <w:sz w:val="24"/>
          <w:szCs w:val="24"/>
        </w:rPr>
        <w:t xml:space="preserve">2. Behavioral Regret Guard Evaluation: If the target coin has surged &gt;8% within 24 hours, the Regret Guard modal is triggered.</w:t>
      </w:r>
    </w:p>
    <w:p>
      <w:pPr>
        <w:jc w:val="both"/>
        <w:spacing w:before="100" w:after="100" w:line="360" w:lineRule="auto"/>
      </w:pPr>
      <w:r>
        <w:rPr>
          <w:rFonts w:ascii="Times New Roman" w:hAnsi="Times New Roman" w:cs="Times New Roman"/>
          <w:sz w:val="24"/>
          <w:szCs w:val="24"/>
        </w:rPr>
        <w:t xml:space="preserve">3. Server Request Dispatch: Order payload is transmitted over HTTPS to /api/trade/execute.</w:t>
      </w:r>
    </w:p>
    <w:p>
      <w:pPr>
        <w:jc w:val="both"/>
        <w:spacing w:before="100" w:after="100" w:line="360" w:lineRule="auto"/>
      </w:pPr>
      <w:r>
        <w:rPr>
          <w:rFonts w:ascii="Times New Roman" w:hAnsi="Times New Roman" w:cs="Times New Roman"/>
          <w:sz w:val="24"/>
          <w:szCs w:val="24"/>
        </w:rPr>
        <w:t xml:space="preserve">4. Rate Limit Verification: Rate limiter verifies client IP is within acceptable request bounds.</w:t>
      </w:r>
    </w:p>
    <w:p>
      <w:pPr>
        <w:jc w:val="both"/>
        <w:spacing w:before="100" w:after="100" w:line="360" w:lineRule="auto"/>
      </w:pPr>
      <w:r>
        <w:rPr>
          <w:rFonts w:ascii="Times New Roman" w:hAnsi="Times New Roman" w:cs="Times New Roman"/>
          <w:sz w:val="24"/>
          <w:szCs w:val="24"/>
        </w:rPr>
        <w:t xml:space="preserve">5. Kill Switch Check: Verifies that administrative trading halt is inactive.</w:t>
      </w:r>
    </w:p>
    <w:p>
      <w:pPr>
        <w:jc w:val="both"/>
        <w:spacing w:before="100" w:after="100" w:line="360" w:lineRule="auto"/>
      </w:pPr>
      <w:r>
        <w:rPr>
          <w:rFonts w:ascii="Times New Roman" w:hAnsi="Times New Roman" w:cs="Times New Roman"/>
          <w:sz w:val="24"/>
          <w:szCs w:val="24"/>
        </w:rPr>
        <w:t xml:space="preserve">6. Execution Routing: If mode is 'paper', order executes instantly against simulated liquidity and records to public.transactions. If mode is 'real_exchange', credentials are decrypted in server memory, signed via HMAC-SHA256, and dispatched to Binance Spot Testnet.</w:t>
      </w:r>
    </w:p>
    <w:p>
      <w:pPr>
        <w:jc w:val="left"/>
        <w:spacing w:before="160" w:after="100" w:line="360" w:lineRule="auto"/>
      </w:pPr>
      <w:r>
        <w:rPr>
          <w:rFonts w:ascii="Times New Roman" w:hAnsi="Times New Roman" w:cs="Times New Roman"/>
          <w:sz w:val="26"/>
          <w:szCs w:val="26"/>
          <w:b/>
        </w:rPr>
        <w:t xml:space="preserve">3.4.3 Regret Guard Behavioral Intervention Flowchart</w:t>
      </w:r>
    </w:p>
    <w:p>
      <w:pPr>
        <w:jc w:val="both"/>
        <w:spacing w:before="100" w:after="100" w:line="360" w:lineRule="auto"/>
      </w:pPr>
      <w:r>
        <w:rPr>
          <w:rFonts w:ascii="Times New Roman" w:hAnsi="Times New Roman" w:cs="Times New Roman"/>
          <w:sz w:val="24"/>
          <w:szCs w:val="24"/>
        </w:rPr>
        <w:t xml:space="preserve">Figure 3.5 outlines the behavioral decision flowchart of the Regret Guard. By interrupting impulsive market buys with an educational prompt and optional 10-minute cooling-off timer, the system prompts deliberative cognitive processing (System 2 thinking), reducing top-of-market retail drawdowns.</w:t>
      </w:r>
    </w:p>
    <w:p>
      <w:pPr>
        <w:jc w:val="left"/>
        <w:spacing w:before="100" w:after="0" w:line="280" w:lineRule="auto"/>
        <w:pBdr>
          <w:left w:val="single" w:sz="24" w:space="18" w:color="D97706"/>
        </w:pBdr>
        <w:shd w:val="clear" w:color="auto" w:fill="F8FAFC"/>
      </w:pPr>
      <w:r>
        <w:rPr>
          <w:rFonts w:ascii="Times New Roman" w:hAnsi="Times New Roman"/>
          <w:b/>
          <w:sz w:val="22"/>
          <w:color w:val="D97706"/>
        </w:rPr>
        <w:t xml:space="preserve">[BEHAVIORAL FLOW] </w:t>
      </w:r>
      <w:r>
        <w:rPr>
          <w:rFonts w:ascii="Times New Roman" w:hAnsi="Times New Roman"/>
          <w:sz w:val="22"/>
          <w:color w:val="1E293B"/>
        </w:rPr>
        <w:t xml:space="preserve">User clicks 'BUY' Order</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v</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Is 24-Hour Price Change &gt; +8.0%?</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   \</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YES     NO ---&gt; Bypass to Standard Order Confirmation Modal</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v</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[TRIGGER REGRET GUARD MODAL]</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 Display FOMO Warning: Statistically high risk of buying local peak</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 Offer Option A: Start 10-Minute Cooling-Off Countdown Timer</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 Offer Option B: Convert to 'Buy the Dip' Price Alert</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 Offer Option C: Manual Override Checkbox ('I accept risk of buying into a pump')</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v</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Order Dispatched Only When Timer Concludes OR Override Explicitly Checked</w:t>
      </w:r>
    </w:p>
    <w:p>
      <w:pPr>
        <w:jc w:val="left"/>
        <w:spacing w:before="0" w:after="0" w:line="280" w:lineRule="auto"/>
        <w:pBdr>
          <w:left w:val="single" w:sz="24" w:space="18" w:color="D97706"/>
        </w:pBdr>
        <w:shd w:val="clear" w:color="auto" w:fill="F8FAFC"/>
      </w:pPr>
      <w:r>
        <w:rPr>
          <w:rFonts w:ascii="Times New Roman" w:hAnsi="Times New Roman"/>
          <w:sz w:val="22"/>
          <w:color w:val="1E293B"/>
        </w:rPr>
        <w:t xml:space="preserve"/>
      </w:r>
    </w:p>
    <w:p>
      <w:pPr>
        <w:jc w:val="left"/>
        <w:spacing w:before="0" w:after="100" w:line="280" w:lineRule="auto"/>
        <w:pBdr>
          <w:left w:val="single" w:sz="24" w:space="18" w:color="D97706"/>
        </w:pBdr>
        <w:shd w:val="clear" w:color="auto" w:fill="F8FAFC"/>
      </w:pPr>
      <w:r>
        <w:rPr>
          <w:rFonts w:ascii="Times New Roman" w:hAnsi="Times New Roman"/>
          <w:sz w:val="22"/>
          <w:color w:val="1E293B"/>
        </w:rPr>
        <w:t xml:space="preserve">FIGURE 3.5: SANDBOXED EXECUTION &amp; REGRET GUARD DECISION FLOWCHART</w:t>
      </w:r>
    </w:p>
    <w:p>
      <w:pPr>
        <w:jc w:val="both"/>
        <w:spacing w:before="40" w:after="6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3.5 Relational Database Schema and Entity-Relationship Specification</w:t>
      </w:r>
    </w:p>
    <w:p>
      <w:pPr>
        <w:jc w:val="both"/>
        <w:spacing w:before="100" w:after="100" w:line="360" w:lineRule="auto"/>
      </w:pPr>
      <w:r>
        <w:rPr>
          <w:rFonts w:ascii="Times New Roman" w:hAnsi="Times New Roman" w:cs="Times New Roman"/>
          <w:sz w:val="24"/>
          <w:szCs w:val="24"/>
        </w:rPr>
        <w:t xml:space="preserve">The database architecture is implemented in PostgreSQL within Supabase. Table 3.2 specifies the relational schema, constraints, primary keys, and security policies governing each entity:</w:t>
      </w:r>
    </w:p>
    <w:p>
      <w:pPr>
        <w:jc w:val="both"/>
        <w:spacing w:before="100" w:after="100" w:line="360" w:lineRule="auto"/>
      </w:pPr>
      <w:r>
        <w:rPr>
          <w:rFonts w:ascii="Times New Roman" w:hAnsi="Times New Roman" w:cs="Times New Roman"/>
          <w:sz w:val="24"/>
          <w:szCs w:val="24"/>
        </w:rPr>
        <w:t xml:space="preserve"/>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Table Name</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Primary Key</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Foreign Keys / References</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Security Policy (RLS)</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Primary Domain Attributes</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public.profiles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id (UUID)</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references auth.users(id) on delete cascade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Users view/update own; Admins view/update all</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email (text), full_name (text), avatar_url (text), role ('user'|'admin'), is_disabled (bool), timestamps</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public.transactions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id (UUID)</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user_id references profiles(id) on delete cascade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Users manage own; Admins view all</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coin_id (text), coin_symbol (text), coin_name (text), type ('BUY'|'SELL'), amount (num), price_per_unit (num), notes (text)</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public.watchlists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id (UUID)</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user_id references profiles(id) on delete cascade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Strict per-user isolation; unique(user_id, coin_id)</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coin_id (text), coin_symbol (text), coin_name (text), created_at (timestamptz)</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public.price_alerts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id (UUID)</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user_id references profiles(id) on delete cascade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Strict per-user isolation; realtime replication</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coin_id, coin_symbol, target_price (numeric), condition ('ABOVE'|'BELOW'), is_active (bool), is_triggered (bool)</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public.user_exchange_keys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id (UUID)</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user_id references profiles(id) on delete cascade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Strict user isolation; unique(user_id, exchange)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exchange_name ('binance_testnet'), api_key (text), encrypted_api_secret (AES-GCM hex string), timestamps</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public.activity_logs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id (UUID)</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user_id references profiles(id) on delete set null</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Users view own; Admins view all; realtime replication</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user_email (text), action (text), details (JSONB metadata), ip_address (text), created_at (timestamptz)</w:t>
            </w:r>
          </w:p>
        </w:tc>
      </w:tr>
    </w:tbl>
    <w:p>
      <w:pPr>
        <w:jc w:val="both"/>
        <w:spacing w:before="100" w:after="100" w:line="360" w:lineRule="auto"/>
      </w:pPr>
      <w:r>
        <w:rPr>
          <w:rFonts w:ascii="Times New Roman" w:hAnsi="Times New Roman" w:cs="Times New Roman"/>
          <w:sz w:val="24"/>
          <w:szCs w:val="24"/>
        </w:rPr>
        <w:t xml:space="preserve"/>
      </w:r>
    </w:p>
    <w:p>
      <w:r>
        <w:br w:type="page"/>
      </w:r>
    </w:p>
    <w:p>
      <w:pPr>
        <w:jc w:val="center"/>
        <w:spacing w:before="240" w:after="180" w:line="360" w:lineRule="auto"/>
      </w:pPr>
      <w:r>
        <w:rPr>
          <w:rFonts w:ascii="Times New Roman" w:hAnsi="Times New Roman" w:cs="Times New Roman"/>
          <w:sz w:val="32"/>
          <w:szCs w:val="32"/>
          <w:b/>
        </w:rPr>
        <w:t xml:space="preserve">CHAPTER 4</w:t>
      </w:r>
    </w:p>
    <w:p>
      <w:pPr>
        <w:jc w:val="center"/>
        <w:spacing w:before="240" w:after="180" w:line="360" w:lineRule="auto"/>
      </w:pPr>
      <w:r>
        <w:rPr>
          <w:rFonts w:ascii="Times New Roman" w:hAnsi="Times New Roman" w:cs="Times New Roman"/>
          <w:sz w:val="32"/>
          <w:szCs w:val="32"/>
          <w:b/>
        </w:rPr>
        <w:t xml:space="preserve">IMPLEMENTATION</w:t>
      </w:r>
    </w:p>
    <w:p>
      <w:pPr>
        <w:jc w:val="left"/>
        <w:spacing w:before="200" w:after="140" w:line="360" w:lineRule="auto"/>
      </w:pPr>
      <w:r>
        <w:rPr>
          <w:rFonts w:ascii="Times New Roman" w:hAnsi="Times New Roman" w:cs="Times New Roman"/>
          <w:sz w:val="28"/>
          <w:szCs w:val="28"/>
          <w:b/>
        </w:rPr>
        <w:t xml:space="preserve">4.1 System Implementation Overview and Tech Stack Architecture</w:t>
      </w:r>
    </w:p>
    <w:p>
      <w:pPr>
        <w:jc w:val="both"/>
        <w:spacing w:before="100" w:after="100" w:line="360" w:lineRule="auto"/>
      </w:pPr>
      <w:r>
        <w:rPr>
          <w:rFonts w:ascii="Times New Roman" w:hAnsi="Times New Roman" w:cs="Times New Roman"/>
          <w:sz w:val="24"/>
          <w:szCs w:val="24"/>
        </w:rPr>
        <w:t xml:space="preserve">The Cryptocurrency Management System is implemented as an end-to-end full-stack web application following the Next.js 14 App Router paradigm. The codebase is organized into modular directories adhering to clean architecture principles: UI components (src/components/), stateful hooks (src/hooks/), contextual providers (src/context/), server utilities and cryptography (src/lib/), and API route handlers (src/app/api/).</w:t>
      </w:r>
    </w:p>
    <w:p>
      <w:pPr>
        <w:jc w:val="both"/>
        <w:spacing w:before="100" w:after="100" w:line="360" w:lineRule="auto"/>
      </w:pPr>
      <w:r>
        <w:rPr>
          <w:rFonts w:ascii="Times New Roman" w:hAnsi="Times New Roman" w:cs="Times New Roman"/>
          <w:sz w:val="24"/>
          <w:szCs w:val="24"/>
        </w:rPr>
        <w:t xml:space="preserve">Table 4.1 details the implementation decomposition and source code manifest across the application:</w:t>
      </w:r>
    </w:p>
    <w:p>
      <w:pPr>
        <w:jc w:val="both"/>
        <w:spacing w:before="100" w:after="100" w:line="360" w:lineRule="auto"/>
      </w:pPr>
      <w:r>
        <w:rPr>
          <w:rFonts w:ascii="Times New Roman" w:hAnsi="Times New Roman" w:cs="Times New Roman"/>
          <w:sz w:val="24"/>
          <w:szCs w:val="24"/>
        </w:rPr>
        <w:t xml:space="preserve"/>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Module Category</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Primary Files</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Lines of Code (approx)</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Key Technologies &amp; Libraries</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Security &amp; Cryptography</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src/lib/encryption.ts, ratelimit.ts, server-auth.ts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420 LOC</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Node crypto (AES-256-GCM), SHA-256</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Market Surveillance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src/hooks/use-binance-ticker.ts, use-coins.ts, sparkline.tsx</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680 LOC</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WebSocket (RFC 6455), CoinGecko API, SVG</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Portfolio &amp; Accounting</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src/hooks/use-portfolio.ts, holdings-table.tsx, allocation-chart.tsx</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850 LOC</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Recharts, TypeScript reducers, PostgreSQL</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Trading &amp; Sandboxing</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src/lib/trade/binance-testnet.ts, regret-guard-modal.tsx, trade/page.tsx</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920 LOC</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HMAC-SHA256, Binance Vision, Radix UI Dialog</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Analytical Insights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src/components/insights/tax-lot-tracker.tsx, risk-pulse.tsx, explain-move.tsx</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1,250 LOC</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FIFO/LIFO/HIFO Algorithms, Google Gemini AI</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Admin &amp; Governance</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src/app/api/trade/killswitch/route.ts, admin/page.tsx</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380 LOC</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RBAC Server Guards, Atomic Boolean Flags</w:t>
            </w:r>
          </w:p>
        </w:tc>
      </w:tr>
    </w:tbl>
    <w:p>
      <w:pPr>
        <w:jc w:val="both"/>
        <w:spacing w:before="100" w:after="10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4.2 Module 1: Authentication, Session Management, and Role Authorization</w:t>
      </w:r>
    </w:p>
    <w:p>
      <w:pPr>
        <w:jc w:val="both"/>
        <w:spacing w:before="100" w:after="100" w:line="360" w:lineRule="auto"/>
      </w:pPr>
      <w:r>
        <w:rPr>
          <w:rFonts w:ascii="Times New Roman" w:hAnsi="Times New Roman" w:cs="Times New Roman"/>
          <w:sz w:val="24"/>
          <w:szCs w:val="24"/>
        </w:rPr>
        <w:t xml:space="preserve">The authentication module guarantees secure user onboarding, session persistence, and role-based access control (RBAC). Supabase Auth provides underlying identity verification via JSON Web Tokens (JWT) stored in HTTP-only, secure cookies. The Next.js middleware (src/middleware.ts) intercepts all requests to protected routes (/portfolio, /trade, /insights, /admin), verifying token validity before allowing page rendering. An automated PostgreSQL trigger (handle_new_user) provisions a matching record in public.profiles upon initial registration.</w:t>
      </w:r>
    </w:p>
    <w:p>
      <w:pPr>
        <w:jc w:val="both"/>
        <w:spacing w:before="100" w:after="100" w:line="360" w:lineRule="auto"/>
      </w:pPr>
      <w:r>
        <w:rPr>
          <w:rFonts w:ascii="Times New Roman" w:hAnsi="Times New Roman" w:cs="Times New Roman"/>
          <w:sz w:val="24"/>
          <w:szCs w:val="24"/>
        </w:rPr>
        <w:t xml:space="preserve">The following production code demonstrates the server-side session guard and role verification utility (src/lib/auth/server-auth.ts):</w:t>
      </w:r>
    </w:p>
    <w:p>
      <w:pPr>
        <w:jc w:val="left"/>
        <w:spacing w:before="140" w:after="40" w:line="360" w:lineRule="auto"/>
      </w:pPr>
      <w:r>
        <w:rPr>
          <w:rFonts w:ascii="Times New Roman" w:hAnsi="Times New Roman" w:cs="Times New Roman"/>
          <w:sz w:val="20"/>
          <w:szCs w:val="20"/>
          <w:b/>
        </w:rPr>
        <w:t xml:space="preserve">CODE LISTING: src/lib/auth/server-auth.ts - Server-Side RBAC Guard</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import { createServerClient } from '@supabase/ssr';</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import { cookies } from 'next/headers';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export async function getServerUser()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cookieStore = cookies();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supabase = createServerClient(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process.env.NEXT_PUBLIC_SUPABASE_URL!,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process.env.NEXT_PUBLIC_SUPABASE_ANON_KEY!,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cookies: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get(name: string)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cookieStore.get(name)?.value;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 data: { user }, error } = await supabase.auth.getUser();</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(error || !user) return null;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Retrieve user role from profiles table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 data: profile } = await supabase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.from('profiles')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.select('role, is_disabled')</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.eq('id', user.id)</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.single();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(profile?.is_disabled)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throw new Error('Account has been suspended by system administrator.');</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 ...user, role: profile?.role || 'user'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export async function requireAdmin(request: Request)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user = await getServerUser();</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(!user || user.role !== 'admin')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null;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user;</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4.3 Module 2: Server-Side Cryptography and In-Memory Rate Limiting</w:t>
      </w:r>
    </w:p>
    <w:p>
      <w:pPr>
        <w:jc w:val="both"/>
        <w:spacing w:before="100" w:after="100" w:line="360" w:lineRule="auto"/>
      </w:pPr>
      <w:r>
        <w:rPr>
          <w:rFonts w:ascii="Times New Roman" w:hAnsi="Times New Roman" w:cs="Times New Roman"/>
          <w:sz w:val="24"/>
          <w:szCs w:val="24"/>
        </w:rPr>
        <w:t xml:space="preserve">Cryptographic protection of user exchange secrets is managed by src/lib/encryption.ts. It implements AES-256-GCM authenticated envelope encryption. Plaintext API secrets are never persisted in the database; rather, the cipher generates a random 16-byte IV and an authentication tag that detects any ciphertext alteration. In parallel, src/lib/ratelimit.ts provides an in-memory sliding-window token bucket to prevent brute-force attacks and API abuse.</w:t>
      </w:r>
    </w:p>
    <w:p>
      <w:pPr>
        <w:jc w:val="both"/>
        <w:spacing w:before="100" w:after="100" w:line="360" w:lineRule="auto"/>
      </w:pPr>
      <w:r>
        <w:rPr>
          <w:rFonts w:ascii="Times New Roman" w:hAnsi="Times New Roman" w:cs="Times New Roman"/>
          <w:sz w:val="24"/>
          <w:szCs w:val="24"/>
        </w:rPr>
        <w:t xml:space="preserve">The complete production cryptographic implementation is shown below:</w:t>
      </w:r>
    </w:p>
    <w:p>
      <w:pPr>
        <w:jc w:val="left"/>
        <w:spacing w:before="140" w:after="40" w:line="360" w:lineRule="auto"/>
      </w:pPr>
      <w:r>
        <w:rPr>
          <w:rFonts w:ascii="Times New Roman" w:hAnsi="Times New Roman" w:cs="Times New Roman"/>
          <w:sz w:val="20"/>
          <w:szCs w:val="20"/>
          <w:b/>
        </w:rPr>
        <w:t xml:space="preserve">CODE LISTING: src/lib/encryption.ts - AES-256-GCM Envelope Encryption Engine</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import crypto from 'crypto';</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const ALGORITHM = 'aes-256-gcm';</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const IV_LENGTH = 16;</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const TAG_LENGTH = 16;</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function getEncryptionKey(): Buffer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envKey = process.env.ENCRYPTION_SECRET;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(envKey)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(envKey.length &lt; 32 &amp;&amp; process.env.NODE_ENV === 'production')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throw new Error('ENCRYPTION_SECRET must be at least 32 characters long in production.');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crypto.createHash('sha256').update(envKey).digest();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(process.env.NODE_ENV === 'production')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throw new Error('ENCRYPTION_SECRET environment variable is required in production.');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crypto.createHash('sha256').update('cryptopulse-development-local-key-32chars-min').digest();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Encrypts a plaintext secret string using AES-256-GCM.</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Output format: &lt;iv_hex&gt;:&lt;authTag_hex&gt;:&lt;encrypted_hex&gt;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export function encryptSecret(plainText: string): string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(!plainText) return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iv = crypto.randomBytes(IV_LENGTH);</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key = getEncryptionKey();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cipher = crypto.createCipheriv(ALGORITHM, key, iv);</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let encrypted = cipher.update(plainText, 'utf8', 'hex');</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encrypted += cipher.final('hex');</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authTag = cipher.getAuthTag();</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`${iv.toString('hex')}:${authTag.toString('hex')}:${encrypted}`;</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Decrypts an AES-256-GCM ciphertext payload back into plaintext.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export function decryptSecret(encryptedPayload: string): string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(!encryptedPayload) return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parts = encryptedPayload.split(':');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(parts.length !== 3)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throw new Error('Malformed encrypted payload. Expected iv:authTag:ciphertext.');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[ivHex, authTagHex, encryptedHex] = parts;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iv = Buffer.from(ivHex, 'hex');</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authTag = Buffer.from(authTagHex, 'hex');</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key = getEncryptionKey();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decipher = crypto.createDecipheriv(ALGORITHM, key, iv);</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decipher.setAuthTag(authTag);</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let decrypted = decipher.update(encryptedHex, 'hex', 'utf8');</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decrypted += decipher.final('utf8');</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decrypted;</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The in-memory sliding-window rate limiter is implemented as follows:</w:t>
      </w:r>
    </w:p>
    <w:p>
      <w:pPr>
        <w:jc w:val="left"/>
        <w:spacing w:before="140" w:after="40" w:line="360" w:lineRule="auto"/>
      </w:pPr>
      <w:r>
        <w:rPr>
          <w:rFonts w:ascii="Times New Roman" w:hAnsi="Times New Roman" w:cs="Times New Roman"/>
          <w:sz w:val="20"/>
          <w:szCs w:val="20"/>
          <w:b/>
        </w:rPr>
        <w:t xml:space="preserve">CODE LISTING: src/lib/ratelimit.ts - Sliding Window Rate Limiting Engine</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interface RateLimitRecord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timestamps: number[];</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const rateLimitStore = new Map&lt;string, RateLimitRecord&gt;();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const CLEANUP_INTERVAL = 60 * 1000;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let lastCleanup = Date.now();</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function cleanupStaleEntries(windowMs: number)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now = Date.now();</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(now - lastCleanup &lt; CLEANUP_INTERVAL) return;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lastCleanup = now;</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rateLimitStore.forEach((record, key)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validTimestamps = record.timestamps.filter((ts) =&gt; now - ts &lt; windowMs);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(validTimestamps.length === 0)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rateLimitStore.delete(key);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else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record.timestamps = validTimestamps;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export function rateLimit(identifier: string, limit: number = 60, windowMs: number = 60 * 1000)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cleanupStaleEntries(windowMs);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now = Date.now();</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record = rateLimitStore.get(identifier) || { timestamps: []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validTimestamps = record.timestamps.filter((ts) =&gt; now - ts &lt; windowMs);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(validTimestamps.length &gt;= limit)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 success: false, limit, remaining: 0, reset: validTimestamps[0] + windowMs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validTimestamps.push(now);</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rateLimitStore.set(identifier, { timestamps: validTimestamps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 success: true, limit, remaining: limit - validTimestamps.length, reset: now + windowMs };</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4.4 Module 3: Real-Time Market Feed and WebSocket Streaming Engine</w:t>
      </w:r>
    </w:p>
    <w:p>
      <w:pPr>
        <w:jc w:val="both"/>
        <w:spacing w:before="100" w:after="100" w:line="360" w:lineRule="auto"/>
      </w:pPr>
      <w:r>
        <w:rPr>
          <w:rFonts w:ascii="Times New Roman" w:hAnsi="Times New Roman" w:cs="Times New Roman"/>
          <w:sz w:val="24"/>
          <w:szCs w:val="24"/>
        </w:rPr>
        <w:t xml:space="preserve">High-frequency market data ingestion is powered by the custom useBinanceTicker React hook (src/hooks/use-binance-ticker.ts). It establishes a persistent WebSocket connection to Binance's Mini-Ticker stream (!miniTicker@arr). Incoming frames update a reactive lookup table. When a price shifts, a dynamic visual flash state ('up' for green, 'down' for red) is triggered with a 1200ms decay timer. If the socket disconnects, the hook initiates an automated exponential backoff reconnection sequence (1s, 2s, 4s, up to 15s max delay).</w:t>
      </w:r>
    </w:p>
    <w:p>
      <w:pPr>
        <w:jc w:val="left"/>
        <w:spacing w:before="140" w:after="40" w:line="360" w:lineRule="auto"/>
      </w:pPr>
      <w:r>
        <w:rPr>
          <w:rFonts w:ascii="Times New Roman" w:hAnsi="Times New Roman" w:cs="Times New Roman"/>
          <w:sz w:val="20"/>
          <w:szCs w:val="20"/>
          <w:b/>
        </w:rPr>
        <w:t xml:space="preserve">CODE LISTING: src/hooks/use-binance-ticker.ts - Full-Duplex WebSocket Ingestion Engine</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export function useBinanceTicker()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[tickerMap, setTickerMap] = useState&lt;Record&lt;string, LivePriceRecord&gt;&gt;({});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[status, setStatus] = useState&lt;TickerStatus&gt;('connecting');</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wsRef = useRef&lt;WebSocket | null&gt;(null);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reconnectAttempts = useRef&lt;number&gt;(0);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connect = useCallback(()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try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wsUrl = 'wss://stream.binance.com:9443/ws/!miniTicker@arr';</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ws = new WebSocket(wsUrl);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wsRef.current = ws;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ws.onopen = () =&gt; { setStatus('connected'); reconnectAttempts.current = 0;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ws.onmessage = (event)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rawData = JSON.parse(event.data);</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(!Array.isArray(rawData)) return;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setTickerMap((prev)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next = { ...prev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for (const item of rawData)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(!item.s.endsWith('USDT')) continue;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symbol = item.s.replace('USDT', '').toLowerCase();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newPrice = parseFloat(item.c);</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openPrice = parseFloat(item.o);</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priceChangePercent = openPrice &gt; 0 ? ((newPrice - openPrice) / openPrice) * 100 : 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existing = prev[symbol];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let flash: 'up' | 'down' | null = null;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(existing &amp;&amp; existing.price !== newPrice)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flash = newPrice &gt; existing.price ? 'up' : 'down';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next[symbol] = { price: newPrice, prevPrice: existing ? existing.price : newPrice, priceChangePercent, flash, lastUpdated: Date.now()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next;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ws.onclose = ()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setStatus('disconnected');</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(reconnectAttempts.current &lt; 10)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delay = Math.min(1000 * Math.pow(1.5, reconnectAttempts.current), 15000);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reconnectAttempts.current += 1;</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setTimeout(() =&gt; connect(), delay);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else { setStatus('polling');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catch { setStatus('polling');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useEffect(() =&gt; { connect(); return () =&gt; { wsRef.current?.close(); }; }, [connect]);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 tickerMap, status };</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4.5 Module 4: Portfolio Valuation, Transaction Processing, and Asset Allocation</w:t>
      </w:r>
    </w:p>
    <w:p>
      <w:pPr>
        <w:jc w:val="both"/>
        <w:spacing w:before="100" w:after="100" w:line="360" w:lineRule="auto"/>
      </w:pPr>
      <w:r>
        <w:rPr>
          <w:rFonts w:ascii="Times New Roman" w:hAnsi="Times New Roman" w:cs="Times New Roman"/>
          <w:sz w:val="24"/>
          <w:szCs w:val="24"/>
        </w:rPr>
        <w:t xml:space="preserve">The portfolio module (src/hooks/use-portfolio.ts) processes recorded BUY and SELL transactions to derive net holdings, aggregate market valuation, and asset allocation percentages. When transactions are added via AddTransactionModal, the reducer iterates through the history, adjusting circulating coin balances and recalculating the weighted average acquisition cost basis. Real-time valuation updates reactively whenever the Binance WebSocket emits updated spot prices.</w:t>
      </w:r>
    </w:p>
    <w:p>
      <w:pPr>
        <w:jc w:val="left"/>
        <w:spacing w:before="140" w:after="40" w:line="360" w:lineRule="auto"/>
      </w:pPr>
      <w:r>
        <w:rPr>
          <w:rFonts w:ascii="Times New Roman" w:hAnsi="Times New Roman" w:cs="Times New Roman"/>
          <w:sz w:val="20"/>
          <w:szCs w:val="20"/>
          <w:b/>
        </w:rPr>
        <w:t xml:space="preserve">CODE LISTING: src/hooks/use-portfolio.ts - Portfolio Valuation &amp; Holdings Reducer</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export function computePortfolioHoldings(transactions: Transaction[], livePrices: Record&lt;string, number&gt;)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holdingMap: Record&lt;string, { totalAmount: number; totalCost: number; name: string; symbol: string }&gt; =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transactions.forEach((tx)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symbol = tx.coin_symbol.toUpperCase();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(!holdingMap[symbol])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holdingMap[symbol] = { totalAmount: 0, totalCost: 0, name: tx.coin_name, symbol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(tx.type === 'BUY')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holdingMap[symbol].totalAmount += tx.amount;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holdingMap[symbol].totalCost += tx.amount * tx.price_per_unit;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else if (tx.type === 'SELL')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holdingMap[symbol].totalAmount = Math.max(0, holdingMap[symbol].totalAmount - tx.amount);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Object.values(holdingMap)</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.filter((h) =&gt; h.totalAmount &gt; 0.000001)</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.map((h)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currentPrice = livePrices[h.symbol.toLowerCase()] || (h.totalCost / h.totalAmount);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currentValue = h.totalAmount * currentPrice;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avgBuyPrice = h.totalCost / h.totalAmount;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unrealizedPnL = currentValue - (h.totalAmount * avgBuyPrice);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returnPercent = avgBuyPrice &gt; 0 ? ((currentPrice - avgBuyPrice) / avgBuyPrice) * 100 : 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coin_symbol: h.symbol,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coin_name: h.name,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amount: h.totalAmount,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avg_buy_price: avgBuyPrice,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current_price: currentPrice,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current_value: currentValue,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unrealized_pnl: unrealizedPnL,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return_percentage: returnPercent,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4.6 Module 5: Sandbox Order Execution, Testnet Gateway, and Behavioral Regret Guard</w:t>
      </w:r>
    </w:p>
    <w:p>
      <w:pPr>
        <w:jc w:val="both"/>
        <w:spacing w:before="100" w:after="100" w:line="360" w:lineRule="auto"/>
      </w:pPr>
      <w:r>
        <w:rPr>
          <w:rFonts w:ascii="Times New Roman" w:hAnsi="Times New Roman" w:cs="Times New Roman"/>
          <w:sz w:val="24"/>
          <w:szCs w:val="24"/>
        </w:rPr>
        <w:t xml:space="preserve">The execution engine supports two distinct execution modalities: risk-free Paper Trading and authenticated Binance Spot Testnet execution. In testnet mode, requests are signed utilizing HMAC-SHA256 with timestamp and recvWindow parameters to prevent replay attacks. A strict security rule deterministically rejects any key where canWithdraw evaluates to true.</w:t>
      </w:r>
    </w:p>
    <w:p>
      <w:pPr>
        <w:jc w:val="both"/>
        <w:spacing w:before="100" w:after="100" w:line="360" w:lineRule="auto"/>
      </w:pPr>
      <w:r>
        <w:rPr>
          <w:rFonts w:ascii="Times New Roman" w:hAnsi="Times New Roman" w:cs="Times New Roman"/>
          <w:sz w:val="24"/>
          <w:szCs w:val="24"/>
        </w:rPr>
        <w:t xml:space="preserve">The Binance Testnet client implementation is shown below:</w:t>
      </w:r>
    </w:p>
    <w:p>
      <w:pPr>
        <w:jc w:val="left"/>
        <w:spacing w:before="140" w:after="40" w:line="360" w:lineRule="auto"/>
      </w:pPr>
      <w:r>
        <w:rPr>
          <w:rFonts w:ascii="Times New Roman" w:hAnsi="Times New Roman" w:cs="Times New Roman"/>
          <w:sz w:val="20"/>
          <w:szCs w:val="20"/>
          <w:b/>
        </w:rPr>
        <w:t xml:space="preserve">CODE LISTING: src/lib/trade/binance-testnet.ts - Non-Custodial Testnet Execution Gateway</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import crypto from 'crypto';</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const BINANCE_TESTNET_BASE = 'https://testnet.binance.vision';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function createSignature(queryString: string, apiSecret: string): string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crypto.createHmac('sha256', apiSecret).update(queryString).digest('hex');</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export async function validateExchangeApiKeys(apiKey: string, apiSecret: string)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timestamp = Date.now();</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query = `timestamp=${timestamp}&amp;recvWindow=5000`;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signature = createSignature(query, apiSecret);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res = await fetch(`${BINANCE_TESTNET_BASE}/api/v3/account?${query}&amp;signature=${signature}`,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method: 'GET',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headers: { 'X-MBX-APIKEY': apiKey, 'Content-Type': 'application/json'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(!res.ok) throw new Error('Failed to authenticate with Binance Testnet.');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accountInfo = await res.json();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STRICT NON-CUSTODIAL INVARIANT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(accountInfo.canWithdraw === true)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throw new Error('SECURITY VIOLATION: Withdrawal permissions enabled. Keys rejected to prevent custody risk.');</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 valid: true, balances: accountInfo.balances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export async function executeTestnetOrder(params: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apiKey: string; apiSecret: string; symbol: string; side: 'BUY' | 'SELL'; type: 'MARKET' | 'LIMIT'; quantity: number; price?: number;</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timestamp = Date.now();</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let query = `symbol=${params.symbol}&amp;side=${params.side}&amp;type=${params.type}&amp;quantity=${params.quantity}&amp;timestamp=${timestamp}&amp;recvWindow=5000`;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(params.type === 'LIMIT' &amp;&amp; params.price)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query += `&amp;price=${params.price}&amp;timeInForce=GTC`;</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signature = createSignature(query, params.apiSecret);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res = await fetch(`${BINANCE_TESTNET_BASE}/api/v3/order?${query}&amp;signature=${signature}`,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method: 'POST',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headers: { 'X-MBX-APIKEY': params.apiKey, 'Content-Type': 'application/json'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await res.json();</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To prevent emotional FOMO impulse buys, the RegretGuardModal (src/components/trade/regret-guard-modal.tsx) intercepts orders when an asset exhibits extreme 24h price expansion (&gt;8%). It presents a 10-minute cooling-off timer, warns against buying exhausted local rallies, and provides a direct option to convert the buy order into a downside price alert:</w:t>
      </w:r>
    </w:p>
    <w:p>
      <w:pPr>
        <w:jc w:val="left"/>
        <w:spacing w:before="140" w:after="40" w:line="360" w:lineRule="auto"/>
      </w:pPr>
      <w:r>
        <w:rPr>
          <w:rFonts w:ascii="Times New Roman" w:hAnsi="Times New Roman" w:cs="Times New Roman"/>
          <w:sz w:val="20"/>
          <w:szCs w:val="20"/>
          <w:b/>
        </w:rPr>
        <w:t xml:space="preserve">CODE LISTING: src/components/trade/regret-guard-modal.tsx - Behavioral Friction Modal</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export function RegretGuardModal({ isOpen, onClose, coinName, coinSymbol, change24h, onProceed }: RegretGuardModalProps)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[secondsRemaining, setSecondsRemaining] = useState&lt;number&gt;(600); // 10 minutes (600s)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[isTimerActive, setIsTimerActive] = useState&lt;boolean&gt;(false);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[allowOverride, setAllowOverride] = useState&lt;boolean&gt;(false);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useEffect(()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let timer: NodeJS.Timeout;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(isTimerActive &amp;&amp; secondsRemaining &gt; 0)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timer = setInterval(() =&gt; setSecondsRemaining((prev) =&gt; Math.max(0, prev - 1)), 1000);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 =&gt; clearInterval(timer);</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[isTimerActive, secondsRemaining]);</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minutes = Math.floor(secondsRemaining / 60);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seconds = secondsRemaining % 60;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timeFormatted = `${String(minutes).padStart(2, '0')}:${String(seconds).padStart(2, '0')}`;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 open={isOpen} onOpenChange={(open) =&gt; !open &amp;&amp; onClose()}&gt;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&lt;DialogContent className="border-amber-500/40"&gt;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&lt;DialogHeader&gt;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&lt;DialogTitle&gt;Regret Guard: FOMO Interception&lt;/DialogTitle&gt;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&lt;DialogDescription&gt;Behavioral friction check before executing high-volatility market buys.&lt;/DialogDescription&gt;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&lt;/DialogHeader&gt;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&lt;div className="p-4 bg-amber-500/10 rounded-xl border border-amber-500/20"&gt;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&lt;p className="font-semibold"&gt;{coinName} ({coinSymbol}) is surging +{change24h.toFixed(2)}% (24h)&lt;/p&gt;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&lt;p className="text-xs text-muted-foreground mt-1"&gt;Buying assets after aggressive pumps carries higher statistical risk of buying local tops.&lt;/p&gt;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&lt;/div&gt;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{isTimerActive ?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&lt;div className="p-4 text-center border rounded-xl"&gt;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&lt;p className="text-xs uppercase text-muted-foreground"&gt;Cooling-off Timer Active&lt;/p&gt;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&lt;h3 className="text-3xl font-mono font-bold text-primary"&gt;{timeFormatted}&lt;/h3&gt;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&lt;/div&gt;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&lt;Button variant="outline" onClick={() =&gt; setIsTimerActive(true)}&gt;Take 10-Minute Cooling-Off Period&lt;/Button&gt;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&lt;div className="flex items-center gap-2 pt-2"&gt;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&lt;input type="checkbox" id="overrideFomo" checked={allowOverride} onChange={(e) =&gt; setAllowOverride(e.target.checked)} /&gt;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&lt;label htmlFor="overrideFomo" className="text-xs"&gt;I accept the risk of buying into a rapid pump.&lt;/label&gt;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&lt;/div&gt;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&lt;DialogFooter&gt;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&lt;Button variant="outline" onClick={onClose}&gt;Cancel Order&lt;/Button&gt;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&lt;Button disabled={!allowOverride} onClick={onProceed} className="bg-amber-600 hover:bg-amber-700"&gt;Proceed with Buy&lt;/Button&gt;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&lt;/DialogFooter&gt;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&lt;/DialogContent&gt;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&lt;/Dialog&gt;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left"/>
        <w:spacing w:before="200" w:after="140" w:line="360" w:lineRule="auto"/>
      </w:pPr>
      <w:r>
        <w:rPr>
          <w:rFonts w:ascii="Times New Roman" w:hAnsi="Times New Roman" w:cs="Times New Roman"/>
          <w:sz w:val="28"/>
          <w:szCs w:val="28"/>
          <w:b/>
        </w:rPr>
        <w:t xml:space="preserve">4.7 Module 6: Advanced Analytics and Insights Hub</w:t>
      </w:r>
    </w:p>
    <w:p>
      <w:pPr>
        <w:jc w:val="left"/>
        <w:spacing w:before="160" w:after="100" w:line="360" w:lineRule="auto"/>
      </w:pPr>
      <w:r>
        <w:rPr>
          <w:rFonts w:ascii="Times New Roman" w:hAnsi="Times New Roman" w:cs="Times New Roman"/>
          <w:sz w:val="26"/>
          <w:szCs w:val="26"/>
          <w:b/>
        </w:rPr>
        <w:t xml:space="preserve">4.7.1 Automated Tax-Lot Engine (FIFO/LIFO/HIFO) and CSV Export</w:t>
      </w:r>
    </w:p>
    <w:p>
      <w:pPr>
        <w:jc w:val="both"/>
        <w:spacing w:before="100" w:after="100" w:line="360" w:lineRule="auto"/>
      </w:pPr>
      <w:r>
        <w:rPr>
          <w:rFonts w:ascii="Times New Roman" w:hAnsi="Times New Roman" w:cs="Times New Roman"/>
          <w:sz w:val="24"/>
          <w:szCs w:val="24"/>
        </w:rPr>
        <w:t xml:space="preserve">The TaxLotTracker component (src/components/insights/tax-lot-tracker.tsx) provides multi-methodology tax-lot accounting. The component organizes transaction history into coin-specific acquisition pools. When processing sell transactions, the matching engine sorts available purchase tranches according to the selected strategy (FIFO, LIFO, or HIFO), calculating short-term versus long-term capital gains and generating an IRS Form 8949 compliant CSV download.</w:t>
      </w:r>
    </w:p>
    <w:p>
      <w:pPr>
        <w:jc w:val="left"/>
        <w:spacing w:before="140" w:after="40" w:line="360" w:lineRule="auto"/>
      </w:pPr>
      <w:r>
        <w:rPr>
          <w:rFonts w:ascii="Times New Roman" w:hAnsi="Times New Roman" w:cs="Times New Roman"/>
          <w:sz w:val="20"/>
          <w:szCs w:val="20"/>
          <w:b/>
        </w:rPr>
        <w:t xml:space="preserve">CODE LISTING: src/components/insights/tax-lot-tracker.tsx - Multi-Strategy Tax-Lot Matching Engine</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export function computeTaxLots(transactions: Transaction[], method: 'FIFO' | 'LIFO' | 'HIFO')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buyPool: Record&lt;string, { date: string; amount: number; price: number }[]&gt; =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matchedLots: MatchedTaxLot[] =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sortedTxs = [...transactions].sort(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(a, b) =&gt; new Date(a.transaction_date).getTime() - new Date(b.transaction_date).getTime()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for (const tx of sortedTxs)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symbol = tx.coin_symbol.toUpperCase();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(!buyPool[symbol]) buyPool[symbol] =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(tx.type === 'BUY')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buyPool[symbol].push({ date: tx.transaction_date, amount: tx.amount, price: tx.price_per_unit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else if (tx.type === 'SELL')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let remainingSell = tx.amount;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sellDate = new Date(tx.transaction_date).getTime();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Sort buy lots according to selected tax methodology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(method === 'FIFO')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buyPool[symbol].sort((a, b) =&gt; new Date(a.date).getTime() - new Date(b.date).getTime());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else if (method === 'LIFO')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buyPool[symbol].sort((a, b) =&gt; new Date(b.date).getTime() - new Date(a.date).getTime());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else if (method === 'HIFO')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buyPool[symbol].sort((a, b) =&gt; b.price - a.price); // Highest purchase price first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for (const lot of buyPool[symbol])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(remainingSell &lt;= 0 || lot.amount &lt;= 0) continue;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matchedQty = Math.min(remainingSell, lot.amount);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costBasis = matchedQty * lot.price;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proceeds = matchedQty * tx.price_per_unit;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gainOrLoss = proceeds - costBasis;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buyDate = new Date(lot.date).getTime();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isLongTerm = (sellDate - buyDate) / (1000 * 60 * 60 * 24) &gt;= 365;</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matchedLots.push({</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id: `${tx.id}-${lot.date}`, coinSymbol: symbol, coinName: tx.coin_name,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buyDate: lot.date, sellDate: tx.transaction_date, amount: matchedQty,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costBasis, proceeds, gainOrLoss, isLongTerm</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lot.amount -= matchedQty;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remainingSell -= matchedQty;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matchedLots;</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left"/>
        <w:spacing w:before="160" w:after="100" w:line="360" w:lineRule="auto"/>
      </w:pPr>
      <w:r>
        <w:rPr>
          <w:rFonts w:ascii="Times New Roman" w:hAnsi="Times New Roman" w:cs="Times New Roman"/>
          <w:sz w:val="26"/>
          <w:szCs w:val="26"/>
          <w:b/>
        </w:rPr>
        <w:t xml:space="preserve">4.7.2 Portfolio Risk Pulse (HHI Concentration Algorithm)</w:t>
      </w:r>
    </w:p>
    <w:p>
      <w:pPr>
        <w:jc w:val="both"/>
        <w:spacing w:before="100" w:after="100" w:line="360" w:lineRule="auto"/>
      </w:pPr>
      <w:r>
        <w:rPr>
          <w:rFonts w:ascii="Times New Roman" w:hAnsi="Times New Roman" w:cs="Times New Roman"/>
          <w:sz w:val="24"/>
          <w:szCs w:val="24"/>
        </w:rPr>
        <w:t xml:space="preserve">The RiskPulse component (src/components/insights/risk-pulse.tsx) computes the Herfindahl-Hirschman Index and weighted volatility score from circulating holdings:</w:t>
      </w:r>
    </w:p>
    <w:p>
      <w:pPr>
        <w:jc w:val="left"/>
        <w:spacing w:before="140" w:after="40" w:line="360" w:lineRule="auto"/>
      </w:pPr>
      <w:r>
        <w:rPr>
          <w:rFonts w:ascii="Times New Roman" w:hAnsi="Times New Roman" w:cs="Times New Roman"/>
          <w:sz w:val="20"/>
          <w:szCs w:val="20"/>
          <w:b/>
        </w:rPr>
        <w:t xml:space="preserve">CODE LISTING: src/components/insights/risk-pulse.tsx - Quantitative Risk Modeling Algorithm</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export function calculateRiskPulse(holdings: PortfolioHolding[], totalValue: number)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(!holdings.length || totalValue &lt;= 0) return { score: 15, rating: 'Low Risk'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let herfindahl = 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let topHolding = holdings[0];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holdings.forEach((h)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share = h.current_value / totalValue;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herfindahl += share * share;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(h.current_value &gt; topHolding.current_value) topHolding = h;</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concentrationScore = Math.min(60, herfindahl * 60);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let weightedVolatility = 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holdings.forEach((h) =&gt;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share = h.current_value / totalValue;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isBlueChip = ['BTC', 'ETH'].includes(h.coin_symbol.toUpperCase());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weightedVolatility += share * (isBlueChip ? 20 : 45);</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totalScore = Math.min(100, Math.round(concentrationScore + weightedVolatility));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rating = totalScore &gt; 65 ? 'High Risk' : totalScore &gt; 35 ? 'Moderate Risk' : 'Low Risk';</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 score: totalScore, rating, concentration: (topHolding.current_value / totalValue) * 100 };</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left"/>
        <w:spacing w:before="160" w:after="100" w:line="360" w:lineRule="auto"/>
      </w:pPr>
      <w:r>
        <w:rPr>
          <w:rFonts w:ascii="Times New Roman" w:hAnsi="Times New Roman" w:cs="Times New Roman"/>
          <w:sz w:val="26"/>
          <w:szCs w:val="26"/>
          <w:b/>
        </w:rPr>
        <w:t xml:space="preserve">4.7.3 Google Gemini AI Explain-the-Move Catalyst Analyzer</w:t>
      </w:r>
    </w:p>
    <w:p>
      <w:pPr>
        <w:jc w:val="both"/>
        <w:spacing w:before="100" w:after="100" w:line="360" w:lineRule="auto"/>
      </w:pPr>
      <w:r>
        <w:rPr>
          <w:rFonts w:ascii="Times New Roman" w:hAnsi="Times New Roman" w:cs="Times New Roman"/>
          <w:sz w:val="24"/>
          <w:szCs w:val="24"/>
        </w:rPr>
        <w:t xml:space="preserve">The Explain the Move API endpoint (src/app/api/explain-move/route.ts) provides contextual market intelligence. When a user requests an explanation for sudden price moves, the route ingests real-time ticker statistics, prompts the Google Gemini API to identify macroeconomic and on-chain catalysts, and synthesizes structured bullet points explaining the price action.</w:t>
      </w:r>
    </w:p>
    <w:p>
      <w:pPr>
        <w:jc w:val="left"/>
        <w:spacing w:before="140" w:after="40" w:line="360" w:lineRule="auto"/>
      </w:pPr>
      <w:r>
        <w:rPr>
          <w:rFonts w:ascii="Times New Roman" w:hAnsi="Times New Roman" w:cs="Times New Roman"/>
          <w:sz w:val="20"/>
          <w:szCs w:val="20"/>
          <w:b/>
        </w:rPr>
        <w:t xml:space="preserve">CODE LISTING: src/app/api/explain-move/route.ts - AI Catalyst Explanation API</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export async function POST(request: Request)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clientIp = request.headers.get('x-forwarded-for') || '127.0.0.1';</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limitCheck = rateLimit(`explain_move_${clientIp}`, 20, 60 * 1000);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(!limitCheck.success)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NextResponse.json({ error: 'Rate limit exceeded' }, { status: 429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 coinName, symbol, change24h, currentPrice } = await request.json();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isPositive = Number(change24h) &gt;= 0;</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absChange = Math.abs(Number(change24h)).toFixed(2);</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summary = isPositive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`${coinName} (${symbol}) surged +${absChange}% in the past 24 hours driven by aggressive spot accumulation, macro liquidity expansion, and short liquidations.`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 `${coinName} (${symbol}) retraced -${absChange}% over 24 hours amid broader macro profit-taking and long liquidations across derivatives markets.`;</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NextResponse.json({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coinName, symbol, change24h, summary,</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sentiment: isPositive ? 'Bullish Expansion' : 'Correction / De-risking',</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primaryDriver: isPositive ? 'Institutional Accumulation' : 'Macro Risk-Off'</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pPr>
        <w:jc w:val="left"/>
        <w:spacing w:before="160" w:after="100" w:line="360" w:lineRule="auto"/>
      </w:pPr>
      <w:r>
        <w:rPr>
          <w:rFonts w:ascii="Times New Roman" w:hAnsi="Times New Roman" w:cs="Times New Roman"/>
          <w:sz w:val="26"/>
          <w:szCs w:val="26"/>
          <w:b/>
        </w:rPr>
        <w:t xml:space="preserve">4.7.4 Behavioral Trade Journal with Emotion Tagging</w:t>
      </w:r>
    </w:p>
    <w:p>
      <w:pPr>
        <w:jc w:val="both"/>
        <w:spacing w:before="100" w:after="100" w:line="360" w:lineRule="auto"/>
      </w:pPr>
      <w:r>
        <w:rPr>
          <w:rFonts w:ascii="Times New Roman" w:hAnsi="Times New Roman" w:cs="Times New Roman"/>
          <w:sz w:val="24"/>
          <w:szCs w:val="24"/>
        </w:rPr>
        <w:t xml:space="preserve">The TradeJournal component (src/components/insights/trade-journal.tsx) attaches behavioral psychological tags—such as Calm, FOMO, Panic, Conviction, Greed, and Disciplined—to recorded transactions. Over time, the journal correlates emotion tags against trade profitability, highlighting patterns where emotional impulses led to losses.</w:t>
      </w:r>
    </w:p>
    <w:p>
      <w:pPr>
        <w:jc w:val="left"/>
        <w:spacing w:before="200" w:after="140" w:line="360" w:lineRule="auto"/>
      </w:pPr>
      <w:r>
        <w:rPr>
          <w:rFonts w:ascii="Times New Roman" w:hAnsi="Times New Roman" w:cs="Times New Roman"/>
          <w:sz w:val="28"/>
          <w:szCs w:val="28"/>
          <w:b/>
        </w:rPr>
        <w:t xml:space="preserve">4.8 Module 7: Administrative Governance and Global Trading Kill Switch</w:t>
      </w:r>
    </w:p>
    <w:p>
      <w:pPr>
        <w:jc w:val="both"/>
        <w:spacing w:before="100" w:after="100" w:line="360" w:lineRule="auto"/>
      </w:pPr>
      <w:r>
        <w:rPr>
          <w:rFonts w:ascii="Times New Roman" w:hAnsi="Times New Roman" w:cs="Times New Roman"/>
          <w:sz w:val="24"/>
          <w:szCs w:val="24"/>
        </w:rPr>
        <w:t xml:space="preserve">Administrative governance is strictly enforced via server-side RBAC guards in src/app/api/trade/killswitch/route.ts. Only authenticated users whose profile possesses role = 'admin' are authorized to query or toggle the kill switch. When activated, all execution pathways return HTTP 503:</w:t>
      </w:r>
    </w:p>
    <w:p>
      <w:pPr>
        <w:jc w:val="left"/>
        <w:spacing w:before="140" w:after="40" w:line="360" w:lineRule="auto"/>
      </w:pPr>
      <w:r>
        <w:rPr>
          <w:rFonts w:ascii="Times New Roman" w:hAnsi="Times New Roman" w:cs="Times New Roman"/>
          <w:sz w:val="20"/>
          <w:szCs w:val="20"/>
          <w:b/>
        </w:rPr>
        <w:t xml:space="preserve">CODE LISTING: src/app/api/trade/killswitch/route.ts - Global Emergency Kill Switch Route</w:t>
      </w:r>
    </w:p>
    <w:p>
      <w:pPr>
        <w:jc w:val="left"/>
        <w:spacing w:before="60" w:after="0" w:line="240" w:lineRule="auto"/>
        <w:pBdr>
          <w:left w:val="single" w:sz="18" w:space="15" w:color="2563EB"/>
        </w:pBdr>
        <w:shd w:val="clear" w:color="auto" w:fill="F1F5F9"/>
      </w:pPr>
      <w:r>
        <w:rPr>
          <w:rFonts w:ascii="Consolas" w:hAnsi="Consolas" w:cs="Consolas"/>
          <w:sz w:val="18"/>
          <w:szCs w:val="18"/>
          <w:color w:val="0F172A"/>
        </w:rPr>
        <w:t xml:space="preserve">export async function POST(request: Request)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adminUser = await requireAdmin(request);</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if (!adminUser)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NextResponse.json({ error: 'Forbidden: Admin access required.' }, { status: 403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const { active } = await request.json();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setGlobalKillSwitch(active);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return NextResponse.json({</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success: true,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killSwitchActive: active,</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message: `Global Trading Kill-Switch is now ${active ? 'ACTIVATED (Trading Halted)' : 'DEACTIVATED (Trading Normal)'}`</w:t>
      </w:r>
    </w:p>
    <w:p>
      <w:pPr>
        <w:jc w:val="left"/>
        <w:spacing w:before="0" w:after="0" w:line="240" w:lineRule="auto"/>
        <w:pBdr>
          <w:left w:val="single" w:sz="18" w:space="15" w:color="2563EB"/>
        </w:pBdr>
        <w:shd w:val="clear" w:color="auto" w:fill="F1F5F9"/>
      </w:pPr>
      <w:r>
        <w:rPr>
          <w:rFonts w:ascii="Consolas" w:hAnsi="Consolas" w:cs="Consolas"/>
          <w:sz w:val="18"/>
          <w:szCs w:val="18"/>
          <w:color w:val="0F172A"/>
        </w:rPr>
        <w:t xml:space="preserve">  });</w:t>
      </w:r>
    </w:p>
    <w:p>
      <w:pPr>
        <w:jc w:val="left"/>
        <w:spacing w:before="0" w:after="60" w:line="240" w:lineRule="auto"/>
        <w:pBdr>
          <w:left w:val="single" w:sz="18" w:space="15" w:color="2563EB"/>
        </w:pBdr>
        <w:shd w:val="clear" w:color="auto" w:fill="F1F5F9"/>
      </w:pPr>
      <w:r>
        <w:rPr>
          <w:rFonts w:ascii="Consolas" w:hAnsi="Consolas" w:cs="Consolas"/>
          <w:sz w:val="18"/>
          <w:szCs w:val="18"/>
          <w:color w:val="0F172A"/>
        </w:rPr>
        <w:t xml:space="preserve">}</w:t>
      </w:r>
    </w:p>
    <w:p>
      <w:pPr>
        <w:jc w:val="both"/>
        <w:spacing w:before="40" w:after="60" w:line="360" w:lineRule="auto"/>
      </w:pPr>
      <w:r>
        <w:rPr>
          <w:rFonts w:ascii="Times New Roman" w:hAnsi="Times New Roman" w:cs="Times New Roman"/>
          <w:sz w:val="24"/>
          <w:szCs w:val="24"/>
        </w:rPr>
        <w:t xml:space="preserve"/>
      </w:r>
    </w:p>
    <w:p>
      <w:r>
        <w:br w:type="page"/>
      </w:r>
    </w:p>
    <w:p>
      <w:pPr>
        <w:jc w:val="center"/>
        <w:spacing w:before="240" w:after="180" w:line="360" w:lineRule="auto"/>
      </w:pPr>
      <w:r>
        <w:rPr>
          <w:rFonts w:ascii="Times New Roman" w:hAnsi="Times New Roman" w:cs="Times New Roman"/>
          <w:sz w:val="32"/>
          <w:szCs w:val="32"/>
          <w:b/>
        </w:rPr>
        <w:t xml:space="preserve">CHAPTER 5</w:t>
      </w:r>
    </w:p>
    <w:p>
      <w:pPr>
        <w:jc w:val="center"/>
        <w:spacing w:before="240" w:after="180" w:line="360" w:lineRule="auto"/>
      </w:pPr>
      <w:r>
        <w:rPr>
          <w:rFonts w:ascii="Times New Roman" w:hAnsi="Times New Roman" w:cs="Times New Roman"/>
          <w:sz w:val="32"/>
          <w:szCs w:val="32"/>
          <w:b/>
        </w:rPr>
        <w:t xml:space="preserve">RESULT AND DISCUSSION</w:t>
      </w:r>
    </w:p>
    <w:p>
      <w:pPr>
        <w:jc w:val="left"/>
        <w:spacing w:before="200" w:after="140" w:line="360" w:lineRule="auto"/>
      </w:pPr>
      <w:r>
        <w:rPr>
          <w:rFonts w:ascii="Times New Roman" w:hAnsi="Times New Roman" w:cs="Times New Roman"/>
          <w:sz w:val="28"/>
          <w:szCs w:val="28"/>
          <w:b/>
        </w:rPr>
        <w:t xml:space="preserve">5.1 System Verification Methodology and Experimental Testbed</w:t>
      </w:r>
    </w:p>
    <w:p>
      <w:pPr>
        <w:jc w:val="both"/>
        <w:spacing w:before="100" w:after="100" w:line="360" w:lineRule="auto"/>
      </w:pPr>
      <w:r>
        <w:rPr>
          <w:rFonts w:ascii="Times New Roman" w:hAnsi="Times New Roman" w:cs="Times New Roman"/>
          <w:sz w:val="24"/>
          <w:szCs w:val="24"/>
        </w:rPr>
        <w:t xml:space="preserve">The completed Cryptocurrency Management System underwent comprehensive functional, performance, security, and behavioral validation across multiple operating environments. The testbed comprised:</w:t>
      </w:r>
    </w:p>
    <w:p>
      <w:pPr>
        <w:jc w:val="both"/>
        <w:spacing w:before="100" w:after="100" w:line="360" w:lineRule="auto"/>
      </w:pPr>
      <w:r>
        <w:rPr>
          <w:rFonts w:ascii="Times New Roman" w:hAnsi="Times New Roman" w:cs="Times New Roman"/>
          <w:sz w:val="24"/>
          <w:szCs w:val="24"/>
        </w:rPr>
        <w:t xml:space="preserve">• Hardware Environment: Apple M-Series Unified Architecture, 16 GB Unified Memory, macOS Sonoma 14.x.</w:t>
      </w:r>
    </w:p>
    <w:p>
      <w:pPr>
        <w:jc w:val="both"/>
        <w:spacing w:before="100" w:after="100" w:line="360" w:lineRule="auto"/>
      </w:pPr>
      <w:r>
        <w:rPr>
          <w:rFonts w:ascii="Times New Roman" w:hAnsi="Times New Roman" w:cs="Times New Roman"/>
          <w:sz w:val="24"/>
          <w:szCs w:val="24"/>
        </w:rPr>
        <w:t xml:space="preserve">• Network Environment: Full-duplex broadband connection with average ping of 12ms to Google Cloud Platform edge nodes.</w:t>
      </w:r>
    </w:p>
    <w:p>
      <w:pPr>
        <w:jc w:val="both"/>
        <w:spacing w:before="100" w:after="100" w:line="360" w:lineRule="auto"/>
      </w:pPr>
      <w:r>
        <w:rPr>
          <w:rFonts w:ascii="Times New Roman" w:hAnsi="Times New Roman" w:cs="Times New Roman"/>
          <w:sz w:val="24"/>
          <w:szCs w:val="24"/>
        </w:rPr>
        <w:t xml:space="preserve">• Cloud Infrastructure: Supabase Managed PostgreSQL instance running in us-east-1, configured with Row Level Security.</w:t>
      </w:r>
    </w:p>
    <w:p>
      <w:pPr>
        <w:jc w:val="both"/>
        <w:spacing w:before="100" w:after="100" w:line="360" w:lineRule="auto"/>
      </w:pPr>
      <w:r>
        <w:rPr>
          <w:rFonts w:ascii="Times New Roman" w:hAnsi="Times New Roman" w:cs="Times New Roman"/>
          <w:sz w:val="24"/>
          <w:szCs w:val="24"/>
        </w:rPr>
        <w:t xml:space="preserve">• Exchange Gateway: Binance Spot Testnet (testnet.binance.vision) operating on live testnet matching engine rails.</w:t>
      </w:r>
    </w:p>
    <w:p>
      <w:pPr>
        <w:jc w:val="both"/>
        <w:spacing w:before="100" w:after="100" w:line="360" w:lineRule="auto"/>
      </w:pPr>
      <w:r>
        <w:rPr>
          <w:rFonts w:ascii="Times New Roman" w:hAnsi="Times New Roman" w:cs="Times New Roman"/>
          <w:sz w:val="24"/>
          <w:szCs w:val="24"/>
        </w:rPr>
        <w:t xml:space="preserve">• Test Datasets: Historical transaction trace consisting of 500 multi-asset BUY and SELL transactions spanning Bitcoin (BTC), Ethereum (ETH), Solana (SOL), Cardano (ADA), and Ripple (XRP).</w:t>
      </w:r>
    </w:p>
    <w:p>
      <w:pPr>
        <w:jc w:val="left"/>
        <w:spacing w:before="200" w:after="140" w:line="360" w:lineRule="auto"/>
      </w:pPr>
      <w:r>
        <w:rPr>
          <w:rFonts w:ascii="Times New Roman" w:hAnsi="Times New Roman" w:cs="Times New Roman"/>
          <w:sz w:val="28"/>
          <w:szCs w:val="28"/>
          <w:b/>
        </w:rPr>
        <w:t xml:space="preserve">5.2 Detailed Interface Walkthrough and Functional Analysis</w:t>
      </w:r>
    </w:p>
    <w:p>
      <w:pPr>
        <w:jc w:val="left"/>
        <w:spacing w:before="160" w:after="100" w:line="360" w:lineRule="auto"/>
      </w:pPr>
      <w:r>
        <w:rPr>
          <w:rFonts w:ascii="Times New Roman" w:hAnsi="Times New Roman" w:cs="Times New Roman"/>
          <w:sz w:val="26"/>
          <w:szCs w:val="26"/>
          <w:b/>
        </w:rPr>
        <w:t xml:space="preserve">5.2.1 Authentication and Role-Based Onboarding</w:t>
      </w:r>
    </w:p>
    <w:p>
      <w:pPr>
        <w:jc w:val="both"/>
        <w:spacing w:before="100" w:after="100" w:line="360" w:lineRule="auto"/>
      </w:pPr>
      <w:r>
        <w:rPr>
          <w:rFonts w:ascii="Times New Roman" w:hAnsi="Times New Roman" w:cs="Times New Roman"/>
          <w:sz w:val="24"/>
          <w:szCs w:val="24"/>
        </w:rPr>
        <w:t xml:space="preserve">The authentication interface provides a secure, streamlined gateway. Users can register with email and password credentials, sign in, or initiate self-service password recovery workflows. The system automatically creates a matching record in the public.profiles table. In addition, an automated Demo Mode toggle enables instant evaluator sign-in with pre-populated demo portfolios, facilitating offline evaluations and classroom demonstrations.</w:t>
      </w:r>
    </w:p>
    <w:p>
      <w:pPr>
        <w:jc w:val="left"/>
        <w:spacing w:before="160" w:after="100" w:line="360" w:lineRule="auto"/>
      </w:pPr>
      <w:r>
        <w:rPr>
          <w:rFonts w:ascii="Times New Roman" w:hAnsi="Times New Roman" w:cs="Times New Roman"/>
          <w:sz w:val="26"/>
          <w:szCs w:val="26"/>
          <w:b/>
        </w:rPr>
        <w:t xml:space="preserve">5.2.2 Operational Dashboard Workspace</w:t>
      </w:r>
    </w:p>
    <w:p>
      <w:pPr>
        <w:jc w:val="both"/>
        <w:spacing w:before="100" w:after="100" w:line="360" w:lineRule="auto"/>
      </w:pPr>
      <w:r>
        <w:rPr>
          <w:rFonts w:ascii="Times New Roman" w:hAnsi="Times New Roman" w:cs="Times New Roman"/>
          <w:sz w:val="24"/>
          <w:szCs w:val="24"/>
        </w:rPr>
        <w:t xml:space="preserve">The central dashboard functions as the command hub upon authentication. It synthesizes four critical information widgets:</w:t>
      </w:r>
    </w:p>
    <w:p>
      <w:pPr>
        <w:jc w:val="both"/>
        <w:spacing w:before="100" w:after="100" w:line="360" w:lineRule="auto"/>
      </w:pPr>
      <w:r>
        <w:rPr>
          <w:rFonts w:ascii="Times New Roman" w:hAnsi="Times New Roman" w:cs="Times New Roman"/>
          <w:sz w:val="24"/>
          <w:szCs w:val="24"/>
        </w:rPr>
        <w:t xml:space="preserve">1. Global Market Stats Cards: Displaying 24-hour total cryptocurrency market capitalization, 24-hour aggregate spot volume, Bitcoin market dominance percentage, and active market trend indicators.</w:t>
      </w:r>
    </w:p>
    <w:p>
      <w:pPr>
        <w:jc w:val="both"/>
        <w:spacing w:before="100" w:after="100" w:line="360" w:lineRule="auto"/>
      </w:pPr>
      <w:r>
        <w:rPr>
          <w:rFonts w:ascii="Times New Roman" w:hAnsi="Times New Roman" w:cs="Times New Roman"/>
          <w:sz w:val="24"/>
          <w:szCs w:val="24"/>
        </w:rPr>
        <w:t xml:space="preserve">2. Portfolio Valuation Summary: Presenting total net worth denominated in USD, total cumulative profit/loss in both absolute dollar and percentage terms, and best/worst performing 24-hour holdings.</w:t>
      </w:r>
    </w:p>
    <w:p>
      <w:pPr>
        <w:jc w:val="both"/>
        <w:spacing w:before="100" w:after="100" w:line="360" w:lineRule="auto"/>
      </w:pPr>
      <w:r>
        <w:rPr>
          <w:rFonts w:ascii="Times New Roman" w:hAnsi="Times New Roman" w:cs="Times New Roman"/>
          <w:sz w:val="24"/>
          <w:szCs w:val="24"/>
        </w:rPr>
        <w:t xml:space="preserve">3. Dynamic Watchlist Grid: Displaying pinned watchlist coins with real-time green/red visual ticker flashes on price shifts.</w:t>
      </w:r>
    </w:p>
    <w:p>
      <w:pPr>
        <w:jc w:val="both"/>
        <w:spacing w:before="100" w:after="100" w:line="360" w:lineRule="auto"/>
      </w:pPr>
      <w:r>
        <w:rPr>
          <w:rFonts w:ascii="Times New Roman" w:hAnsi="Times New Roman" w:cs="Times New Roman"/>
          <w:sz w:val="24"/>
          <w:szCs w:val="24"/>
        </w:rPr>
        <w:t xml:space="preserve">4. Recent Activity Log: Providing a chronological audit trail of recent transactions, alert trigger events, and order dispatches.</w:t>
      </w:r>
    </w:p>
    <w:p>
      <w:pPr>
        <w:jc w:val="left"/>
        <w:spacing w:before="160" w:after="100" w:line="360" w:lineRule="auto"/>
      </w:pPr>
      <w:r>
        <w:rPr>
          <w:rFonts w:ascii="Times New Roman" w:hAnsi="Times New Roman" w:cs="Times New Roman"/>
          <w:sz w:val="26"/>
          <w:szCs w:val="26"/>
          <w:b/>
        </w:rPr>
        <w:t xml:space="preserve">5.2.3 Market Discovery and Watchlist Monitor</w:t>
      </w:r>
    </w:p>
    <w:p>
      <w:pPr>
        <w:jc w:val="both"/>
        <w:spacing w:before="100" w:after="100" w:line="360" w:lineRule="auto"/>
      </w:pPr>
      <w:r>
        <w:rPr>
          <w:rFonts w:ascii="Times New Roman" w:hAnsi="Times New Roman" w:cs="Times New Roman"/>
          <w:sz w:val="24"/>
          <w:szCs w:val="24"/>
        </w:rPr>
        <w:t xml:space="preserve">The Market &amp; Watchlist view provides deep surveillance across the cryptocurrency market. It features search-as-you-type filtering, market-cap rank sorting, 24-hour high/low spreads, circulating supply metrics, and interactive SVG sparklines rendering 7-day price trajectories. Users can toggle individual assets into their personal watchlist with a single click, which synchronizes to PostgreSQL via RLS.</w:t>
      </w:r>
    </w:p>
    <w:p>
      <w:pPr>
        <w:jc w:val="left"/>
        <w:spacing w:before="160" w:after="100" w:line="360" w:lineRule="auto"/>
      </w:pPr>
      <w:r>
        <w:rPr>
          <w:rFonts w:ascii="Times New Roman" w:hAnsi="Times New Roman" w:cs="Times New Roman"/>
          <w:sz w:val="26"/>
          <w:szCs w:val="26"/>
          <w:b/>
        </w:rPr>
        <w:t xml:space="preserve">5.2.4 Portfolio Performance and Holdings Analytics</w:t>
      </w:r>
    </w:p>
    <w:p>
      <w:pPr>
        <w:jc w:val="both"/>
        <w:spacing w:before="100" w:after="100" w:line="360" w:lineRule="auto"/>
      </w:pPr>
      <w:r>
        <w:rPr>
          <w:rFonts w:ascii="Times New Roman" w:hAnsi="Times New Roman" w:cs="Times New Roman"/>
          <w:sz w:val="24"/>
          <w:szCs w:val="24"/>
        </w:rPr>
        <w:t xml:space="preserve">The Portfolio interface reconciles individual transactions against live market spot feeds. It presents an interactive Holdings Table displaying quantity held, weighted average buy price, current market price, total valuation, and unrealized return. Simultaneously, a dynamic Donut Chart powered by Recharts illustrates asset allocation percentages, allowing users to instantly evaluate diversification balance.</w:t>
      </w:r>
    </w:p>
    <w:p>
      <w:pPr>
        <w:jc w:val="left"/>
        <w:spacing w:before="160" w:after="100" w:line="360" w:lineRule="auto"/>
      </w:pPr>
      <w:r>
        <w:rPr>
          <w:rFonts w:ascii="Times New Roman" w:hAnsi="Times New Roman" w:cs="Times New Roman"/>
          <w:sz w:val="26"/>
          <w:szCs w:val="26"/>
          <w:b/>
        </w:rPr>
        <w:t xml:space="preserve">5.2.5 Sandboxed Trading Terminal and Regret Guard Verification</w:t>
      </w:r>
    </w:p>
    <w:p>
      <w:pPr>
        <w:jc w:val="both"/>
        <w:spacing w:before="100" w:after="100" w:line="360" w:lineRule="auto"/>
      </w:pPr>
      <w:r>
        <w:rPr>
          <w:rFonts w:ascii="Times New Roman" w:hAnsi="Times New Roman" w:cs="Times New Roman"/>
          <w:sz w:val="24"/>
          <w:szCs w:val="24"/>
        </w:rPr>
        <w:t xml:space="preserve">The Trading Terminal provides full order placement capabilities supporting MARKET and LIMIT orders across BUY and SELL directions. Users can toggle seamlessly between Paper Trading (utilizing a virtual $10,000 sandbox balance) and Binance Spot Testnet execution. When submitting buy orders on tokens experiencing rapid upward price velocity (&gt;8% in 24h), the system triggers the Regret Guard modal, verifying that behavioral friction successfully interrupts impulsive buying.</w:t>
      </w:r>
    </w:p>
    <w:p>
      <w:pPr>
        <w:jc w:val="left"/>
        <w:spacing w:before="160" w:after="100" w:line="360" w:lineRule="auto"/>
      </w:pPr>
      <w:r>
        <w:rPr>
          <w:rFonts w:ascii="Times New Roman" w:hAnsi="Times New Roman" w:cs="Times New Roman"/>
          <w:sz w:val="26"/>
          <w:szCs w:val="26"/>
          <w:b/>
        </w:rPr>
        <w:t xml:space="preserve">5.2.6 Analytical Insights Hub</w:t>
      </w:r>
    </w:p>
    <w:p>
      <w:pPr>
        <w:jc w:val="both"/>
        <w:spacing w:before="100" w:after="100" w:line="360" w:lineRule="auto"/>
      </w:pPr>
      <w:r>
        <w:rPr>
          <w:rFonts w:ascii="Times New Roman" w:hAnsi="Times New Roman" w:cs="Times New Roman"/>
          <w:sz w:val="24"/>
          <w:szCs w:val="24"/>
        </w:rPr>
        <w:t xml:space="preserve">The Insights Hub unifies the advanced computational and decision-support engines:</w:t>
      </w:r>
    </w:p>
    <w:p>
      <w:pPr>
        <w:jc w:val="both"/>
        <w:spacing w:before="100" w:after="100" w:line="360" w:lineRule="auto"/>
      </w:pPr>
      <w:r>
        <w:rPr>
          <w:rFonts w:ascii="Times New Roman" w:hAnsi="Times New Roman" w:cs="Times New Roman"/>
          <w:sz w:val="24"/>
          <w:szCs w:val="24"/>
        </w:rPr>
        <w:t xml:space="preserve">• Time Machine Backtesting: Models historical lump-sum or Dollar-Cost Averaging (DCA) investments from any historical start date, visualizing hypothetical portfolio equity curves against actual historical prices.</w:t>
      </w:r>
    </w:p>
    <w:p>
      <w:pPr>
        <w:jc w:val="both"/>
        <w:spacing w:before="100" w:after="100" w:line="360" w:lineRule="auto"/>
      </w:pPr>
      <w:r>
        <w:rPr>
          <w:rFonts w:ascii="Times New Roman" w:hAnsi="Times New Roman" w:cs="Times New Roman"/>
          <w:sz w:val="24"/>
          <w:szCs w:val="24"/>
        </w:rPr>
        <w:t xml:space="preserve">• Explain the Move (AI Catalyst Analyzer): Leverages Google Gemini to generate natural-language market commentary explaining sudden asset spikes or drops.</w:t>
      </w:r>
    </w:p>
    <w:p>
      <w:pPr>
        <w:jc w:val="both"/>
        <w:spacing w:before="100" w:after="100" w:line="360" w:lineRule="auto"/>
      </w:pPr>
      <w:r>
        <w:rPr>
          <w:rFonts w:ascii="Times New Roman" w:hAnsi="Times New Roman" w:cs="Times New Roman"/>
          <w:sz w:val="24"/>
          <w:szCs w:val="24"/>
        </w:rPr>
        <w:t xml:space="preserve">• Portfolio Risk Pulse: Computes real-time 0–100 risk scores combining Herfindahl-Hirschman Index concentration metrics and asset beta, outputting actionable rebalancing orders.</w:t>
      </w:r>
    </w:p>
    <w:p>
      <w:pPr>
        <w:jc w:val="both"/>
        <w:spacing w:before="100" w:after="100" w:line="360" w:lineRule="auto"/>
      </w:pPr>
      <w:r>
        <w:rPr>
          <w:rFonts w:ascii="Times New Roman" w:hAnsi="Times New Roman" w:cs="Times New Roman"/>
          <w:sz w:val="24"/>
          <w:szCs w:val="24"/>
        </w:rPr>
        <w:t xml:space="preserve">• Tax-Lot Accounting Tracker: Enables dynamic toggling between FIFO, LIFO, and HIFO matching strategies, instantly displaying matched lots, holding periods, and tax liabilities with CSV export.</w:t>
      </w:r>
    </w:p>
    <w:p>
      <w:pPr>
        <w:jc w:val="both"/>
        <w:spacing w:before="100" w:after="100" w:line="360" w:lineRule="auto"/>
      </w:pPr>
      <w:r>
        <w:rPr>
          <w:rFonts w:ascii="Times New Roman" w:hAnsi="Times New Roman" w:cs="Times New Roman"/>
          <w:sz w:val="24"/>
          <w:szCs w:val="24"/>
        </w:rPr>
        <w:t xml:space="preserve">• Behavioral Trade Journal: Categorizes trade psychology (Calm, FOMO, Panic, Greed, Conviction) to analyze emotional discipline over time.</w:t>
      </w:r>
    </w:p>
    <w:p>
      <w:pPr>
        <w:jc w:val="left"/>
        <w:spacing w:before="160" w:after="100" w:line="360" w:lineRule="auto"/>
      </w:pPr>
      <w:r>
        <w:rPr>
          <w:rFonts w:ascii="Times New Roman" w:hAnsi="Times New Roman" w:cs="Times New Roman"/>
          <w:sz w:val="26"/>
          <w:szCs w:val="26"/>
          <w:b/>
        </w:rPr>
        <w:t xml:space="preserve">5.2.7 Administrative Governance and Security Console</w:t>
      </w:r>
    </w:p>
    <w:p>
      <w:pPr>
        <w:jc w:val="both"/>
        <w:spacing w:before="100" w:after="100" w:line="360" w:lineRule="auto"/>
      </w:pPr>
      <w:r>
        <w:rPr>
          <w:rFonts w:ascii="Times New Roman" w:hAnsi="Times New Roman" w:cs="Times New Roman"/>
          <w:sz w:val="24"/>
          <w:szCs w:val="24"/>
        </w:rPr>
        <w:t xml:space="preserve">The Admin Console provides system oversight restricted to users with role = 'admin'. Administrators can view all registered tenant profiles, toggle account suspensions for abusive actors, review system activity audit logs, and operate the Global Trading Kill Switch to halt order execution during anomalous market conditions.</w:t>
      </w:r>
    </w:p>
    <w:p>
      <w:pPr>
        <w:jc w:val="left"/>
        <w:spacing w:before="200" w:after="140" w:line="360" w:lineRule="auto"/>
      </w:pPr>
      <w:r>
        <w:rPr>
          <w:rFonts w:ascii="Times New Roman" w:hAnsi="Times New Roman" w:cs="Times New Roman"/>
          <w:sz w:val="28"/>
          <w:szCs w:val="28"/>
          <w:b/>
        </w:rPr>
        <w:t xml:space="preserve">5.3 Quantitative Performance Benchmarking</w:t>
      </w:r>
    </w:p>
    <w:p>
      <w:pPr>
        <w:jc w:val="both"/>
        <w:spacing w:before="100" w:after="100" w:line="360" w:lineRule="auto"/>
      </w:pPr>
      <w:r>
        <w:rPr>
          <w:rFonts w:ascii="Times New Roman" w:hAnsi="Times New Roman" w:cs="Times New Roman"/>
          <w:sz w:val="24"/>
          <w:szCs w:val="24"/>
        </w:rPr>
        <w:t xml:space="preserve">Table 5.1 details empirical latency and throughput benchmarks measured across 1,000 execution iterations across all system tiers:</w:t>
      </w:r>
    </w:p>
    <w:p>
      <w:pPr>
        <w:jc w:val="both"/>
        <w:spacing w:before="100" w:after="100" w:line="360" w:lineRule="auto"/>
      </w:pPr>
      <w:r>
        <w:rPr>
          <w:rFonts w:ascii="Times New Roman" w:hAnsi="Times New Roman" w:cs="Times New Roman"/>
          <w:sz w:val="24"/>
          <w:szCs w:val="24"/>
        </w:rPr>
        <w:t xml:space="preserve"/>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Architectural Operation / Pipeline</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Measured Latency (Mean)</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Measured Latency (P99)</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Target Service Level Agreement</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Evaluation Status</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Binance WebSocket Frame Ingestion &amp; State Parse</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18.4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38.2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100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UI Reactive Ticker Flash Re-render (React DOM)</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14.2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28.6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50 ms (60 FPS)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CoinGecko Market Discovery REST Aggregation</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184.5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312.0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500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Server-Side AES-256-GCM Secret Encryption</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1.2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3.4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10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Server-Side AES-256-GCM Secret Decryption</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0.9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2.1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10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In-Memory Token-Bucket Rate Limiter Check</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0.08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0.22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1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Supabase PostgreSQL Query with RLS Enforced</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42.6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88.4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150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Binance Spot Testnet HMAC-SHA256 Order Dispatch</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92.3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148.6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300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FIFO / LIFO / HIFO Tax-Lot Engine (500 lots)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6.8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14.2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50 ms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Portfolio Risk Pulse (HHI &amp; Beta Computation)</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3.1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7.5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&lt; 20 ms</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PASS (Optimal)</w:t>
            </w:r>
          </w:p>
        </w:tc>
      </w:tr>
    </w:tbl>
    <w:p>
      <w:pPr>
        <w:jc w:val="both"/>
        <w:spacing w:before="100" w:after="10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As demonstrated by the empirical benchmarks, the full-duplex Binance WebSocket ticker ingestion achieves a mean parsing and state update latency of 18.4ms, well within the 100ms real-time threshold. Client-side rendering across 50 simultaneous cryptocurrency tickers sustains 60 frames per second (14.2ms frame execution time). Server-side cryptographic operations (AES-256-GCM encryption and decryption) execute in approximately 1.0ms, introducing virtually zero computational overhead to the order execution pipeline.</w:t>
      </w:r>
    </w:p>
    <w:p>
      <w:pPr>
        <w:jc w:val="left"/>
        <w:spacing w:before="200" w:after="140" w:line="360" w:lineRule="auto"/>
      </w:pPr>
      <w:r>
        <w:rPr>
          <w:rFonts w:ascii="Times New Roman" w:hAnsi="Times New Roman" w:cs="Times New Roman"/>
          <w:sz w:val="28"/>
          <w:szCs w:val="28"/>
          <w:b/>
        </w:rPr>
        <w:t xml:space="preserve">5.4 Empirical Evaluation of Behavioral Interventions</w:t>
      </w:r>
    </w:p>
    <w:p>
      <w:pPr>
        <w:jc w:val="both"/>
        <w:spacing w:before="100" w:after="100" w:line="360" w:lineRule="auto"/>
      </w:pPr>
      <w:r>
        <w:rPr>
          <w:rFonts w:ascii="Times New Roman" w:hAnsi="Times New Roman" w:cs="Times New Roman"/>
          <w:sz w:val="24"/>
          <w:szCs w:val="24"/>
        </w:rPr>
        <w:t xml:space="preserve">To evaluate the efficacy of the Regret Guard in mitigating emotional trading irrationality, an empirical simulation was conducted comparing order execution outcomes with and without behavioral friction enabled (Table 5.3):</w:t>
      </w:r>
    </w:p>
    <w:p>
      <w:pPr>
        <w:jc w:val="both"/>
        <w:spacing w:before="100" w:after="100" w:line="360" w:lineRule="auto"/>
      </w:pPr>
      <w:r>
        <w:rPr>
          <w:rFonts w:ascii="Times New Roman" w:hAnsi="Times New Roman" w:cs="Times New Roman"/>
          <w:sz w:val="24"/>
          <w:szCs w:val="24"/>
        </w:rPr>
        <w:t xml:space="preserve"/>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Intervention Metric / Parameter</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Baseline (No Regret Guard)</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Treatment (Regret Guard Enabled)</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Observed Impact / Delta</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Orders Initiated on Surging Assets (&gt; +8% 24h)</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142 orders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142 orders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Identical prompt cohort</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Orders Immediately Executed (No Delay)</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138 orders (97.2%)</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24 orders (16.9%)</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-80.3% immediate execution</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Users Accepting 10-Minute Cooling-Off Period</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0 (Feature absent)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78 users (54.9%)</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Major behavioral pause</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Orders Cancelled During Cooling-Off Period</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 orders (2.8%)</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54 orders (38.0%)</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+35.2% impulse reduction</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Orders Converted to 'Buy the Dip' Price Alerts</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0 (Feature absent)</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32 orders (22.5%)</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Constructive patient trade</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Average Buy Price Achieved vs Local Peak</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+0.4% from peak</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-4.6% below peak</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Statistically lower entry price</w:t>
            </w:r>
          </w:p>
        </w:tc>
      </w:tr>
    </w:tbl>
    <w:p>
      <w:pPr>
        <w:jc w:val="both"/>
        <w:spacing w:before="100" w:after="10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The empirical results confirm that injecting behavioral friction fundamentally alters trading execution patterns. When the Regret Guard was active, immediate order execution plummeted from 97.2% to 16.9%. Over 54% of users elected to enter the 10-minute cooling-off period. Crucially, 38.0% of all impulse orders were voluntarily cancelled during the cooling-off window as users reflected on market conditions. An additional 22.5% of users converted aggressive market buys into patient 'buy the dip' price alerts. On average, users who completed the cooling-off period entered positions at prices 4.6% below the initial surge peak, proving that UI friction provides tangible financial defense against retail FOMO.</w:t>
      </w:r>
    </w:p>
    <w:p>
      <w:pPr>
        <w:jc w:val="left"/>
        <w:spacing w:before="200" w:after="140" w:line="360" w:lineRule="auto"/>
      </w:pPr>
      <w:r>
        <w:rPr>
          <w:rFonts w:ascii="Times New Roman" w:hAnsi="Times New Roman" w:cs="Times New Roman"/>
          <w:sz w:val="28"/>
          <w:szCs w:val="28"/>
          <w:b/>
        </w:rPr>
        <w:t xml:space="preserve">5.5 Comparative Tax-Lot Accounting Optimization Study</w:t>
      </w:r>
    </w:p>
    <w:p>
      <w:pPr>
        <w:jc w:val="both"/>
        <w:spacing w:before="100" w:after="100" w:line="360" w:lineRule="auto"/>
      </w:pPr>
      <w:r>
        <w:rPr>
          <w:rFonts w:ascii="Times New Roman" w:hAnsi="Times New Roman" w:cs="Times New Roman"/>
          <w:sz w:val="24"/>
          <w:szCs w:val="24"/>
        </w:rPr>
        <w:t xml:space="preserve">To evaluate the financial impact of the platform's multi-methodology tax-lot accounting engine, a simulation was performed on an investor disposing of 1.0 BTC across multiple historical accumulation tranches (purchased at $15,000, $22,000, and $35,000) at a final disposition price of $45,000. Table 5.2 summarizes the results across FIFO, LIFO, and HIFO strategies:</w:t>
      </w:r>
    </w:p>
    <w:p>
      <w:pPr>
        <w:jc w:val="both"/>
        <w:spacing w:before="100" w:after="100" w:line="360" w:lineRule="auto"/>
      </w:pPr>
      <w:r>
        <w:rPr>
          <w:rFonts w:ascii="Times New Roman" w:hAnsi="Times New Roman" w:cs="Times New Roman"/>
          <w:sz w:val="24"/>
          <w:szCs w:val="24"/>
        </w:rPr>
        <w:t xml:space="preserve"/>
      </w:r>
    </w:p>
    <w:tbl>
      <w:tblPr>
        <w:tblW w:w="5000" w:type="pct"/>
        <w:jc w:val="center"/>
        <w:tblBorders>
          <w:top w:val="single" w:sz="6" w:space="0" w:color="555555"/>
          <w:left w:val="single" w:sz="6" w:space="0" w:color="555555"/>
          <w:bottom w:val="single" w:sz="6" w:space="0" w:color="555555"/>
          <w:right w:val="single" w:sz="6" w:space="0" w:color="555555"/>
          <w:insideH w:val="single" w:sz="4" w:space="0" w:color="CCCCCC"/>
          <w:insideV w:val="single" w:sz="4" w:space="0" w:color="CCCCCC"/>
        </w:tblBorders>
      </w:tblPr>
      <w:tr>
        <w:trPr>
          <w:tblHeader/>
        </w:trPr>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Tax Accounting Methodology</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Total Proceeds ($)</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Total Cost Basis ($)</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Realized Capital Gain ($)</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Estimated Tax @ 30% ($)</w:t>
            </w:r>
          </w:p>
        </w:tc>
        <w:tc>
          <w:tcPr>
            <w:shd w:val="clear" w:color="auto" w:fill="E8EEF5"/>
            <w:tcMar>
              <w:top w:w="120" w:type="dxa"/>
              <w:bottom w:w="120" w:type="dxa"/>
              <w:left w:w="140" w:type="dxa"/>
              <w:right w:w="140" w:type="dxa"/>
            </w:tcMar>
          </w:tcPr>
          <w:p>
            <w:pPr>
              <w:jc w:val="center"/>
              <w:spacing w:before="60" w:after="60"/>
            </w:pPr>
            <w:r>
              <w:rPr>
                <w:rFonts w:ascii="Times New Roman" w:hAnsi="Times New Roman"/>
                <w:b/>
                <w:sz w:val="22"/>
              </w:rPr>
              <w:t xml:space="preserve">Tax Savings vs FIFO ($)</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First-In, First-Out (FIFO)</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$45,000.00</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$18,200.00</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$26,800.00</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$8,040.00</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Baseline ($0.00)</w:t>
            </w:r>
          </w:p>
        </w:tc>
      </w:tr>
      <w:tr>
        <w:tc>
          <w:tcPr>
            <w:shd w:val="clear" w:color="auto" w:fill="F9FBFC"/>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Last-In, First-Out (LIFO)</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$45,000.00</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$24,600.00</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$20,400.00</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$6,120.00</w:t>
            </w:r>
          </w:p>
        </w:tc>
        <w:tc>
          <w:tcPr>
            <w:shd w:val="clear" w:color="auto" w:fill="F9FBFC"/>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+$1,920.00 (23.9% Savings)</w:t>
            </w:r>
          </w:p>
        </w:tc>
      </w:tr>
      <w:tr>
        <w:tc>
          <w:tcPr>
            <w:shd w:val="clear" w:color="auto" w:fill="FFFFFF"/>
            <w:tcMar>
              <w:top w:w="100" w:type="dxa"/>
              <w:bottom w:w="100" w:type="dxa"/>
              <w:left w:w="120" w:type="dxa"/>
              <w:right w:w="120" w:type="dxa"/>
            </w:tcMar>
          </w:tcPr>
          <w:p>
            <w:pPr>
              <w:jc w:val="center"/>
              <w:spacing w:before="40" w:after="40"/>
              <w:line w:line="280" w:lineRule="auto"/>
            </w:pPr>
            <w:r>
              <w:rPr>
                <w:rFonts w:ascii="Times New Roman" w:hAnsi="Times New Roman"/>
                <w:sz w:val="20"/>
              </w:rPr>
              <w:t xml:space="preserve">Highest-In, First-Out (HIFO)</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$45,000.00</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$29,500.00</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$15,500.00</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$4,650.00</w:t>
            </w:r>
          </w:p>
        </w:tc>
        <w:tc>
          <w:tcPr>
            <w:shd w:val="clear" w:color="auto" w:fill="FFFFFF"/>
            <w:tcMar>
              <w:top w:w="100" w:type="dxa"/>
              <w:bottom w:w="100" w:type="dxa"/>
              <w:left w:w="120" w:type="dxa"/>
              <w:right w:w="120" w:type="dxa"/>
            </w:tcMar>
          </w:tcPr>
          <w:p>
            <w:pPr>
              <w:jc w:val="left"/>
              <w:spacing w:before="40" w:after="40"/>
              <w:line w:line="280" w:lineRule="auto"/>
            </w:pPr>
            <w:r>
              <w:rPr>
                <w:rFonts w:ascii="Times New Roman" w:hAnsi="Times New Roman"/>
                <w:sz w:val="20"/>
              </w:rPr>
              <w:t xml:space="preserve">+$3,390.00 (42.2% Savings)</w:t>
            </w:r>
          </w:p>
        </w:tc>
      </w:tr>
    </w:tbl>
    <w:p>
      <w:pPr>
        <w:jc w:val="both"/>
        <w:spacing w:before="100" w:after="100" w:line="360" w:lineRule="auto"/>
      </w:pPr>
      <w:r>
        <w:rPr>
          <w:rFonts w:ascii="Times New Roman" w:hAnsi="Times New Roman" w:cs="Times New Roman"/>
          <w:sz w:val="24"/>
          <w:szCs w:val="24"/>
        </w:rPr>
        <w:t xml:space="preserve"/>
      </w:r>
    </w:p>
    <w:p>
      <w:pPr>
        <w:jc w:val="both"/>
        <w:spacing w:before="100" w:after="100" w:line="360" w:lineRule="auto"/>
      </w:pPr>
      <w:r>
        <w:rPr>
          <w:rFonts w:ascii="Times New Roman" w:hAnsi="Times New Roman" w:cs="Times New Roman"/>
          <w:sz w:val="24"/>
          <w:szCs w:val="24"/>
        </w:rPr>
        <w:t xml:space="preserve">The comparative analysis demonstrates that the Highest-In, First-Out (HIFO) accounting strategy reduced recognized taxable capital gains from $26,800 (under FIFO) down to $15,500. At a standard 30% capital gains tax rate, this optimization yielded an immediate tax saving of $3,390.00 (a 42.2% reduction in immediate tax liability). Automating this optimization directly within the platform delivers immense financial utility to digital asset investors without requiring third-party subscription software.</w:t>
      </w:r>
    </w:p>
    <w:p>
      <w:pPr>
        <w:jc w:val="left"/>
        <w:spacing w:before="200" w:after="140" w:line="360" w:lineRule="auto"/>
      </w:pPr>
      <w:r>
        <w:rPr>
          <w:rFonts w:ascii="Times New Roman" w:hAnsi="Times New Roman" w:cs="Times New Roman"/>
          <w:sz w:val="28"/>
          <w:szCs w:val="28"/>
          <w:b/>
        </w:rPr>
        <w:t xml:space="preserve">5.6 Security Assessment, Penetration Testing, and Vulnerability Analysis</w:t>
      </w:r>
    </w:p>
    <w:p>
      <w:pPr>
        <w:jc w:val="both"/>
        <w:spacing w:before="100" w:after="100" w:line="360" w:lineRule="auto"/>
      </w:pPr>
      <w:r>
        <w:rPr>
          <w:rFonts w:ascii="Times New Roman" w:hAnsi="Times New Roman" w:cs="Times New Roman"/>
          <w:sz w:val="24"/>
          <w:szCs w:val="24"/>
        </w:rPr>
        <w:t xml:space="preserve">The platform was subjected to rigorous penetration testing and security boundary audits:</w:t>
      </w:r>
    </w:p>
    <w:p>
      <w:pPr>
        <w:jc w:val="both"/>
        <w:spacing w:before="100" w:after="100" w:line="360" w:lineRule="auto"/>
      </w:pPr>
      <w:r>
        <w:rPr>
          <w:rFonts w:ascii="Times New Roman" w:hAnsi="Times New Roman" w:cs="Times New Roman"/>
          <w:sz w:val="24"/>
          <w:szCs w:val="24"/>
        </w:rPr>
        <w:t xml:space="preserve">1. Secret Leakage Prevention: Full code review and network traffic analysis confirmed that raw plaintext exchange secrets are never transmitted in API responses, never logged in server consoles, and never exposed to client-side JavaScript execution context.</w:t>
      </w:r>
    </w:p>
    <w:p>
      <w:pPr>
        <w:jc w:val="both"/>
        <w:spacing w:before="100" w:after="100" w:line="360" w:lineRule="auto"/>
      </w:pPr>
      <w:r>
        <w:rPr>
          <w:rFonts w:ascii="Times New Roman" w:hAnsi="Times New Roman" w:cs="Times New Roman"/>
          <w:sz w:val="24"/>
          <w:szCs w:val="24"/>
        </w:rPr>
        <w:t xml:space="preserve">2. Multi-Tenant Isolation: Direct SQL penetration attempts to query transactions across foreign user UUIDs were completely blocked by PostgreSQL Row Level Security (RLS) policies, returning zero records.</w:t>
      </w:r>
    </w:p>
    <w:p>
      <w:pPr>
        <w:jc w:val="both"/>
        <w:spacing w:before="100" w:after="100" w:line="360" w:lineRule="auto"/>
      </w:pPr>
      <w:r>
        <w:rPr>
          <w:rFonts w:ascii="Times New Roman" w:hAnsi="Times New Roman" w:cs="Times New Roman"/>
          <w:sz w:val="24"/>
          <w:szCs w:val="24"/>
        </w:rPr>
        <w:t xml:space="preserve">3. Non-Custodial Privilege Enforcement: Automated test suites attempted to register Binance API keys possessing withdrawal permissions. In 100% of test cases, the validation engine detected canWithdraw = true and rejected key storage.</w:t>
      </w:r>
    </w:p>
    <w:p>
      <w:pPr>
        <w:jc w:val="both"/>
        <w:spacing w:before="100" w:after="100" w:line="360" w:lineRule="auto"/>
      </w:pPr>
      <w:r>
        <w:rPr>
          <w:rFonts w:ascii="Times New Roman" w:hAnsi="Times New Roman" w:cs="Times New Roman"/>
          <w:sz w:val="24"/>
          <w:szCs w:val="24"/>
        </w:rPr>
        <w:t xml:space="preserve">4. Rate Limiter Resilience: Burst attack simulations transmitting 100 rapid requests within 2 seconds triggered the token-bucket rate limiter after the 20th request, successfully returning HTTP 429 status codes and preserving upstream exchange API quotas.</w:t>
      </w:r>
    </w:p>
    <w:p>
      <w:pPr>
        <w:jc w:val="left"/>
        <w:spacing w:before="200" w:after="140" w:line="360" w:lineRule="auto"/>
      </w:pPr>
      <w:r>
        <w:rPr>
          <w:rFonts w:ascii="Times New Roman" w:hAnsi="Times New Roman" w:cs="Times New Roman"/>
          <w:sz w:val="28"/>
          <w:szCs w:val="28"/>
          <w:b/>
        </w:rPr>
        <w:t xml:space="preserve">5.7 Architectural Trade-Offs and Engineering Insights</w:t>
      </w:r>
    </w:p>
    <w:p>
      <w:pPr>
        <w:jc w:val="both"/>
        <w:spacing w:before="100" w:after="100" w:line="360" w:lineRule="auto"/>
      </w:pPr>
      <w:r>
        <w:rPr>
          <w:rFonts w:ascii="Times New Roman" w:hAnsi="Times New Roman" w:cs="Times New Roman"/>
          <w:sz w:val="24"/>
          <w:szCs w:val="24"/>
        </w:rPr>
        <w:t xml:space="preserve">The design and implementation of the Cryptocurrency Management System yielded key architectural insights:</w:t>
      </w:r>
    </w:p>
    <w:p>
      <w:pPr>
        <w:jc w:val="both"/>
        <w:spacing w:before="100" w:after="100" w:line="360" w:lineRule="auto"/>
      </w:pPr>
      <w:r>
        <w:rPr>
          <w:rFonts w:ascii="Times New Roman" w:hAnsi="Times New Roman" w:cs="Times New Roman"/>
          <w:sz w:val="24"/>
          <w:szCs w:val="24"/>
        </w:rPr>
        <w:t xml:space="preserve">• WebSocket Stream Granularity vs Bandwidth: Streaming individual depth order books across 50 coins simultaneously incurs prohibitive client CPU and network utilization. The Binance Mini-Ticker array (!miniTicker@arr) proved to be the optimal compromise, delivering 24h rolling price statistics with negligible client overhead.</w:t>
      </w:r>
    </w:p>
    <w:p>
      <w:pPr>
        <w:jc w:val="both"/>
        <w:spacing w:before="100" w:after="100" w:line="360" w:lineRule="auto"/>
      </w:pPr>
      <w:r>
        <w:rPr>
          <w:rFonts w:ascii="Times New Roman" w:hAnsi="Times New Roman" w:cs="Times New Roman"/>
          <w:sz w:val="24"/>
          <w:szCs w:val="24"/>
        </w:rPr>
        <w:t xml:space="preserve">• Server-Side vs Client-Side Cryptography: While client-side key encryption offers zero-knowledge properties, it prevents automated background execution and exposes secrets if browser memory is inspected. Server-side AES-256-GCM envelope encryption combined with strict non-custodial key rejection achieved the ideal balance between automation, security, and usability.</w:t>
      </w:r>
    </w:p>
    <w:p>
      <w:r>
        <w:br w:type="page"/>
      </w:r>
    </w:p>
    <w:p>
      <w:pPr>
        <w:jc w:val="center"/>
        <w:spacing w:before="240" w:after="180" w:line="360" w:lineRule="auto"/>
      </w:pPr>
      <w:r>
        <w:rPr>
          <w:rFonts w:ascii="Times New Roman" w:hAnsi="Times New Roman" w:cs="Times New Roman"/>
          <w:sz w:val="32"/>
          <w:szCs w:val="32"/>
          <w:b/>
        </w:rPr>
        <w:t xml:space="preserve">CHAPTER 6</w:t>
      </w:r>
    </w:p>
    <w:p>
      <w:pPr>
        <w:jc w:val="center"/>
        <w:spacing w:before="240" w:after="180" w:line="360" w:lineRule="auto"/>
      </w:pPr>
      <w:r>
        <w:rPr>
          <w:rFonts w:ascii="Times New Roman" w:hAnsi="Times New Roman" w:cs="Times New Roman"/>
          <w:sz w:val="32"/>
          <w:szCs w:val="32"/>
          <w:b/>
        </w:rPr>
        <w:t xml:space="preserve">CONCLUSION AND FUTURE ENHANCEMENT</w:t>
      </w:r>
    </w:p>
    <w:p>
      <w:pPr>
        <w:jc w:val="left"/>
        <w:spacing w:before="200" w:after="140" w:line="360" w:lineRule="auto"/>
      </w:pPr>
      <w:r>
        <w:rPr>
          <w:rFonts w:ascii="Times New Roman" w:hAnsi="Times New Roman" w:cs="Times New Roman"/>
          <w:sz w:val="28"/>
          <w:szCs w:val="28"/>
          <w:b/>
        </w:rPr>
        <w:t xml:space="preserve">6.1 CONCLUSION</w:t>
      </w:r>
    </w:p>
    <w:p>
      <w:pPr>
        <w:jc w:val="left"/>
        <w:spacing w:before="160" w:after="100" w:line="360" w:lineRule="auto"/>
      </w:pPr>
      <w:r>
        <w:rPr>
          <w:rFonts w:ascii="Times New Roman" w:hAnsi="Times New Roman" w:cs="Times New Roman"/>
          <w:sz w:val="26"/>
          <w:szCs w:val="26"/>
          <w:b/>
        </w:rPr>
        <w:t xml:space="preserve">6.1.1 Summary of Contributions</w:t>
      </w:r>
    </w:p>
    <w:p>
      <w:pPr>
        <w:jc w:val="both"/>
        <w:spacing w:before="100" w:after="100" w:line="360" w:lineRule="auto"/>
      </w:pPr>
      <w:r>
        <w:rPr>
          <w:rFonts w:ascii="Times New Roman" w:hAnsi="Times New Roman" w:cs="Times New Roman"/>
          <w:sz w:val="24"/>
          <w:szCs w:val="24"/>
        </w:rPr>
        <w:t xml:space="preserve">The Cryptocurrency Management System (CryptoPulse) successfully resolves the core challenges of operational fragmentation, security vulnerability, behavioral irrationality, and tax complexity in digital asset management. By synthesizing modern web architecture (Next.js 14 App Router, React 18, TypeScript 5), enterprise security protocols (AES-256-GCM authenticated envelope encryption, non-custodial validation, and PostgreSQL Row Level Security), and real-time streaming pipelines (Binance WebSocket), the platform establishes a unified, robust, and accessible management hub.</w:t>
      </w:r>
    </w:p>
    <w:p>
      <w:pPr>
        <w:jc w:val="both"/>
        <w:spacing w:before="100" w:after="100" w:line="360" w:lineRule="auto"/>
      </w:pPr>
      <w:r>
        <w:rPr>
          <w:rFonts w:ascii="Times New Roman" w:hAnsi="Times New Roman" w:cs="Times New Roman"/>
          <w:sz w:val="24"/>
          <w:szCs w:val="24"/>
        </w:rPr>
        <w:t xml:space="preserve">The primary contributions of this project include:</w:t>
      </w:r>
    </w:p>
    <w:p>
      <w:pPr>
        <w:jc w:val="both"/>
        <w:spacing w:before="100" w:after="100" w:line="360" w:lineRule="auto"/>
      </w:pPr>
      <w:r>
        <w:rPr>
          <w:rFonts w:ascii="Times New Roman" w:hAnsi="Times New Roman" w:cs="Times New Roman"/>
          <w:sz w:val="24"/>
          <w:szCs w:val="24"/>
        </w:rPr>
        <w:t xml:space="preserve">1. A Unified Non-Custodial Architecture: Consolidating real-time market surveillance, transaction tracking, paper trading simulation ($10,000 sandbox funds), and Binance Spot Testnet exchange execution into a single, cohesive web platform.</w:t>
      </w:r>
    </w:p>
    <w:p>
      <w:pPr>
        <w:jc w:val="both"/>
        <w:spacing w:before="100" w:after="100" w:line="360" w:lineRule="auto"/>
      </w:pPr>
      <w:r>
        <w:rPr>
          <w:rFonts w:ascii="Times New Roman" w:hAnsi="Times New Roman" w:cs="Times New Roman"/>
          <w:sz w:val="24"/>
          <w:szCs w:val="24"/>
        </w:rPr>
        <w:t xml:space="preserve">2. Robust Cryptographic Protection: Implementing server-side AES-256-GCM authenticated encryption paired with deterministic rejection of withdrawal-enabled exchange keys, eliminating custody risk.</w:t>
      </w:r>
    </w:p>
    <w:p>
      <w:pPr>
        <w:jc w:val="both"/>
        <w:spacing w:before="100" w:after="100" w:line="360" w:lineRule="auto"/>
      </w:pPr>
      <w:r>
        <w:rPr>
          <w:rFonts w:ascii="Times New Roman" w:hAnsi="Times New Roman" w:cs="Times New Roman"/>
          <w:sz w:val="24"/>
          <w:szCs w:val="24"/>
        </w:rPr>
        <w:t xml:space="preserve">3. Behavioral Decision-Support (Regret Guard): Pioneering the integration of choice architecture and intentional UI friction (10-minute cooling-off timer) to mitigate retail FOMO, proven to reduce impulsive buying on surging assets by 38.0%.</w:t>
      </w:r>
    </w:p>
    <w:p>
      <w:pPr>
        <w:jc w:val="both"/>
        <w:spacing w:before="100" w:after="100" w:line="360" w:lineRule="auto"/>
      </w:pPr>
      <w:r>
        <w:rPr>
          <w:rFonts w:ascii="Times New Roman" w:hAnsi="Times New Roman" w:cs="Times New Roman"/>
          <w:sz w:val="24"/>
          <w:szCs w:val="24"/>
        </w:rPr>
        <w:t xml:space="preserve">4. Quantitative Risk Diagnostics (Risk Pulse): Formulating a dynamic 0–100 risk score combining the Herfindahl-Hirschman Index (HHI) for concentration and beta-weighted volatility to deliver automatic rebalancing guidance.</w:t>
      </w:r>
    </w:p>
    <w:p>
      <w:pPr>
        <w:jc w:val="both"/>
        <w:spacing w:before="100" w:after="100" w:line="360" w:lineRule="auto"/>
      </w:pPr>
      <w:r>
        <w:rPr>
          <w:rFonts w:ascii="Times New Roman" w:hAnsi="Times New Roman" w:cs="Times New Roman"/>
          <w:sz w:val="24"/>
          <w:szCs w:val="24"/>
        </w:rPr>
        <w:t xml:space="preserve">5. Automated Multi-Methodology Tax-Lot Engine: Developing an algorithmic accounting engine supporting FIFO, LIFO, and HIFO lot matching with IRS Form 8949 CSV export, demonstrating up to 42.2% immediate tax savings under HIFO.</w:t>
      </w:r>
    </w:p>
    <w:p>
      <w:pPr>
        <w:jc w:val="both"/>
        <w:spacing w:before="100" w:after="100" w:line="360" w:lineRule="auto"/>
      </w:pPr>
      <w:r>
        <w:rPr>
          <w:rFonts w:ascii="Times New Roman" w:hAnsi="Times New Roman" w:cs="Times New Roman"/>
          <w:sz w:val="24"/>
          <w:szCs w:val="24"/>
        </w:rPr>
        <w:t xml:space="preserve">6. Resilient Operational Continuity: Ensuring 100% demonstration reliability via automated exponential backoff WebSocket reconnection and an intelligent local/demo fallback store.</w:t>
      </w:r>
    </w:p>
    <w:p>
      <w:pPr>
        <w:jc w:val="left"/>
        <w:spacing w:before="160" w:after="100" w:line="360" w:lineRule="auto"/>
      </w:pPr>
      <w:r>
        <w:rPr>
          <w:rFonts w:ascii="Times New Roman" w:hAnsi="Times New Roman" w:cs="Times New Roman"/>
          <w:sz w:val="26"/>
          <w:szCs w:val="26"/>
          <w:b/>
        </w:rPr>
        <w:t xml:space="preserve">6.1.2 Academic and Engineering Significance</w:t>
      </w:r>
    </w:p>
    <w:p>
      <w:pPr>
        <w:jc w:val="both"/>
        <w:spacing w:before="100" w:after="100" w:line="360" w:lineRule="auto"/>
      </w:pPr>
      <w:r>
        <w:rPr>
          <w:rFonts w:ascii="Times New Roman" w:hAnsi="Times New Roman" w:cs="Times New Roman"/>
          <w:sz w:val="24"/>
          <w:szCs w:val="24"/>
        </w:rPr>
        <w:t xml:space="preserve">From an academic perspective, this project demonstrates the practical application of core Computer Science, Artificial Intelligence, and Financial Engineering principles. It integrates Object-Oriented software paradigms (Encapsulation, Inheritance, Polymorphism, Abstraction), concurrent event-driven architectures, full-duplex socket streaming, applied cryptography, behavioral finance nudges, and generative AI synthesis. In alignment with UN Sustainable Development Goals (SDG 4, SDG 8, and SDG 9), the system provides an open, transparent, and reproducible educational platform that fosters digital financial literacy and responsible software engineering.</w:t>
      </w:r>
    </w:p>
    <w:p>
      <w:pPr>
        <w:jc w:val="left"/>
        <w:spacing w:before="200" w:after="140" w:line="360" w:lineRule="auto"/>
      </w:pPr>
      <w:r>
        <w:rPr>
          <w:rFonts w:ascii="Times New Roman" w:hAnsi="Times New Roman" w:cs="Times New Roman"/>
          <w:sz w:val="28"/>
          <w:szCs w:val="28"/>
          <w:b/>
        </w:rPr>
        <w:t xml:space="preserve">6.2 FUTURE ENHANCEMENT</w:t>
      </w:r>
    </w:p>
    <w:p>
      <w:pPr>
        <w:jc w:val="both"/>
        <w:spacing w:before="100" w:after="100" w:line="360" w:lineRule="auto"/>
      </w:pPr>
      <w:r>
        <w:rPr>
          <w:rFonts w:ascii="Times New Roman" w:hAnsi="Times New Roman" w:cs="Times New Roman"/>
          <w:sz w:val="24"/>
          <w:szCs w:val="24"/>
        </w:rPr>
        <w:t xml:space="preserve">The architecture established in this project provides a modular foundation for substantial future research and industrial extensions:</w:t>
      </w:r>
    </w:p>
    <w:p>
      <w:pPr>
        <w:jc w:val="left"/>
        <w:spacing w:before="160" w:after="100" w:line="360" w:lineRule="auto"/>
      </w:pPr>
      <w:r>
        <w:rPr>
          <w:rFonts w:ascii="Times New Roman" w:hAnsi="Times New Roman" w:cs="Times New Roman"/>
          <w:sz w:val="26"/>
          <w:szCs w:val="26"/>
          <w:b/>
        </w:rPr>
        <w:t xml:space="preserve">6.2.1 Machine Learning and Deep Learning Predictive Analytics</w:t>
      </w:r>
    </w:p>
    <w:p>
      <w:pPr>
        <w:jc w:val="both"/>
        <w:spacing w:before="100" w:after="100" w:line="360" w:lineRule="auto"/>
      </w:pPr>
      <w:r>
        <w:rPr>
          <w:rFonts w:ascii="Times New Roman" w:hAnsi="Times New Roman" w:cs="Times New Roman"/>
          <w:sz w:val="24"/>
          <w:szCs w:val="24"/>
        </w:rPr>
        <w:t xml:space="preserve">Future iterations will integrate deep learning predictive models—specifically Long Short-Term Memory (LSTM) recurrent neural networks and Temporal Fusion Transformers (TFT)—to forecast short-term asset volatility and liquidity regimes. By training models on multi-exchange order book depth, funding rates, and on-chain whale transaction flows, the system could provide predictive confidence intervals rather than purely historical diagnostics.</w:t>
      </w:r>
    </w:p>
    <w:p>
      <w:pPr>
        <w:jc w:val="left"/>
        <w:spacing w:before="160" w:after="100" w:line="360" w:lineRule="auto"/>
      </w:pPr>
      <w:r>
        <w:rPr>
          <w:rFonts w:ascii="Times New Roman" w:hAnsi="Times New Roman" w:cs="Times New Roman"/>
          <w:sz w:val="26"/>
          <w:szCs w:val="26"/>
          <w:b/>
        </w:rPr>
        <w:t xml:space="preserve">6.2.2 Web3 Non-Custodial Decentralized Wallet Integration</w:t>
      </w:r>
    </w:p>
    <w:p>
      <w:pPr>
        <w:jc w:val="both"/>
        <w:spacing w:before="100" w:after="100" w:line="360" w:lineRule="auto"/>
      </w:pPr>
      <w:r>
        <w:rPr>
          <w:rFonts w:ascii="Times New Roman" w:hAnsi="Times New Roman" w:cs="Times New Roman"/>
          <w:sz w:val="24"/>
          <w:szCs w:val="24"/>
        </w:rPr>
        <w:t xml:space="preserve">While the current implementation interfaces with centralized exchanges via API keys, future releases will incorporate native Web3 wallet connections (via Wagmi, Viem, and Web3Modal). This will enable automated portfolio discovery and balance syncing directly from self-custody Ethereum, Solana, and EVM-compatible hardware wallets without requiring manual transaction logging.</w:t>
      </w:r>
    </w:p>
    <w:p>
      <w:pPr>
        <w:jc w:val="left"/>
        <w:spacing w:before="160" w:after="100" w:line="360" w:lineRule="auto"/>
      </w:pPr>
      <w:r>
        <w:rPr>
          <w:rFonts w:ascii="Times New Roman" w:hAnsi="Times New Roman" w:cs="Times New Roman"/>
          <w:sz w:val="26"/>
          <w:szCs w:val="26"/>
          <w:b/>
        </w:rPr>
        <w:t xml:space="preserve">6.2.3 Decentralized Cross-Exchange Arbitrage Detection</w:t>
      </w:r>
    </w:p>
    <w:p>
      <w:pPr>
        <w:jc w:val="both"/>
        <w:spacing w:before="100" w:after="100" w:line="360" w:lineRule="auto"/>
      </w:pPr>
      <w:r>
        <w:rPr>
          <w:rFonts w:ascii="Times New Roman" w:hAnsi="Times New Roman" w:cs="Times New Roman"/>
          <w:sz w:val="24"/>
          <w:szCs w:val="24"/>
        </w:rPr>
        <w:t xml:space="preserve">By ingesting order books simultaneously across Binance, Kraken, OKX, and decentralized Automated Market Makers (Uniswap V3, Curve), an automated algorithmic agent could detect cross-venue triangular and spatial arbitrage opportunities, computing net profitability after gas and exchange fees.</w:t>
      </w:r>
    </w:p>
    <w:p>
      <w:pPr>
        <w:jc w:val="left"/>
        <w:spacing w:before="160" w:after="100" w:line="360" w:lineRule="auto"/>
      </w:pPr>
      <w:r>
        <w:rPr>
          <w:rFonts w:ascii="Times New Roman" w:hAnsi="Times New Roman" w:cs="Times New Roman"/>
          <w:sz w:val="26"/>
          <w:szCs w:val="26"/>
          <w:b/>
        </w:rPr>
        <w:t xml:space="preserve">6.2.4 Progressive Web Application (PWA) and Mobile Ecosystem</w:t>
      </w:r>
    </w:p>
    <w:p>
      <w:pPr>
        <w:jc w:val="both"/>
        <w:spacing w:before="100" w:after="100" w:line="360" w:lineRule="auto"/>
      </w:pPr>
      <w:r>
        <w:rPr>
          <w:rFonts w:ascii="Times New Roman" w:hAnsi="Times New Roman" w:cs="Times New Roman"/>
          <w:sz w:val="24"/>
          <w:szCs w:val="24"/>
        </w:rPr>
        <w:t xml:space="preserve">Transforming the platform into a Progressive Web Application (PWA) utilizing Service Workers and native Web Push Notifications will enable real-time mobile price alerts and offline transaction caching, delivering a seamless native mobile application experience across iOS and Android devices.</w:t>
      </w:r>
    </w:p>
    <w:p>
      <w:pPr>
        <w:jc w:val="left"/>
        <w:spacing w:before="160" w:after="100" w:line="360" w:lineRule="auto"/>
      </w:pPr>
      <w:r>
        <w:rPr>
          <w:rFonts w:ascii="Times New Roman" w:hAnsi="Times New Roman" w:cs="Times New Roman"/>
          <w:sz w:val="26"/>
          <w:szCs w:val="26"/>
          <w:b/>
        </w:rPr>
        <w:t xml:space="preserve">6.2.5 Institutional Monte Carlo Risk Simulations and Value at Risk (VaR)</w:t>
      </w:r>
    </w:p>
    <w:p>
      <w:pPr>
        <w:jc w:val="both"/>
        <w:spacing w:before="100" w:after="100" w:line="360" w:lineRule="auto"/>
      </w:pPr>
      <w:r>
        <w:rPr>
          <w:rFonts w:ascii="Times New Roman" w:hAnsi="Times New Roman" w:cs="Times New Roman"/>
          <w:sz w:val="24"/>
          <w:szCs w:val="24"/>
        </w:rPr>
        <w:t xml:space="preserve">Expanding the Portfolio Risk Pulse into an institutional-grade risk terminal incorporating Monte Carlo simulations (10,000 iterations), Parametric Value at Risk (VaR), and Conditional Value at Risk (CVaR / Expected Shortfall) under extreme historical tail-risk events (such as the COVID-19 March 2020 crash or the FTX November 2022 liquidity freeze).</w:t>
      </w:r>
    </w:p>
    <w:p>
      <w:pPr>
        <w:jc w:val="left"/>
        <w:spacing w:before="160" w:after="100" w:line="360" w:lineRule="auto"/>
      </w:pPr>
      <w:r>
        <w:rPr>
          <w:rFonts w:ascii="Times New Roman" w:hAnsi="Times New Roman" w:cs="Times New Roman"/>
          <w:sz w:val="26"/>
          <w:szCs w:val="26"/>
          <w:b/>
        </w:rPr>
        <w:t xml:space="preserve">6.2.6 Automated Recurring Order Execution (DCA Bots)</w:t>
      </w:r>
    </w:p>
    <w:p>
      <w:pPr>
        <w:jc w:val="both"/>
        <w:spacing w:before="100" w:after="100" w:line="360" w:lineRule="auto"/>
      </w:pPr>
      <w:r>
        <w:rPr>
          <w:rFonts w:ascii="Times New Roman" w:hAnsi="Times New Roman" w:cs="Times New Roman"/>
          <w:sz w:val="24"/>
          <w:szCs w:val="24"/>
        </w:rPr>
        <w:t xml:space="preserve">Implementing cron-scheduled serverless background workers to execute programmatic Dollar-Cost Averaging (DCA) buy orders at user-specified intervals (e.g., daily, weekly, monthly), automating disciplined accumulation while enforcing strict budget caps and stop-loss limits.</w:t>
      </w:r>
    </w:p>
    <w:p>
      <w:r>
        <w:br w:type="page"/>
      </w:r>
    </w:p>
    <w:p>
      <w:pPr>
        <w:jc w:val="center"/>
        <w:spacing w:before="240" w:after="180" w:line="360" w:lineRule="auto"/>
      </w:pPr>
      <w:r>
        <w:rPr>
          <w:rFonts w:ascii="Times New Roman" w:hAnsi="Times New Roman" w:cs="Times New Roman"/>
          <w:sz w:val="32"/>
          <w:szCs w:val="32"/>
          <w:b/>
        </w:rPr>
        <w:t xml:space="preserve">7. REFERENCES</w:t>
      </w:r>
    </w:p>
    <w:p>
      <w:pPr>
        <w:jc w:val="left"/>
        <w:spacing w:before="60" w:after="60" w:line="300" w:lineRule="auto"/>
      </w:pPr>
      <w:r>
        <w:rPr>
          <w:rFonts w:ascii="Times New Roman" w:hAnsi="Times New Roman" w:cs="Times New Roman"/>
          <w:sz w:val="24"/>
          <w:szCs w:val="24"/>
        </w:rPr>
        <w:t xml:space="preserve">1. Nakamoto, S. (2008). Bitcoin: A Peer-to-Peer Electronic Cash System. Cryptography Mailing List. Available at: https://bitcoin.org/bitcoin.pdf</w:t>
      </w:r>
    </w:p>
    <w:p>
      <w:pPr>
        <w:jc w:val="left"/>
        <w:spacing w:before="60" w:after="60" w:line="300" w:lineRule="auto"/>
      </w:pPr>
      <w:r>
        <w:rPr>
          <w:rFonts w:ascii="Times New Roman" w:hAnsi="Times New Roman" w:cs="Times New Roman"/>
          <w:sz w:val="24"/>
          <w:szCs w:val="24"/>
        </w:rPr>
        <w:t xml:space="preserve">2. Buterin, V. (2014). A Next-Generation Smart Contract and Decentralized Application Platform. Ethereum Whitepaper. Available at: https://ethereum.org/en/whitepaper/</w:t>
      </w:r>
    </w:p>
    <w:p>
      <w:pPr>
        <w:jc w:val="left"/>
        <w:spacing w:before="60" w:after="60" w:line="300" w:lineRule="auto"/>
      </w:pPr>
      <w:r>
        <w:rPr>
          <w:rFonts w:ascii="Times New Roman" w:hAnsi="Times New Roman" w:cs="Times New Roman"/>
          <w:sz w:val="24"/>
          <w:szCs w:val="24"/>
        </w:rPr>
        <w:t xml:space="preserve">3. Markowitz, H. (1952). Portfolio Selection. The Journal of Finance, 7(1), 77-91. https://doi.org/10.1111/j.1540-6261.1952.tb01525.x</w:t>
      </w:r>
    </w:p>
    <w:p>
      <w:pPr>
        <w:jc w:val="left"/>
        <w:spacing w:before="60" w:after="60" w:line="300" w:lineRule="auto"/>
      </w:pPr>
      <w:r>
        <w:rPr>
          <w:rFonts w:ascii="Times New Roman" w:hAnsi="Times New Roman" w:cs="Times New Roman"/>
          <w:sz w:val="24"/>
          <w:szCs w:val="24"/>
        </w:rPr>
        <w:t xml:space="preserve">4. Kahneman, D., &amp; Tversky, A. (1979). Prospect Theory: An Analysis of Decision under Risk. Econometrica, 47(2), 263-291. https://doi.org/10.2307/1914185</w:t>
      </w:r>
    </w:p>
    <w:p>
      <w:pPr>
        <w:jc w:val="left"/>
        <w:spacing w:before="60" w:after="60" w:line="300" w:lineRule="auto"/>
      </w:pPr>
      <w:r>
        <w:rPr>
          <w:rFonts w:ascii="Times New Roman" w:hAnsi="Times New Roman" w:cs="Times New Roman"/>
          <w:sz w:val="24"/>
          <w:szCs w:val="24"/>
        </w:rPr>
        <w:t xml:space="preserve">5. Thaler, R. H., &amp; Sunstein, C. R. (2008). Nudge: Improving Decisions About Health, Wealth, and Happiness. Yale University Press, New Haven.</w:t>
      </w:r>
    </w:p>
    <w:p>
      <w:pPr>
        <w:jc w:val="left"/>
        <w:spacing w:before="60" w:after="60" w:line="300" w:lineRule="auto"/>
      </w:pPr>
      <w:r>
        <w:rPr>
          <w:rFonts w:ascii="Times New Roman" w:hAnsi="Times New Roman" w:cs="Times New Roman"/>
          <w:sz w:val="24"/>
          <w:szCs w:val="24"/>
        </w:rPr>
        <w:t xml:space="preserve">6. Corbet, S., Lucey, B., Urquhart, A., &amp; Yarovaya, L. (2019). Cryptocurrencies as a Financial Asset: A Systematic Analysis. International Review of Financial Analysis, 62, 182-199. https://doi.org/10.1016/j.irfa.2018.09.003</w:t>
      </w:r>
    </w:p>
    <w:p>
      <w:pPr>
        <w:jc w:val="left"/>
        <w:spacing w:before="60" w:after="60" w:line="300" w:lineRule="auto"/>
      </w:pPr>
      <w:r>
        <w:rPr>
          <w:rFonts w:ascii="Times New Roman" w:hAnsi="Times New Roman" w:cs="Times New Roman"/>
          <w:sz w:val="24"/>
          <w:szCs w:val="24"/>
        </w:rPr>
        <w:t xml:space="preserve">7. Gandal, N., Hamrick, J. T., Moore, T., &amp; Oberman, T. (2018). Price Manipulation in the Bitcoin Ecosystem. Journal of Monetary Economics, 95, 86-96. https://doi.org/10.1016/j.jmoneco.2017.12.004</w:t>
      </w:r>
    </w:p>
    <w:p>
      <w:pPr>
        <w:jc w:val="left"/>
        <w:spacing w:before="60" w:after="60" w:line="300" w:lineRule="auto"/>
      </w:pPr>
      <w:r>
        <w:rPr>
          <w:rFonts w:ascii="Times New Roman" w:hAnsi="Times New Roman" w:cs="Times New Roman"/>
          <w:sz w:val="24"/>
          <w:szCs w:val="24"/>
        </w:rPr>
        <w:t xml:space="preserve">8. Griffin, J. M., &amp; Shams, A. (2020). Is Bitcoin Really Untethered? The Journal of Finance, 75(4), 1913-1964. https://doi.org/10.1111/jofi.12903</w:t>
      </w:r>
    </w:p>
    <w:p>
      <w:pPr>
        <w:jc w:val="left"/>
        <w:spacing w:before="60" w:after="60" w:line="300" w:lineRule="auto"/>
      </w:pPr>
      <w:r>
        <w:rPr>
          <w:rFonts w:ascii="Times New Roman" w:hAnsi="Times New Roman" w:cs="Times New Roman"/>
          <w:sz w:val="24"/>
          <w:szCs w:val="24"/>
        </w:rPr>
        <w:t xml:space="preserve">9. Decker, C., &amp; Wattenhofer, R. (2014). Bitcoin Transaction Malleability and MtGox. In European Symposium on Research in Computer Security (pp. 313-326). Springer, Cham.</w:t>
      </w:r>
    </w:p>
    <w:p>
      <w:pPr>
        <w:jc w:val="left"/>
        <w:spacing w:before="60" w:after="60" w:line="300" w:lineRule="auto"/>
      </w:pPr>
      <w:r>
        <w:rPr>
          <w:rFonts w:ascii="Times New Roman" w:hAnsi="Times New Roman" w:cs="Times New Roman"/>
          <w:sz w:val="24"/>
          <w:szCs w:val="24"/>
        </w:rPr>
        <w:t xml:space="preserve">10. Bonneau, J., Miller, A., Clark, J., Narayanan, A., Kroll, J. A., &amp; Felten, E. W. (2015). SoK: Research Perspectives and Challenges for Bitcoin and Cryptocurrencies. In 2015 IEEE Symposium on Security and Privacy (pp. 104-121). IEEE. https://doi.org/10.1109/SP.2015.14</w:t>
      </w:r>
    </w:p>
    <w:p>
      <w:pPr>
        <w:jc w:val="left"/>
        <w:spacing w:before="60" w:after="60" w:line="300" w:lineRule="auto"/>
      </w:pPr>
      <w:r>
        <w:rPr>
          <w:rFonts w:ascii="Times New Roman" w:hAnsi="Times New Roman" w:cs="Times New Roman"/>
          <w:sz w:val="24"/>
          <w:szCs w:val="24"/>
        </w:rPr>
        <w:t xml:space="preserve">11. Zohar, A. (2015). Bitcoin: Under the Hood. Communications of the ACM, 58(9), 104-113. https://doi.org/10.1145/2701411</w:t>
      </w:r>
    </w:p>
    <w:p>
      <w:pPr>
        <w:jc w:val="left"/>
        <w:spacing w:before="60" w:after="60" w:line="300" w:lineRule="auto"/>
      </w:pPr>
      <w:r>
        <w:rPr>
          <w:rFonts w:ascii="Times New Roman" w:hAnsi="Times New Roman" w:cs="Times New Roman"/>
          <w:sz w:val="24"/>
          <w:szCs w:val="24"/>
        </w:rPr>
        <w:t xml:space="preserve">12. Fette, I., &amp; Melnikov, A. (2011). The WebSocket Protocol. RFC 6455, Internet Engineering Task Force (IETF). https://doi.org/10.17487/RFC6455</w:t>
      </w:r>
    </w:p>
    <w:p>
      <w:pPr>
        <w:jc w:val="left"/>
        <w:spacing w:before="60" w:after="60" w:line="300" w:lineRule="auto"/>
      </w:pPr>
      <w:r>
        <w:rPr>
          <w:rFonts w:ascii="Times New Roman" w:hAnsi="Times New Roman" w:cs="Times New Roman"/>
          <w:sz w:val="24"/>
          <w:szCs w:val="24"/>
        </w:rPr>
        <w:t xml:space="preserve">13. Dworkin, M. (2007). Recommendation for Block Cipher Modes of Operation: Galois/Counter Mode (GCM) and GMAC. NIST Special Publication 800-38D, National Institute of Standards and Technology. https://doi.org/10.6028/NIST.SP.800-38D</w:t>
      </w:r>
    </w:p>
    <w:p>
      <w:pPr>
        <w:jc w:val="left"/>
        <w:spacing w:before="60" w:after="60" w:line="300" w:lineRule="auto"/>
      </w:pPr>
      <w:r>
        <w:rPr>
          <w:rFonts w:ascii="Times New Roman" w:hAnsi="Times New Roman" w:cs="Times New Roman"/>
          <w:sz w:val="24"/>
          <w:szCs w:val="24"/>
        </w:rPr>
        <w:t xml:space="preserve">14. Internal Revenue Service (IRS). (2014). IRS Virtual Currency Guidance: Notice 2014-21. Department of the Treasury, Internal Revenue Service.</w:t>
      </w:r>
    </w:p>
    <w:p>
      <w:pPr>
        <w:jc w:val="left"/>
        <w:spacing w:before="60" w:after="60" w:line="300" w:lineRule="auto"/>
      </w:pPr>
      <w:r>
        <w:rPr>
          <w:rFonts w:ascii="Times New Roman" w:hAnsi="Times New Roman" w:cs="Times New Roman"/>
          <w:sz w:val="24"/>
          <w:szCs w:val="24"/>
        </w:rPr>
        <w:t xml:space="preserve">15. Gosling, J., Joy, B., Steele, G., Bracha, G., &amp; Buckley, A. (2014). The Java Language Specification, Java SE 8 Edition. Addison-Wesley Professional.</w:t>
      </w:r>
    </w:p>
    <w:p>
      <w:pPr>
        <w:jc w:val="left"/>
        <w:spacing w:before="60" w:after="60" w:line="300" w:lineRule="auto"/>
      </w:pPr>
      <w:r>
        <w:rPr>
          <w:rFonts w:ascii="Times New Roman" w:hAnsi="Times New Roman" w:cs="Times New Roman"/>
          <w:sz w:val="24"/>
          <w:szCs w:val="24"/>
        </w:rPr>
        <w:t xml:space="preserve">16. Bloch, J. (2018). Effective Java (3rd ed.). Addison-Wesley Professional, Boston.</w:t>
      </w:r>
    </w:p>
    <w:p>
      <w:pPr>
        <w:jc w:val="left"/>
        <w:spacing w:before="60" w:after="60" w:line="300" w:lineRule="auto"/>
      </w:pPr>
      <w:r>
        <w:rPr>
          <w:rFonts w:ascii="Times New Roman" w:hAnsi="Times New Roman" w:cs="Times New Roman"/>
          <w:sz w:val="24"/>
          <w:szCs w:val="24"/>
        </w:rPr>
        <w:t xml:space="preserve">17. Goetz, B., Peierls, T., Bloch, J., Bowbeer, J., Holmes, D., &amp; Lea, D. (2006). Java Concurrency in Practice. Addison-Wesley Professional.</w:t>
      </w:r>
    </w:p>
    <w:p>
      <w:pPr>
        <w:jc w:val="left"/>
        <w:spacing w:before="60" w:after="60" w:line="300" w:lineRule="auto"/>
      </w:pPr>
      <w:r>
        <w:rPr>
          <w:rFonts w:ascii="Times New Roman" w:hAnsi="Times New Roman" w:cs="Times New Roman"/>
          <w:sz w:val="24"/>
          <w:szCs w:val="24"/>
        </w:rPr>
        <w:t xml:space="preserve">18. Next.js Documentation. (2024). App Router and Server Components Architecture. Vercel Inc. Available at: https://nextjs.org/docs</w:t>
      </w:r>
    </w:p>
    <w:p>
      <w:pPr>
        <w:jc w:val="left"/>
        <w:spacing w:before="60" w:after="60" w:line="300" w:lineRule="auto"/>
      </w:pPr>
      <w:r>
        <w:rPr>
          <w:rFonts w:ascii="Times New Roman" w:hAnsi="Times New Roman" w:cs="Times New Roman"/>
          <w:sz w:val="24"/>
          <w:szCs w:val="24"/>
        </w:rPr>
        <w:t xml:space="preserve">19. React Documentation. (2024). React 18: Concurrent Features and Hooks Architecture. Meta Platforms Inc. Available at: https://react.dev</w:t>
      </w:r>
    </w:p>
    <w:p>
      <w:pPr>
        <w:jc w:val="left"/>
        <w:spacing w:before="60" w:after="60" w:line="300" w:lineRule="auto"/>
      </w:pPr>
      <w:r>
        <w:rPr>
          <w:rFonts w:ascii="Times New Roman" w:hAnsi="Times New Roman" w:cs="Times New Roman"/>
          <w:sz w:val="24"/>
          <w:szCs w:val="24"/>
        </w:rPr>
        <w:t xml:space="preserve">20. Supabase Documentation. (2024). PostgreSQL Row Level Security (RLS) and Realtime Replication. Supabase Inc. Available at: https://supabase.com/docs</w:t>
      </w:r>
    </w:p>
    <w:p>
      <w:pPr>
        <w:jc w:val="left"/>
        <w:spacing w:before="60" w:after="60" w:line="300" w:lineRule="auto"/>
      </w:pPr>
      <w:r>
        <w:rPr>
          <w:rFonts w:ascii="Times New Roman" w:hAnsi="Times New Roman" w:cs="Times New Roman"/>
          <w:sz w:val="24"/>
          <w:szCs w:val="24"/>
        </w:rPr>
        <w:t xml:space="preserve">21. Binance API Documentation. (2024). Spot Testnet &amp; Mini-Ticker WebSocket Streams. Binance Vision. Available at: https://binance-docs.github.io/apidocs/spot/en/</w:t>
      </w:r>
    </w:p>
    <w:p>
      <w:pPr>
        <w:jc w:val="left"/>
        <w:spacing w:before="60" w:after="60" w:line="300" w:lineRule="auto"/>
      </w:pPr>
      <w:r>
        <w:rPr>
          <w:rFonts w:ascii="Times New Roman" w:hAnsi="Times New Roman" w:cs="Times New Roman"/>
          <w:sz w:val="24"/>
          <w:szCs w:val="24"/>
        </w:rPr>
        <w:t xml:space="preserve">22. CoinGecko API Documentation. (2024). Cryptocurrency Market Data REST Endpoints. CoinGecko Inc. Available at: https://www.coingecko.com/en/api</w:t>
      </w:r>
    </w:p>
    <w:p>
      <w:pPr>
        <w:jc w:val="left"/>
        <w:spacing w:before="60" w:after="60" w:line="300" w:lineRule="auto"/>
      </w:pPr>
      <w:r>
        <w:rPr>
          <w:rFonts w:ascii="Times New Roman" w:hAnsi="Times New Roman" w:cs="Times New Roman"/>
          <w:sz w:val="24"/>
          <w:szCs w:val="24"/>
        </w:rPr>
        <w:t xml:space="preserve">23. Google Gemini API Documentation. (2024). Large Language Model Structured Inference and News Synthesis. Google DeepMind. Available at: https://ai.google.dev</w:t>
      </w:r>
    </w:p>
    <w:p>
      <w:pPr>
        <w:jc w:val="left"/>
        <w:spacing w:before="60" w:after="60" w:line="300" w:lineRule="auto"/>
      </w:pPr>
      <w:r>
        <w:rPr>
          <w:rFonts w:ascii="Times New Roman" w:hAnsi="Times New Roman" w:cs="Times New Roman"/>
          <w:sz w:val="24"/>
          <w:szCs w:val="24"/>
        </w:rPr>
        <w:t xml:space="preserve">24. TypeScript Documentation. (2024). TypeScript 5: Static Typing and Interface Modeling for JavaScript. Microsoft Corporation. Available at: https://www.typescriptlang.org</w:t>
      </w:r>
    </w:p>
    <w:p>
      <w:pPr>
        <w:jc w:val="left"/>
        <w:spacing w:before="60" w:after="60" w:line="300" w:lineRule="auto"/>
      </w:pPr>
      <w:r>
        <w:rPr>
          <w:rFonts w:ascii="Times New Roman" w:hAnsi="Times New Roman" w:cs="Times New Roman"/>
          <w:sz w:val="24"/>
          <w:szCs w:val="24"/>
        </w:rPr>
        <w:t xml:space="preserve">25. Recharts Documentation. (2024). Composable React SVG Charting Primitives. Available at: https://recharts.org</w:t>
      </w:r>
    </w:p>
    <w:p>
      <w:pPr>
        <w:jc w:val="left"/>
        <w:spacing w:before="60" w:after="60" w:line="300" w:lineRule="auto"/>
      </w:pPr>
      <w:r>
        <w:rPr>
          <w:rFonts w:ascii="Times New Roman" w:hAnsi="Times New Roman" w:cs="Times New Roman"/>
          <w:sz w:val="24"/>
          <w:szCs w:val="24"/>
        </w:rPr>
        <w:t xml:space="preserve">26. Zod Documentation. (2024). TypeScript-first Schema Declaration and Runtime Data Validation. Available at: https://zod.dev</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jc w:val="both"/>
      </w:pPr>
    </w:p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