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Kognivon Global Top Three Strategy</w:t>
      </w:r>
    </w:p>
    <w:p>
      <w:pPr>
        <w:pStyle w:val="Subtitle"/>
      </w:pPr>
      <w:r>
        <w:t>Product vision, competitive position, roadmap and measurable release gates</w:t>
      </w:r>
    </w:p>
    <w:p>
      <w:r>
        <w:t>Decision document  |  26 September 2026  |  Planning horizon October 2026 to September 2028</w:t>
      </w:r>
    </w:p>
    <w:p>
      <w:pPr>
        <w:pStyle w:val="Heading1"/>
      </w:pPr>
      <w:r>
        <w:t>Executive decision</w:t>
      </w:r>
    </w:p>
    <w:p>
      <w:r>
        <w:t>Build Kognivon into the easiest enterprise learning system for organizations that must prove workforce readiness across roles, locations and languages. In the next six months, aim to become a top-three shortlisted option in a specific, measurable segment: multi-site employers with 500 to 20,000 learners buying compliance, skills and learning operations software. Establish a repeatable regional sales and implementation model before claiming global leadership.</w:t>
      </w:r>
    </w:p>
    <w:p>
      <w:r>
        <w:t>The top-three ambition is a target, not an existing ranking. Global market-share leadership within months would require distribution, capital and proof that the current product does not yet have. We will measure progress through independently observed buyer shortlists, win rates and customer outcomes rather than a self-awarded score.</w:t>
      </w:r>
    </w:p>
    <w:p>
      <w:pPr>
        <w:pStyle w:val="Heading1"/>
      </w:pPr>
      <w:r>
        <w:t>1 Vision and market choice</w:t>
      </w:r>
    </w:p>
    <w:p>
      <w:r>
        <w:t>Mission: make it simple for an enterprise to assign learning, verify real capability, manage compliance and act on the resulting evidence. Initial buyer: the CHRO, L&amp;D director or compliance leader of a distributed employer. Initial user groups: learner, line manager, instructor, L&amp;D administrator, compliance administrator and executive.</w:t>
      </w:r>
    </w:p>
    <w:p>
      <w:r>
        <w:t>Positioning: a unified Learning Operations and Capability System. The experience should let a buyer go from organizational structure and role requirements to assignment, learning, assessment, certification and defensible audit evidence without spreadsheets or fragmented portals. This is a proposed position to validate in discovery, not a category claim.</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512"/>
            <w:vAlign w:val="center"/>
            <w:tcMar>
              <w:top w:w="80" w:type="dxa"/>
              <w:left w:w="80" w:type="dxa"/>
              <w:bottom w:w="80" w:type="dxa"/>
              <w:right w:w="80" w:type="dxa"/>
            </w:tcMar>
            <w:shd w:fill="173659"/>
            <w:tcBorders>
              <w:top w:val="single" w:sz="4" w:color="D9D9D9"/>
              <w:left w:val="single" w:sz="4" w:color="D9D9D9"/>
              <w:bottom w:val="single" w:sz="4" w:color="D9D9D9"/>
              <w:right w:val="single" w:sz="4" w:color="D9D9D9"/>
            </w:tcBorders>
          </w:tcPr>
          <w:p>
            <w:pPr>
              <w:spacing w:after="0"/>
            </w:pPr>
            <w:r>
              <w:rPr>
                <w:b/>
                <w:color w:val="FFFFFF"/>
                <w:sz w:val="16"/>
              </w:rPr>
              <w:t>Horizon</w:t>
            </w:r>
          </w:p>
        </w:tc>
        <w:tc>
          <w:tcPr>
            <w:tcW w:type="dxa" w:w="2952"/>
            <w:vAlign w:val="center"/>
            <w:tcMar>
              <w:top w:w="80" w:type="dxa"/>
              <w:left w:w="80" w:type="dxa"/>
              <w:bottom w:w="80" w:type="dxa"/>
              <w:right w:w="80" w:type="dxa"/>
            </w:tcMar>
            <w:shd w:fill="173659"/>
            <w:tcBorders>
              <w:top w:val="single" w:sz="4" w:color="D9D9D9"/>
              <w:left w:val="single" w:sz="4" w:color="D9D9D9"/>
              <w:bottom w:val="single" w:sz="4" w:color="D9D9D9"/>
              <w:right w:val="single" w:sz="4" w:color="D9D9D9"/>
            </w:tcBorders>
          </w:tcPr>
          <w:p>
            <w:pPr>
              <w:spacing w:after="0"/>
            </w:pPr>
            <w:r>
              <w:rPr>
                <w:b/>
                <w:color w:val="FFFFFF"/>
                <w:sz w:val="16"/>
              </w:rPr>
              <w:t>Outcome</w:t>
            </w:r>
          </w:p>
        </w:tc>
        <w:tc>
          <w:tcPr>
            <w:tcW w:type="dxa" w:w="5256"/>
            <w:vAlign w:val="center"/>
            <w:tcMar>
              <w:top w:w="80" w:type="dxa"/>
              <w:left w:w="80" w:type="dxa"/>
              <w:bottom w:w="80" w:type="dxa"/>
              <w:right w:w="80" w:type="dxa"/>
            </w:tcMar>
            <w:shd w:fill="173659"/>
            <w:tcBorders>
              <w:top w:val="single" w:sz="4" w:color="D9D9D9"/>
              <w:left w:val="single" w:sz="4" w:color="D9D9D9"/>
              <w:bottom w:val="single" w:sz="4" w:color="D9D9D9"/>
              <w:right w:val="single" w:sz="4" w:color="D9D9D9"/>
            </w:tcBorders>
          </w:tcPr>
          <w:p>
            <w:pPr>
              <w:spacing w:after="0"/>
            </w:pPr>
            <w:r>
              <w:rPr>
                <w:b/>
                <w:color w:val="FFFFFF"/>
                <w:sz w:val="16"/>
              </w:rPr>
              <w:t>Evidence</w:t>
            </w:r>
          </w:p>
        </w:tc>
      </w:tr>
      <w:tr>
        <w:tc>
          <w:tcPr>
            <w:tcW w:type="dxa" w:w="1512"/>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0–6 months</w:t>
            </w:r>
          </w:p>
        </w:tc>
        <w:tc>
          <w:tcPr>
            <w:tcW w:type="dxa" w:w="2952"/>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Top-three shortlist contender in one chosen segment</w:t>
            </w:r>
          </w:p>
        </w:tc>
        <w:tc>
          <w:tcPr>
            <w:tcW w:type="dxa" w:w="525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At least 30 qualified competitive evaluations; top-three placement in at least 50% of documented shortlists; 5 paying production customers; referenceable results.</w:t>
            </w:r>
          </w:p>
        </w:tc>
      </w:tr>
      <w:tr>
        <w:tc>
          <w:tcPr>
            <w:tcW w:type="dxa" w:w="1512"/>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6–12 months</w:t>
            </w:r>
          </w:p>
        </w:tc>
        <w:tc>
          <w:tcPr>
            <w:tcW w:type="dxa" w:w="2952"/>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Repeatable product and regional distribution</w:t>
            </w:r>
          </w:p>
        </w:tc>
        <w:tc>
          <w:tcPr>
            <w:tcW w:type="dxa" w:w="5256"/>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20 paying organizations across at least 3 countries; 90-day retention at least 90%; 8 referenceable accounts; implementation median at most 30 days.</w:t>
            </w:r>
          </w:p>
        </w:tc>
      </w:tr>
      <w:tr>
        <w:tc>
          <w:tcPr>
            <w:tcW w:type="dxa" w:w="1512"/>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12–24 months</w:t>
            </w:r>
          </w:p>
        </w:tc>
        <w:tc>
          <w:tcPr>
            <w:tcW w:type="dxa" w:w="2952"/>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Recognized regional category leader and credible global challenger</w:t>
            </w:r>
          </w:p>
        </w:tc>
        <w:tc>
          <w:tcPr>
            <w:tcW w:type="dxa" w:w="525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100 paying organizations across 5+ countries; positive net revenue retention; independently verified reviews, uptime and outcome studies.</w:t>
            </w:r>
          </w:p>
        </w:tc>
      </w:tr>
    </w:tbl>
    <w:p>
      <w:pPr>
        <w:spacing w:after="40"/>
      </w:pPr>
    </w:p>
    <w:p>
      <w:r>
        <w:t>Targets above are management hypotheses. Baselines, budget and sales cycle must be measured during the first 30 days; revise targets openly if the data contradicts them.</w:t>
      </w:r>
    </w:p>
    <w:p>
      <w:pPr>
        <w:pStyle w:val="Heading1"/>
      </w:pPr>
      <w:r>
        <w:t>2 Current baseline and gap</w:t>
      </w:r>
    </w:p>
    <w:p>
      <w:r>
        <w:t>The repository already contains routes and backend work for organization, people, catalog, courses, paths, programs, assessments, certifications, compliance, skills, reporting, integrations and governed AI. Its requirements baseline states core learner, manager, L&amp;D, compliance, instructor and executive journeys, with tenant isolation and auditability as release requirements [P1, P2].</w:t>
      </w:r>
    </w:p>
    <w:p>
      <w:r>
        <w:t>Code inspection on 26 September 2026 found 50 dashboard page modules, of which 11 still render a generic empty workspace: audit, catalog categories, certificate administration, compliance administration, files, instructor, instructors, integrations, manager, notifications and sessions. This is a source review, not a complete functional or security audit. The project QA baseline explicitly rejects route compilation as proof of workflow acceptance [P3]. Uncommitted work is extensive, so a reproducible release branch and current test run are first priorities.</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800"/>
            <w:vAlign w:val="center"/>
            <w:tcMar>
              <w:top w:w="80" w:type="dxa"/>
              <w:left w:w="80" w:type="dxa"/>
              <w:bottom w:w="80" w:type="dxa"/>
              <w:right w:w="80" w:type="dxa"/>
            </w:tcMar>
            <w:shd w:fill="173659"/>
            <w:tcBorders>
              <w:top w:val="single" w:sz="4" w:color="D9D9D9"/>
              <w:left w:val="single" w:sz="4" w:color="D9D9D9"/>
              <w:bottom w:val="single" w:sz="4" w:color="D9D9D9"/>
              <w:right w:val="single" w:sz="4" w:color="D9D9D9"/>
            </w:tcBorders>
          </w:tcPr>
          <w:p>
            <w:pPr>
              <w:spacing w:after="0"/>
            </w:pPr>
            <w:r>
              <w:rPr>
                <w:b/>
                <w:color w:val="FFFFFF"/>
                <w:sz w:val="16"/>
              </w:rPr>
              <w:t>Area</w:t>
            </w:r>
          </w:p>
        </w:tc>
        <w:tc>
          <w:tcPr>
            <w:tcW w:type="dxa" w:w="3168"/>
            <w:vAlign w:val="center"/>
            <w:tcMar>
              <w:top w:w="80" w:type="dxa"/>
              <w:left w:w="80" w:type="dxa"/>
              <w:bottom w:w="80" w:type="dxa"/>
              <w:right w:w="80" w:type="dxa"/>
            </w:tcMar>
            <w:shd w:fill="173659"/>
            <w:tcBorders>
              <w:top w:val="single" w:sz="4" w:color="D9D9D9"/>
              <w:left w:val="single" w:sz="4" w:color="D9D9D9"/>
              <w:bottom w:val="single" w:sz="4" w:color="D9D9D9"/>
              <w:right w:val="single" w:sz="4" w:color="D9D9D9"/>
            </w:tcBorders>
          </w:tcPr>
          <w:p>
            <w:pPr>
              <w:spacing w:after="0"/>
            </w:pPr>
            <w:r>
              <w:rPr>
                <w:b/>
                <w:color w:val="FFFFFF"/>
                <w:sz w:val="16"/>
              </w:rPr>
              <w:t>Current signal</w:t>
            </w:r>
          </w:p>
        </w:tc>
        <w:tc>
          <w:tcPr>
            <w:tcW w:type="dxa" w:w="4752"/>
            <w:vAlign w:val="center"/>
            <w:tcMar>
              <w:top w:w="80" w:type="dxa"/>
              <w:left w:w="80" w:type="dxa"/>
              <w:bottom w:w="80" w:type="dxa"/>
              <w:right w:w="80" w:type="dxa"/>
            </w:tcMar>
            <w:shd w:fill="173659"/>
            <w:tcBorders>
              <w:top w:val="single" w:sz="4" w:color="D9D9D9"/>
              <w:left w:val="single" w:sz="4" w:color="D9D9D9"/>
              <w:bottom w:val="single" w:sz="4" w:color="D9D9D9"/>
              <w:right w:val="single" w:sz="4" w:color="D9D9D9"/>
            </w:tcBorders>
          </w:tcPr>
          <w:p>
            <w:pPr>
              <w:spacing w:after="0"/>
            </w:pPr>
            <w:r>
              <w:rPr>
                <w:b/>
                <w:color w:val="FFFFFF"/>
                <w:sz w:val="16"/>
              </w:rPr>
              <w:t>Required proof before launch</w:t>
            </w:r>
          </w:p>
        </w:tc>
      </w:tr>
      <w:tr>
        <w:tc>
          <w:tcPr>
            <w:tcW w:type="dxa" w:w="1800"/>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Core workflows</w:t>
            </w:r>
          </w:p>
        </w:tc>
        <w:tc>
          <w:tcPr>
            <w:tcW w:type="dxa" w:w="3168"/>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Broad code and UI coverage</w:t>
            </w:r>
          </w:p>
        </w:tc>
        <w:tc>
          <w:tcPr>
            <w:tcW w:type="dxa" w:w="4752"/>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Automated and human journey evidence with persistent state and role checks.</w:t>
            </w:r>
          </w:p>
        </w:tc>
      </w:tr>
      <w:tr>
        <w:tc>
          <w:tcPr>
            <w:tcW w:type="dxa" w:w="1800"/>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Administration</w:t>
            </w:r>
          </w:p>
        </w:tc>
        <w:tc>
          <w:tcPr>
            <w:tcW w:type="dxa" w:w="3168"/>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11 generic empty routes</w:t>
            </w:r>
          </w:p>
        </w:tc>
        <w:tc>
          <w:tcPr>
            <w:tcW w:type="dxa" w:w="4752"/>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Complete screens or remove navigation until functional.</w:t>
            </w:r>
          </w:p>
        </w:tc>
      </w:tr>
      <w:tr>
        <w:tc>
          <w:tcPr>
            <w:tcW w:type="dxa" w:w="1800"/>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Enterprise trust</w:t>
            </w:r>
          </w:p>
        </w:tc>
        <w:tc>
          <w:tcPr>
            <w:tcW w:type="dxa" w:w="3168"/>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Architecture and tests exist</w:t>
            </w:r>
          </w:p>
        </w:tc>
        <w:tc>
          <w:tcPr>
            <w:tcW w:type="dxa" w:w="4752"/>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Independent tenant isolation, recovery, security and accessibility evidence.</w:t>
            </w:r>
          </w:p>
        </w:tc>
      </w:tr>
      <w:tr>
        <w:tc>
          <w:tcPr>
            <w:tcW w:type="dxa" w:w="1800"/>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Market proof</w:t>
            </w:r>
          </w:p>
        </w:tc>
        <w:tc>
          <w:tcPr>
            <w:tcW w:type="dxa" w:w="3168"/>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No verified customer or revenue baseline in this review</w:t>
            </w:r>
          </w:p>
        </w:tc>
        <w:tc>
          <w:tcPr>
            <w:tcW w:type="dxa" w:w="4752"/>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Buyer interviews, pilot data, contracts and measured outcomes.</w:t>
            </w:r>
          </w:p>
        </w:tc>
      </w:tr>
    </w:tbl>
    <w:p>
      <w:pPr>
        <w:spacing w:after="40"/>
      </w:pPr>
    </w:p>
    <w:p>
      <w:pPr>
        <w:pStyle w:val="Heading1"/>
      </w:pPr>
      <w:r>
        <w:t>3 Competitive benchmark</w:t>
      </w:r>
    </w:p>
    <w:p>
      <w:r>
        <w:t>The reference set is Cornerstone, SAP SuccessFactors Learning, Workday Learning, Docebo, Absorb, 360Learning, Adobe Learning Manager, TalentLMS, Litmos and LearnUpon. These are ten useful benchmark products, not an authoritative worldwide ranking. Their current product materials show mature coverage of compliance, enterprise integrations, skills, AI, analytics, collaborative authoring, automation and training for multiple audiences [M1–M10].</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944"/>
            <w:vAlign w:val="center"/>
            <w:tcMar>
              <w:top w:w="80" w:type="dxa"/>
              <w:left w:w="80" w:type="dxa"/>
              <w:bottom w:w="80" w:type="dxa"/>
              <w:right w:w="80" w:type="dxa"/>
            </w:tcMar>
            <w:shd w:fill="173659"/>
            <w:tcBorders>
              <w:top w:val="single" w:sz="4" w:color="D9D9D9"/>
              <w:left w:val="single" w:sz="4" w:color="D9D9D9"/>
              <w:bottom w:val="single" w:sz="4" w:color="D9D9D9"/>
              <w:right w:val="single" w:sz="4" w:color="D9D9D9"/>
            </w:tcBorders>
          </w:tcPr>
          <w:p>
            <w:pPr>
              <w:spacing w:after="0"/>
            </w:pPr>
            <w:r>
              <w:rPr>
                <w:b/>
                <w:color w:val="FFFFFF"/>
                <w:sz w:val="16"/>
              </w:rPr>
              <w:t>Buyer criterion</w:t>
            </w:r>
          </w:p>
        </w:tc>
        <w:tc>
          <w:tcPr>
            <w:tcW w:type="dxa" w:w="2160"/>
            <w:vAlign w:val="center"/>
            <w:tcMar>
              <w:top w:w="80" w:type="dxa"/>
              <w:left w:w="80" w:type="dxa"/>
              <w:bottom w:w="80" w:type="dxa"/>
              <w:right w:w="80" w:type="dxa"/>
            </w:tcMar>
            <w:shd w:fill="173659"/>
            <w:tcBorders>
              <w:top w:val="single" w:sz="4" w:color="D9D9D9"/>
              <w:left w:val="single" w:sz="4" w:color="D9D9D9"/>
              <w:bottom w:val="single" w:sz="4" w:color="D9D9D9"/>
              <w:right w:val="single" w:sz="4" w:color="D9D9D9"/>
            </w:tcBorders>
          </w:tcPr>
          <w:p>
            <w:pPr>
              <w:spacing w:after="0"/>
            </w:pPr>
            <w:r>
              <w:rPr>
                <w:b/>
                <w:color w:val="FFFFFF"/>
                <w:sz w:val="16"/>
              </w:rPr>
              <w:t>Reference strength</w:t>
            </w:r>
          </w:p>
        </w:tc>
        <w:tc>
          <w:tcPr>
            <w:tcW w:type="dxa" w:w="5616"/>
            <w:vAlign w:val="center"/>
            <w:tcMar>
              <w:top w:w="80" w:type="dxa"/>
              <w:left w:w="80" w:type="dxa"/>
              <w:bottom w:w="80" w:type="dxa"/>
              <w:right w:w="80" w:type="dxa"/>
            </w:tcMar>
            <w:shd w:fill="173659"/>
            <w:tcBorders>
              <w:top w:val="single" w:sz="4" w:color="D9D9D9"/>
              <w:left w:val="single" w:sz="4" w:color="D9D9D9"/>
              <w:bottom w:val="single" w:sz="4" w:color="D9D9D9"/>
              <w:right w:val="single" w:sz="4" w:color="D9D9D9"/>
            </w:tcBorders>
          </w:tcPr>
          <w:p>
            <w:pPr>
              <w:spacing w:after="0"/>
            </w:pPr>
            <w:r>
              <w:rPr>
                <w:b/>
                <w:color w:val="FFFFFF"/>
                <w:sz w:val="16"/>
              </w:rPr>
              <w:t>Kognivon goal</w:t>
            </w:r>
          </w:p>
        </w:tc>
      </w:tr>
      <w:tr>
        <w:tc>
          <w:tcPr>
            <w:tcW w:type="dxa" w:w="19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Enterprise compliance</w:t>
            </w:r>
          </w:p>
        </w:tc>
        <w:tc>
          <w:tcPr>
            <w:tcW w:type="dxa" w:w="2160"/>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Cornerstone and SAP</w:t>
            </w:r>
          </w:p>
        </w:tc>
        <w:tc>
          <w:tcPr>
            <w:tcW w:type="dxa" w:w="561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Shorter audit preparation through traceable assignment, exceptions, expiry and evidence.</w:t>
            </w:r>
          </w:p>
        </w:tc>
      </w:tr>
      <w:tr>
        <w:tc>
          <w:tcPr>
            <w:tcW w:type="dxa" w:w="1944"/>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Workforce context</w:t>
            </w:r>
          </w:p>
        </w:tc>
        <w:tc>
          <w:tcPr>
            <w:tcW w:type="dxa" w:w="2160"/>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Workday and Docebo</w:t>
            </w:r>
          </w:p>
        </w:tc>
        <w:tc>
          <w:tcPr>
            <w:tcW w:type="dxa" w:w="5616"/>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Role-to-skill-to-learning-to-proof workflow with explainable recommendations.</w:t>
            </w:r>
          </w:p>
        </w:tc>
      </w:tr>
      <w:tr>
        <w:tc>
          <w:tcPr>
            <w:tcW w:type="dxa" w:w="19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Fast administration</w:t>
            </w:r>
          </w:p>
        </w:tc>
        <w:tc>
          <w:tcPr>
            <w:tcW w:type="dxa" w:w="2160"/>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TalentLMS and LearnUpon</w:t>
            </w:r>
          </w:p>
        </w:tc>
        <w:tc>
          <w:tcPr>
            <w:tcW w:type="dxa" w:w="561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Complete common tasks in fewer steps, with guided setup and clear state.</w:t>
            </w:r>
          </w:p>
        </w:tc>
      </w:tr>
      <w:tr>
        <w:tc>
          <w:tcPr>
            <w:tcW w:type="dxa" w:w="1944"/>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Content collaboration</w:t>
            </w:r>
          </w:p>
        </w:tc>
        <w:tc>
          <w:tcPr>
            <w:tcW w:type="dxa" w:w="2160"/>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360Learning and Adobe</w:t>
            </w:r>
          </w:p>
        </w:tc>
        <w:tc>
          <w:tcPr>
            <w:tcW w:type="dxa" w:w="5616"/>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Controlled subject expert review and multilingual content lifecycle.</w:t>
            </w:r>
          </w:p>
        </w:tc>
      </w:tr>
      <w:tr>
        <w:tc>
          <w:tcPr>
            <w:tcW w:type="dxa" w:w="19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Analytics and integrations</w:t>
            </w:r>
          </w:p>
        </w:tc>
        <w:tc>
          <w:tcPr>
            <w:tcW w:type="dxa" w:w="2160"/>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Absorb and Litmos</w:t>
            </w:r>
          </w:p>
        </w:tc>
        <w:tc>
          <w:tcPr>
            <w:tcW w:type="dxa" w:w="561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Actionable manager views plus reliable data exchange and reconciled metrics.</w:t>
            </w:r>
          </w:p>
        </w:tc>
      </w:tr>
    </w:tbl>
    <w:p>
      <w:pPr>
        <w:spacing w:after="40"/>
      </w:pPr>
    </w:p>
    <w:p>
      <w:pPr>
        <w:pStyle w:val="Heading1"/>
      </w:pPr>
      <w:r>
        <w:t>4 Differentiation to test with buyers</w:t>
      </w:r>
    </w:p>
    <w:p>
      <w:pPr>
        <w:pStyle w:val="Heading2"/>
      </w:pPr>
      <w:r>
        <w:t>Readiness Graph</w:t>
      </w:r>
    </w:p>
    <w:p>
      <w:r>
        <w:t>Connect role requirements, skills, learning activities, assessments, instructor sign-off, certificates and evidence to a single readiness status. Show exactly why a person is ready, overdue or unverified. First release uses explicit rules and versioned evidence; AI may suggest mappings but cannot silently change compliance status. Validate with ten buyer interviews and pilot task completion.</w:t>
      </w:r>
    </w:p>
    <w:p>
      <w:pPr>
        <w:pStyle w:val="Heading2"/>
      </w:pPr>
      <w:r>
        <w:t>One screen for learning operations</w:t>
      </w:r>
    </w:p>
    <w:p>
      <w:r>
        <w:t>Give L&amp;D and compliance teams a prioritized queue of assignments, expiring credentials, failed imports, waitlists, escalations and data exceptions. Each item has a named owner, permitted next action and audit trail. Measure hours saved per 1,000 learners per month against the customer’s existing process.</w:t>
      </w:r>
    </w:p>
    <w:p>
      <w:pPr>
        <w:pStyle w:val="Heading2"/>
      </w:pPr>
      <w:r>
        <w:t>Regional deployment without regional fragmentation</w:t>
      </w:r>
    </w:p>
    <w:p>
      <w:r>
        <w:t>Offer tenant-level language, timezone, date format, currency where relevant, legal text, branding and data retention settings. Support English first, Urdu and Arabic through validated pilots, then add languages based on signed demand. Translate critical learner and administrator journeys with native reviewers; accessibility and right-to-left behavior require separate testing. Offer regional hosting only where infrastructure, support and contracts justify it.</w:t>
      </w:r>
    </w:p>
    <w:p>
      <w:pPr>
        <w:pStyle w:val="Heading2"/>
      </w:pPr>
      <w:r>
        <w:t>Governed AI that shows its work</w:t>
      </w:r>
    </w:p>
    <w:p>
      <w:r>
        <w:t>Use optional, tenant-controlled AI for content drafting, search and grounded assistance. Show source citations, permissions, cost, model version, human approval and an audit event. Protect against cross-tenant retrieval and prompt injection. Never present AI output as certified competence or a regulatory decision.</w:t>
      </w:r>
    </w:p>
    <w:p>
      <w:pPr>
        <w:pStyle w:val="Heading2"/>
      </w:pPr>
      <w:r>
        <w:t>Proof of value from day one</w:t>
      </w:r>
    </w:p>
    <w:p>
      <w:r>
        <w:t>Instrument time to first course, time to first assignment, completion rate, overdue reduction, instructor utilization and audit preparation hours. Establish the pre-launch baseline with each customer, then show changes with consistent denominators and exportable methodology. Avoid claims of ROI without comparable data.</w:t>
      </w:r>
    </w:p>
    <w:p>
      <w:pPr>
        <w:pStyle w:val="Heading1"/>
      </w:pPr>
      <w:r>
        <w:t>5 Product experience and workflow design</w:t>
      </w:r>
    </w:p>
    <w:p>
      <w:r>
        <w:t>Design one vocabulary and state model across all roles. Every action should show its scope, permission, consequence and resulting status. Deletion and reassignment require impact previews, safeguards and audit history. Apply the same patterns to People, Team, Organization, User Administration, Catalog, Paths, Programs and Cohorts, Course Studio, L&amp;D Operations and Skills, reflecting the project’s active review sequence.</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1944"/>
            <w:vAlign w:val="center"/>
            <w:tcMar>
              <w:top w:w="80" w:type="dxa"/>
              <w:left w:w="80" w:type="dxa"/>
              <w:bottom w:w="80" w:type="dxa"/>
              <w:right w:w="80" w:type="dxa"/>
            </w:tcMar>
            <w:shd w:fill="173659"/>
            <w:tcBorders>
              <w:top w:val="single" w:sz="4" w:color="D9D9D9"/>
              <w:left w:val="single" w:sz="4" w:color="D9D9D9"/>
              <w:bottom w:val="single" w:sz="4" w:color="D9D9D9"/>
              <w:right w:val="single" w:sz="4" w:color="D9D9D9"/>
            </w:tcBorders>
          </w:tcPr>
          <w:p>
            <w:pPr>
              <w:spacing w:after="0"/>
            </w:pPr>
            <w:r>
              <w:rPr>
                <w:b/>
                <w:color w:val="FFFFFF"/>
                <w:sz w:val="16"/>
              </w:rPr>
              <w:t>Journey</w:t>
            </w:r>
          </w:p>
        </w:tc>
        <w:tc>
          <w:tcPr>
            <w:tcW w:type="dxa" w:w="7776"/>
            <w:vAlign w:val="center"/>
            <w:tcMar>
              <w:top w:w="80" w:type="dxa"/>
              <w:left w:w="80" w:type="dxa"/>
              <w:bottom w:w="80" w:type="dxa"/>
              <w:right w:w="80" w:type="dxa"/>
            </w:tcMar>
            <w:shd w:fill="173659"/>
            <w:tcBorders>
              <w:top w:val="single" w:sz="4" w:color="D9D9D9"/>
              <w:left w:val="single" w:sz="4" w:color="D9D9D9"/>
              <w:bottom w:val="single" w:sz="4" w:color="D9D9D9"/>
              <w:right w:val="single" w:sz="4" w:color="D9D9D9"/>
            </w:tcBorders>
          </w:tcPr>
          <w:p>
            <w:pPr>
              <w:spacing w:after="0"/>
            </w:pPr>
            <w:r>
              <w:rPr>
                <w:b/>
                <w:color w:val="FFFFFF"/>
                <w:sz w:val="16"/>
              </w:rPr>
              <w:t>Minimum end-to-end acceptance</w:t>
            </w:r>
          </w:p>
        </w:tc>
      </w:tr>
      <w:tr>
        <w:tc>
          <w:tcPr>
            <w:tcW w:type="dxa" w:w="19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Learner</w:t>
            </w:r>
          </w:p>
        </w:tc>
        <w:tc>
          <w:tcPr>
            <w:tcW w:type="dxa" w:w="777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Assigned course appears; content and assessment persist; result updates readiness; certificate or failure guidance appears.</w:t>
            </w:r>
          </w:p>
        </w:tc>
      </w:tr>
      <w:tr>
        <w:tc>
          <w:tcPr>
            <w:tcW w:type="dxa" w:w="1944"/>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Manager</w:t>
            </w:r>
          </w:p>
        </w:tc>
        <w:tc>
          <w:tcPr>
            <w:tcW w:type="dxa" w:w="7776"/>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Sees only authorized team; assigns learning; understands overdue risk; follows up and verifies resolution.</w:t>
            </w:r>
          </w:p>
        </w:tc>
      </w:tr>
      <w:tr>
        <w:tc>
          <w:tcPr>
            <w:tcW w:type="dxa" w:w="19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L&amp;D admin</w:t>
            </w:r>
          </w:p>
        </w:tc>
        <w:tc>
          <w:tcPr>
            <w:tcW w:type="dxa" w:w="777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Authors and versions course; obtains review; publishes; targets audience; manages enrollments and reports.</w:t>
            </w:r>
          </w:p>
        </w:tc>
      </w:tr>
      <w:tr>
        <w:tc>
          <w:tcPr>
            <w:tcW w:type="dxa" w:w="1944"/>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Compliance admin</w:t>
            </w:r>
          </w:p>
        </w:tc>
        <w:tc>
          <w:tcPr>
            <w:tcW w:type="dxa" w:w="7776"/>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Defines applicability and recurrence; handles exceptions; escalates; exports reproducible evidence.</w:t>
            </w:r>
          </w:p>
        </w:tc>
      </w:tr>
      <w:tr>
        <w:tc>
          <w:tcPr>
            <w:tcW w:type="dxa" w:w="194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Instructor</w:t>
            </w:r>
          </w:p>
        </w:tc>
        <w:tc>
          <w:tcPr>
            <w:tcW w:type="dxa" w:w="777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Schedules session; manages capacity and roster; records attendance and feedback; resolves discrepancies.</w:t>
            </w:r>
          </w:p>
        </w:tc>
      </w:tr>
      <w:tr>
        <w:tc>
          <w:tcPr>
            <w:tcW w:type="dxa" w:w="1944"/>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Executive</w:t>
            </w:r>
          </w:p>
        </w:tc>
        <w:tc>
          <w:tcPr>
            <w:tcW w:type="dxa" w:w="7776"/>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Views reconciled, drillable metrics with scope, freshness and definitions.</w:t>
            </w:r>
          </w:p>
        </w:tc>
      </w:tr>
    </w:tbl>
    <w:p>
      <w:pPr>
        <w:spacing w:after="40"/>
      </w:pPr>
    </w:p>
    <w:p>
      <w:pPr>
        <w:pStyle w:val="Heading1"/>
      </w:pPr>
      <w:r>
        <w:t>6 Roadmap and release gates</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368"/>
            <w:vAlign w:val="center"/>
            <w:tcMar>
              <w:top w:w="80" w:type="dxa"/>
              <w:left w:w="80" w:type="dxa"/>
              <w:bottom w:w="80" w:type="dxa"/>
              <w:right w:w="80" w:type="dxa"/>
            </w:tcMar>
            <w:shd w:fill="173659"/>
            <w:tcBorders>
              <w:top w:val="single" w:sz="4" w:color="D9D9D9"/>
              <w:left w:val="single" w:sz="4" w:color="D9D9D9"/>
              <w:bottom w:val="single" w:sz="4" w:color="D9D9D9"/>
              <w:right w:val="single" w:sz="4" w:color="D9D9D9"/>
            </w:tcBorders>
          </w:tcPr>
          <w:p>
            <w:pPr>
              <w:spacing w:after="0"/>
            </w:pPr>
            <w:r>
              <w:rPr>
                <w:b/>
                <w:color w:val="FFFFFF"/>
                <w:sz w:val="16"/>
              </w:rPr>
              <w:t>Window</w:t>
            </w:r>
          </w:p>
        </w:tc>
        <w:tc>
          <w:tcPr>
            <w:tcW w:type="dxa" w:w="5256"/>
            <w:vAlign w:val="center"/>
            <w:tcMar>
              <w:top w:w="80" w:type="dxa"/>
              <w:left w:w="80" w:type="dxa"/>
              <w:bottom w:w="80" w:type="dxa"/>
              <w:right w:w="80" w:type="dxa"/>
            </w:tcMar>
            <w:shd w:fill="173659"/>
            <w:tcBorders>
              <w:top w:val="single" w:sz="4" w:color="D9D9D9"/>
              <w:left w:val="single" w:sz="4" w:color="D9D9D9"/>
              <w:bottom w:val="single" w:sz="4" w:color="D9D9D9"/>
              <w:right w:val="single" w:sz="4" w:color="D9D9D9"/>
            </w:tcBorders>
          </w:tcPr>
          <w:p>
            <w:pPr>
              <w:spacing w:after="0"/>
            </w:pPr>
            <w:r>
              <w:rPr>
                <w:b/>
                <w:color w:val="FFFFFF"/>
                <w:sz w:val="16"/>
              </w:rPr>
              <w:t>Build and validate</w:t>
            </w:r>
          </w:p>
        </w:tc>
        <w:tc>
          <w:tcPr>
            <w:tcW w:type="dxa" w:w="3096"/>
            <w:vAlign w:val="center"/>
            <w:tcMar>
              <w:top w:w="80" w:type="dxa"/>
              <w:left w:w="80" w:type="dxa"/>
              <w:bottom w:w="80" w:type="dxa"/>
              <w:right w:w="80" w:type="dxa"/>
            </w:tcMar>
            <w:shd w:fill="173659"/>
            <w:tcBorders>
              <w:top w:val="single" w:sz="4" w:color="D9D9D9"/>
              <w:left w:val="single" w:sz="4" w:color="D9D9D9"/>
              <w:bottom w:val="single" w:sz="4" w:color="D9D9D9"/>
              <w:right w:val="single" w:sz="4" w:color="D9D9D9"/>
            </w:tcBorders>
          </w:tcPr>
          <w:p>
            <w:pPr>
              <w:spacing w:after="0"/>
            </w:pPr>
            <w:r>
              <w:rPr>
                <w:b/>
                <w:color w:val="FFFFFF"/>
                <w:sz w:val="16"/>
              </w:rPr>
              <w:t>Exit gate</w:t>
            </w:r>
          </w:p>
        </w:tc>
      </w:tr>
      <w:tr>
        <w:tc>
          <w:tcPr>
            <w:tcW w:type="dxa" w:w="1368"/>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Weeks 1–4</w:t>
            </w:r>
          </w:p>
        </w:tc>
        <w:tc>
          <w:tcPr>
            <w:tcW w:type="dxa" w:w="525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Freeze baseline; run route and API audit; document personas and jobs; interview 15 buyers in 3 regions; instrument metrics.</w:t>
            </w:r>
          </w:p>
        </w:tc>
        <w:tc>
          <w:tcPr>
            <w:tcW w:type="dxa" w:w="309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Named owners; severity-ranked backlog; 6 signed design partners; repeatable build; baseline metrics.</w:t>
            </w:r>
          </w:p>
        </w:tc>
      </w:tr>
      <w:tr>
        <w:tc>
          <w:tcPr>
            <w:tcW w:type="dxa" w:w="1368"/>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Weeks 5–8</w:t>
            </w:r>
          </w:p>
        </w:tc>
        <w:tc>
          <w:tcPr>
            <w:tcW w:type="dxa" w:w="5256"/>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Complete 11 empty routes; finish core learning and compliance journeys; address permission and persistence defects.</w:t>
            </w:r>
          </w:p>
        </w:tc>
        <w:tc>
          <w:tcPr>
            <w:tcW w:type="dxa" w:w="3096"/>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No critical workflow placeholder; role tests pass; pilot can complete the entire learner-to-evidence flow.</w:t>
            </w:r>
          </w:p>
        </w:tc>
      </w:tr>
      <w:tr>
        <w:tc>
          <w:tcPr>
            <w:tcW w:type="dxa" w:w="1368"/>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Weeks 9–12</w:t>
            </w:r>
          </w:p>
        </w:tc>
        <w:tc>
          <w:tcPr>
            <w:tcW w:type="dxa" w:w="525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Readiness Graph v1; L&amp;D queue v1; imports/SSO and operational reporting; usability and accessibility evaluation.</w:t>
            </w:r>
          </w:p>
        </w:tc>
        <w:tc>
          <w:tcPr>
            <w:tcW w:type="dxa" w:w="309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Pilot workflow success at least 90%; zero critical security findings; 5 design partners actively using production-like environments.</w:t>
            </w:r>
          </w:p>
        </w:tc>
      </w:tr>
      <w:tr>
        <w:tc>
          <w:tcPr>
            <w:tcW w:type="dxa" w:w="1368"/>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Months 4–6</w:t>
            </w:r>
          </w:p>
        </w:tc>
        <w:tc>
          <w:tcPr>
            <w:tcW w:type="dxa" w:w="5256"/>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Paid pilots; localized launch in first 2–3 markets; implementation playbook; customer support and sales proof.</w:t>
            </w:r>
          </w:p>
        </w:tc>
        <w:tc>
          <w:tcPr>
            <w:tcW w:type="dxa" w:w="3096"/>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5 paying production customers; 50% top-three shortlist rate in at least 30 qualified evaluations; release gates met.</w:t>
            </w:r>
          </w:p>
        </w:tc>
      </w:tr>
      <w:tr>
        <w:tc>
          <w:tcPr>
            <w:tcW w:type="dxa" w:w="1368"/>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Months 7–12</w:t>
            </w:r>
          </w:p>
        </w:tc>
        <w:tc>
          <w:tcPr>
            <w:tcW w:type="dxa" w:w="525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Expand integrations, external audiences where requested, reporting and authoring; standardize partners and support.</w:t>
            </w:r>
          </w:p>
        </w:tc>
        <w:tc>
          <w:tcPr>
            <w:tcW w:type="dxa" w:w="309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20 paying organizations in 3 countries; retained reference customers and measurable outcomes.</w:t>
            </w:r>
          </w:p>
        </w:tc>
      </w:tr>
      <w:tr>
        <w:tc>
          <w:tcPr>
            <w:tcW w:type="dxa" w:w="1368"/>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Months 13–24</w:t>
            </w:r>
          </w:p>
        </w:tc>
        <w:tc>
          <w:tcPr>
            <w:tcW w:type="dxa" w:w="5256"/>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Add languages and regions based on demand; deepen ecosystem, skills evidence and data portability.</w:t>
            </w:r>
          </w:p>
        </w:tc>
        <w:tc>
          <w:tcPr>
            <w:tcW w:type="dxa" w:w="3096"/>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100 paying organizations in 5+ countries, healthy retention and independently verifiable quality.</w:t>
            </w:r>
          </w:p>
        </w:tc>
      </w:tr>
    </w:tbl>
    <w:p>
      <w:pPr>
        <w:spacing w:after="40"/>
      </w:pPr>
    </w:p>
    <w:p>
      <w:r>
        <w:t>A missed gate delays the public claim or regional launch, not the safety work. No revenue target overrides tenant isolation, authorization, data recovery or truthful customer reporting.</w:t>
      </w:r>
    </w:p>
    <w:p>
      <w:pPr>
        <w:pStyle w:val="Heading1"/>
      </w:pPr>
      <w:r>
        <w:t>7 Engineering and enterprise requirements</w:t>
      </w:r>
    </w:p>
    <w:p>
      <w:pPr>
        <w:pStyle w:val="ListBullet"/>
      </w:pPr>
      <w:r>
        <w:t>Identity and tenancy: enforce tenant scope server-side on every read and write; test cross-tenant denial, role boundaries, impersonation controls and immutable audit events. Support SSO and provisioning with customer-specific contracts.</w:t>
      </w:r>
    </w:p>
    <w:p>
      <w:pPr>
        <w:pStyle w:val="ListBullet"/>
      </w:pPr>
      <w:r>
        <w:t>Learning standards: prioritize robust SCORM package import and completion handling where target buyers require it; assess xAPI/LRS and LTI 1.3 Advantage through actual integration demand and conformance testing [S1, S2].</w:t>
      </w:r>
    </w:p>
    <w:p>
      <w:pPr>
        <w:pStyle w:val="ListBullet"/>
      </w:pPr>
      <w:r>
        <w:t>Reliability: publish service objectives and instrument latency, background jobs, email delivery, storage, database health and webhook retries. Practice restore from backup and incident response before enterprise launch.</w:t>
      </w:r>
    </w:p>
    <w:p>
      <w:pPr>
        <w:pStyle w:val="ListBullet"/>
      </w:pPr>
      <w:r>
        <w:t>Accessibility and localization: target WCAG 2.2 AA with keyboard, screen reader and contrast checks across complete journeys [S3]. Test local date/time boundaries, right-to-left content and translated error messages.</w:t>
      </w:r>
    </w:p>
    <w:p>
      <w:pPr>
        <w:pStyle w:val="ListBullet"/>
      </w:pPr>
      <w:r>
        <w:t>Data and AI: define a metric dictionary and event lineage; require human review for high-impact AI outputs, tenant-grounded retrieval, opt-out, retention controls and spend limits.</w:t>
      </w:r>
    </w:p>
    <w:p>
      <w:pPr>
        <w:pStyle w:val="ListBullet"/>
      </w:pPr>
      <w:r>
        <w:t>Release discipline: CI for migrations, type checks, API contracts, tenant and role regression, critical browser paths and restore rehearsal. Define a clear release owner and rollback runbook.</w:t>
      </w:r>
    </w:p>
    <w:p>
      <w:pPr>
        <w:pStyle w:val="Heading1"/>
      </w:pPr>
      <w:r>
        <w:t>8 Global go to market</w:t>
      </w:r>
    </w:p>
    <w:p>
      <w:r>
        <w:t>Start where the team can deliver onboarding and support well. Proposed sequence: Pakistan as an operational test market; Gulf employers with multilingual, distributed workforces as a second validation market; then English-speaking markets through partners and references. This is a hypothesis, not a claim about market attractiveness. Check procurement, accessibility, privacy, data residency, tax and employment-training obligations locally before selling in each jurisdiction.</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584"/>
            <w:vAlign w:val="center"/>
            <w:tcMar>
              <w:top w:w="80" w:type="dxa"/>
              <w:left w:w="80" w:type="dxa"/>
              <w:bottom w:w="80" w:type="dxa"/>
              <w:right w:w="80" w:type="dxa"/>
            </w:tcMar>
            <w:shd w:fill="173659"/>
            <w:tcBorders>
              <w:top w:val="single" w:sz="4" w:color="D9D9D9"/>
              <w:left w:val="single" w:sz="4" w:color="D9D9D9"/>
              <w:bottom w:val="single" w:sz="4" w:color="D9D9D9"/>
              <w:right w:val="single" w:sz="4" w:color="D9D9D9"/>
            </w:tcBorders>
          </w:tcPr>
          <w:p>
            <w:pPr>
              <w:spacing w:after="0"/>
            </w:pPr>
            <w:r>
              <w:rPr>
                <w:b/>
                <w:color w:val="FFFFFF"/>
                <w:sz w:val="16"/>
              </w:rPr>
              <w:t>Motion</w:t>
            </w:r>
          </w:p>
        </w:tc>
        <w:tc>
          <w:tcPr>
            <w:tcW w:type="dxa" w:w="4752"/>
            <w:vAlign w:val="center"/>
            <w:tcMar>
              <w:top w:w="80" w:type="dxa"/>
              <w:left w:w="80" w:type="dxa"/>
              <w:bottom w:w="80" w:type="dxa"/>
              <w:right w:w="80" w:type="dxa"/>
            </w:tcMar>
            <w:shd w:fill="173659"/>
            <w:tcBorders>
              <w:top w:val="single" w:sz="4" w:color="D9D9D9"/>
              <w:left w:val="single" w:sz="4" w:color="D9D9D9"/>
              <w:bottom w:val="single" w:sz="4" w:color="D9D9D9"/>
              <w:right w:val="single" w:sz="4" w:color="D9D9D9"/>
            </w:tcBorders>
          </w:tcPr>
          <w:p>
            <w:pPr>
              <w:spacing w:after="0"/>
            </w:pPr>
            <w:r>
              <w:rPr>
                <w:b/>
                <w:color w:val="FFFFFF"/>
                <w:sz w:val="16"/>
              </w:rPr>
              <w:t>Action</w:t>
            </w:r>
          </w:p>
        </w:tc>
        <w:tc>
          <w:tcPr>
            <w:tcW w:type="dxa" w:w="3384"/>
            <w:vAlign w:val="center"/>
            <w:tcMar>
              <w:top w:w="80" w:type="dxa"/>
              <w:left w:w="80" w:type="dxa"/>
              <w:bottom w:w="80" w:type="dxa"/>
              <w:right w:w="80" w:type="dxa"/>
            </w:tcMar>
            <w:shd w:fill="173659"/>
            <w:tcBorders>
              <w:top w:val="single" w:sz="4" w:color="D9D9D9"/>
              <w:left w:val="single" w:sz="4" w:color="D9D9D9"/>
              <w:bottom w:val="single" w:sz="4" w:color="D9D9D9"/>
              <w:right w:val="single" w:sz="4" w:color="D9D9D9"/>
            </w:tcBorders>
          </w:tcPr>
          <w:p>
            <w:pPr>
              <w:spacing w:after="0"/>
            </w:pPr>
            <w:r>
              <w:rPr>
                <w:b/>
                <w:color w:val="FFFFFF"/>
                <w:sz w:val="16"/>
              </w:rPr>
              <w:t>Proof</w:t>
            </w:r>
          </w:p>
        </w:tc>
      </w:tr>
      <w:tr>
        <w:tc>
          <w:tcPr>
            <w:tcW w:type="dxa" w:w="158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Design partners</w:t>
            </w:r>
          </w:p>
        </w:tc>
        <w:tc>
          <w:tcPr>
            <w:tcW w:type="dxa" w:w="4752"/>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Recruit 6 employers across 2 industries; exchange direct workflow input for time-limited pilot terms.</w:t>
            </w:r>
          </w:p>
        </w:tc>
        <w:tc>
          <w:tcPr>
            <w:tcW w:type="dxa" w:w="338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Weekly use and documented friction; no fabricated testimonials.</w:t>
            </w:r>
          </w:p>
        </w:tc>
      </w:tr>
      <w:tr>
        <w:tc>
          <w:tcPr>
            <w:tcW w:type="dxa" w:w="1584"/>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Paid pilot</w:t>
            </w:r>
          </w:p>
        </w:tc>
        <w:tc>
          <w:tcPr>
            <w:tcW w:type="dxa" w:w="4752"/>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Fixed scope, 60–90 days, named success measures, migration boundary and support owner.</w:t>
            </w:r>
          </w:p>
        </w:tc>
        <w:tc>
          <w:tcPr>
            <w:tcW w:type="dxa" w:w="3384"/>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At least 5 production customers and reference permission.</w:t>
            </w:r>
          </w:p>
        </w:tc>
      </w:tr>
      <w:tr>
        <w:tc>
          <w:tcPr>
            <w:tcW w:type="dxa" w:w="158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Distribution</w:t>
            </w:r>
          </w:p>
        </w:tc>
        <w:tc>
          <w:tcPr>
            <w:tcW w:type="dxa" w:w="4752"/>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Direct sales first; then HRIS, consultancy and training partners with implementation certification.</w:t>
            </w:r>
          </w:p>
        </w:tc>
        <w:tc>
          <w:tcPr>
            <w:tcW w:type="dxa" w:w="338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Partner sourced qualified pipeline and deployment quality.</w:t>
            </w:r>
          </w:p>
        </w:tc>
      </w:tr>
      <w:tr>
        <w:tc>
          <w:tcPr>
            <w:tcW w:type="dxa" w:w="1584"/>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Brand and demand</w:t>
            </w:r>
          </w:p>
        </w:tc>
        <w:tc>
          <w:tcPr>
            <w:tcW w:type="dxa" w:w="4752"/>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Publish honest comparisons, workflow demos, security evidence and customer outcome studies.</w:t>
            </w:r>
          </w:p>
        </w:tc>
        <w:tc>
          <w:tcPr>
            <w:tcW w:type="dxa" w:w="3384"/>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Shortlist inclusion, demo-to-pilot and pilot-to-paid conversion.</w:t>
            </w:r>
          </w:p>
        </w:tc>
      </w:tr>
    </w:tbl>
    <w:p>
      <w:pPr>
        <w:spacing w:after="40"/>
      </w:pPr>
    </w:p>
    <w:p>
      <w:pPr>
        <w:pStyle w:val="Heading1"/>
      </w:pPr>
      <w:r>
        <w:t>9 Scorecard and operating cadence</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016"/>
            <w:vAlign w:val="center"/>
            <w:tcMar>
              <w:top w:w="80" w:type="dxa"/>
              <w:left w:w="80" w:type="dxa"/>
              <w:bottom w:w="80" w:type="dxa"/>
              <w:right w:w="80" w:type="dxa"/>
            </w:tcMar>
            <w:shd w:fill="173659"/>
            <w:tcBorders>
              <w:top w:val="single" w:sz="4" w:color="D9D9D9"/>
              <w:left w:val="single" w:sz="4" w:color="D9D9D9"/>
              <w:bottom w:val="single" w:sz="4" w:color="D9D9D9"/>
              <w:right w:val="single" w:sz="4" w:color="D9D9D9"/>
            </w:tcBorders>
          </w:tcPr>
          <w:p>
            <w:pPr>
              <w:spacing w:after="0"/>
            </w:pPr>
            <w:r>
              <w:rPr>
                <w:b/>
                <w:color w:val="FFFFFF"/>
                <w:sz w:val="16"/>
              </w:rPr>
              <w:t>Metric</w:t>
            </w:r>
          </w:p>
        </w:tc>
        <w:tc>
          <w:tcPr>
            <w:tcW w:type="dxa" w:w="6480"/>
            <w:vAlign w:val="center"/>
            <w:tcMar>
              <w:top w:w="80" w:type="dxa"/>
              <w:left w:w="80" w:type="dxa"/>
              <w:bottom w:w="80" w:type="dxa"/>
              <w:right w:w="80" w:type="dxa"/>
            </w:tcMar>
            <w:shd w:fill="173659"/>
            <w:tcBorders>
              <w:top w:val="single" w:sz="4" w:color="D9D9D9"/>
              <w:left w:val="single" w:sz="4" w:color="D9D9D9"/>
              <w:bottom w:val="single" w:sz="4" w:color="D9D9D9"/>
              <w:right w:val="single" w:sz="4" w:color="D9D9D9"/>
            </w:tcBorders>
          </w:tcPr>
          <w:p>
            <w:pPr>
              <w:spacing w:after="0"/>
            </w:pPr>
            <w:r>
              <w:rPr>
                <w:b/>
                <w:color w:val="FFFFFF"/>
                <w:sz w:val="16"/>
              </w:rPr>
              <w:t>Definition and six month target</w:t>
            </w:r>
          </w:p>
        </w:tc>
        <w:tc>
          <w:tcPr>
            <w:tcW w:type="dxa" w:w="1224"/>
            <w:vAlign w:val="center"/>
            <w:tcMar>
              <w:top w:w="80" w:type="dxa"/>
              <w:left w:w="80" w:type="dxa"/>
              <w:bottom w:w="80" w:type="dxa"/>
              <w:right w:w="80" w:type="dxa"/>
            </w:tcMar>
            <w:shd w:fill="173659"/>
            <w:tcBorders>
              <w:top w:val="single" w:sz="4" w:color="D9D9D9"/>
              <w:left w:val="single" w:sz="4" w:color="D9D9D9"/>
              <w:bottom w:val="single" w:sz="4" w:color="D9D9D9"/>
              <w:right w:val="single" w:sz="4" w:color="D9D9D9"/>
            </w:tcBorders>
          </w:tcPr>
          <w:p>
            <w:pPr>
              <w:spacing w:after="0"/>
            </w:pPr>
            <w:r>
              <w:rPr>
                <w:b/>
                <w:color w:val="FFFFFF"/>
                <w:sz w:val="16"/>
              </w:rPr>
              <w:t>Owner</w:t>
            </w:r>
          </w:p>
        </w:tc>
      </w:tr>
      <w:tr>
        <w:tc>
          <w:tcPr>
            <w:tcW w:type="dxa" w:w="201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Top-three shortlist rate</w:t>
            </w:r>
          </w:p>
        </w:tc>
        <w:tc>
          <w:tcPr>
            <w:tcW w:type="dxa" w:w="6480"/>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Documented placement among final 3 of qualified evaluations ÷ all qualified evaluations; ≥50%, n≥30.</w:t>
            </w:r>
          </w:p>
        </w:tc>
        <w:tc>
          <w:tcPr>
            <w:tcW w:type="dxa" w:w="122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Sales lead</w:t>
            </w:r>
          </w:p>
        </w:tc>
      </w:tr>
      <w:tr>
        <w:tc>
          <w:tcPr>
            <w:tcW w:type="dxa" w:w="2016"/>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Pilot conversion</w:t>
            </w:r>
          </w:p>
        </w:tc>
        <w:tc>
          <w:tcPr>
            <w:tcW w:type="dxa" w:w="6480"/>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Paid customers ÷ completed qualified pilots; target ≥40% after baseline.</w:t>
            </w:r>
          </w:p>
        </w:tc>
        <w:tc>
          <w:tcPr>
            <w:tcW w:type="dxa" w:w="1224"/>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Commercial lead</w:t>
            </w:r>
          </w:p>
        </w:tc>
      </w:tr>
      <w:tr>
        <w:tc>
          <w:tcPr>
            <w:tcW w:type="dxa" w:w="201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Time to value</w:t>
            </w:r>
          </w:p>
        </w:tc>
        <w:tc>
          <w:tcPr>
            <w:tcW w:type="dxa" w:w="6480"/>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Median calendar days from contract to first real assignment; ≤14 days.</w:t>
            </w:r>
          </w:p>
        </w:tc>
        <w:tc>
          <w:tcPr>
            <w:tcW w:type="dxa" w:w="122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Implementation lead</w:t>
            </w:r>
          </w:p>
        </w:tc>
      </w:tr>
      <w:tr>
        <w:tc>
          <w:tcPr>
            <w:tcW w:type="dxa" w:w="2016"/>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Core journey success</w:t>
            </w:r>
          </w:p>
        </w:tc>
        <w:tc>
          <w:tcPr>
            <w:tcW w:type="dxa" w:w="6480"/>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Usability participants completing assigned end-to-end task unassisted; ≥90%.</w:t>
            </w:r>
          </w:p>
        </w:tc>
        <w:tc>
          <w:tcPr>
            <w:tcW w:type="dxa" w:w="1224"/>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Product lead</w:t>
            </w:r>
          </w:p>
        </w:tc>
      </w:tr>
      <w:tr>
        <w:tc>
          <w:tcPr>
            <w:tcW w:type="dxa" w:w="201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Reliability</w:t>
            </w:r>
          </w:p>
        </w:tc>
        <w:tc>
          <w:tcPr>
            <w:tcW w:type="dxa" w:w="6480"/>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Monthly application availability ≥99.9% after production launch; exclusions stated.</w:t>
            </w:r>
          </w:p>
        </w:tc>
        <w:tc>
          <w:tcPr>
            <w:tcW w:type="dxa" w:w="122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Engineering lead</w:t>
            </w:r>
          </w:p>
        </w:tc>
      </w:tr>
      <w:tr>
        <w:tc>
          <w:tcPr>
            <w:tcW w:type="dxa" w:w="2016"/>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Customer outcome</w:t>
            </w:r>
          </w:p>
        </w:tc>
        <w:tc>
          <w:tcPr>
            <w:tcW w:type="dxa" w:w="6480"/>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Median reduction in agreed audit preparation hours; target ≥30% in eligible pilots.</w:t>
            </w:r>
          </w:p>
        </w:tc>
        <w:tc>
          <w:tcPr>
            <w:tcW w:type="dxa" w:w="1224"/>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Customer success</w:t>
            </w:r>
          </w:p>
        </w:tc>
      </w:tr>
      <w:tr>
        <w:tc>
          <w:tcPr>
            <w:tcW w:type="dxa" w:w="201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Retention</w:t>
            </w:r>
          </w:p>
        </w:tc>
        <w:tc>
          <w:tcPr>
            <w:tcW w:type="dxa" w:w="6480"/>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90-day paying-customer logo retention ≥90%; cohort definition published.</w:t>
            </w:r>
          </w:p>
        </w:tc>
        <w:tc>
          <w:tcPr>
            <w:tcW w:type="dxa" w:w="1224"/>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Finance and success</w:t>
            </w:r>
          </w:p>
        </w:tc>
      </w:tr>
    </w:tbl>
    <w:p>
      <w:pPr>
        <w:spacing w:after="40"/>
      </w:pPr>
    </w:p>
    <w:p>
      <w:r>
        <w:t>Review weekly: funnel, severe defects, adoption and support cases. Review monthly: customer outcomes, churn risks, roadmap tradeoffs and regional readiness. Review quarterly: pricing, competitors, architecture capacity and whether “top-three” claims meet the stated sample and method. Publish denominator and observation dates with every metric.</w:t>
      </w:r>
    </w:p>
    <w:p>
      <w:pPr>
        <w:pStyle w:val="Heading1"/>
      </w:pPr>
      <w:r>
        <w:t>10 Team, funding and decisions</w:t>
      </w:r>
    </w:p>
    <w:p>
      <w:r>
        <w:t>Minimum accountable roles: product lead, design lead, frontend lead, backend/platform lead, QA and accessibility lead, security and operations lead, implementation/customer success lead, and commercial lead. One person may hold more than one role initially, but ownership cannot be shared ambiguously. Assign a decision maker for scope, a release approver for safety gates, and a named owner for each pilot.</w:t>
      </w:r>
    </w:p>
    <w:p>
      <w:r>
        <w:t>Prepare a 12-month budget before committing to dates: payroll, hosting and regional infrastructure, AI usage, translation and native review, external security testing, support, partner enablement and contingency. Model low/base/high acquisition scenarios using actual cycle length and customer acquisition cost from the first 30 evaluations. Price by learner bands and operational complexity only after customer willingness-to-pay interviews.</w:t>
      </w:r>
    </w:p>
    <w:p>
      <w:pPr>
        <w:pStyle w:val="Heading1"/>
      </w:pPr>
      <w:r>
        <w:t>11 Risks and response</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232"/>
            <w:vAlign w:val="center"/>
            <w:tcMar>
              <w:top w:w="80" w:type="dxa"/>
              <w:left w:w="80" w:type="dxa"/>
              <w:bottom w:w="80" w:type="dxa"/>
              <w:right w:w="80" w:type="dxa"/>
            </w:tcMar>
            <w:shd w:fill="173659"/>
            <w:tcBorders>
              <w:top w:val="single" w:sz="4" w:color="D9D9D9"/>
              <w:left w:val="single" w:sz="4" w:color="D9D9D9"/>
              <w:bottom w:val="single" w:sz="4" w:color="D9D9D9"/>
              <w:right w:val="single" w:sz="4" w:color="D9D9D9"/>
            </w:tcBorders>
          </w:tcPr>
          <w:p>
            <w:pPr>
              <w:spacing w:after="0"/>
            </w:pPr>
            <w:r>
              <w:rPr>
                <w:b/>
                <w:color w:val="FFFFFF"/>
                <w:sz w:val="16"/>
              </w:rPr>
              <w:t>Risk</w:t>
            </w:r>
          </w:p>
        </w:tc>
        <w:tc>
          <w:tcPr>
            <w:tcW w:type="dxa" w:w="2592"/>
            <w:vAlign w:val="center"/>
            <w:tcMar>
              <w:top w:w="80" w:type="dxa"/>
              <w:left w:w="80" w:type="dxa"/>
              <w:bottom w:w="80" w:type="dxa"/>
              <w:right w:w="80" w:type="dxa"/>
            </w:tcMar>
            <w:shd w:fill="173659"/>
            <w:tcBorders>
              <w:top w:val="single" w:sz="4" w:color="D9D9D9"/>
              <w:left w:val="single" w:sz="4" w:color="D9D9D9"/>
              <w:bottom w:val="single" w:sz="4" w:color="D9D9D9"/>
              <w:right w:val="single" w:sz="4" w:color="D9D9D9"/>
            </w:tcBorders>
          </w:tcPr>
          <w:p>
            <w:pPr>
              <w:spacing w:after="0"/>
            </w:pPr>
            <w:r>
              <w:rPr>
                <w:b/>
                <w:color w:val="FFFFFF"/>
                <w:sz w:val="16"/>
              </w:rPr>
              <w:t>Trigger</w:t>
            </w:r>
          </w:p>
        </w:tc>
        <w:tc>
          <w:tcPr>
            <w:tcW w:type="dxa" w:w="4896"/>
            <w:vAlign w:val="center"/>
            <w:tcMar>
              <w:top w:w="80" w:type="dxa"/>
              <w:left w:w="80" w:type="dxa"/>
              <w:bottom w:w="80" w:type="dxa"/>
              <w:right w:w="80" w:type="dxa"/>
            </w:tcMar>
            <w:shd w:fill="173659"/>
            <w:tcBorders>
              <w:top w:val="single" w:sz="4" w:color="D9D9D9"/>
              <w:left w:val="single" w:sz="4" w:color="D9D9D9"/>
              <w:bottom w:val="single" w:sz="4" w:color="D9D9D9"/>
              <w:right w:val="single" w:sz="4" w:color="D9D9D9"/>
            </w:tcBorders>
          </w:tcPr>
          <w:p>
            <w:pPr>
              <w:spacing w:after="0"/>
            </w:pPr>
            <w:r>
              <w:rPr>
                <w:b/>
                <w:color w:val="FFFFFF"/>
                <w:sz w:val="16"/>
              </w:rPr>
              <w:t>Response</w:t>
            </w:r>
          </w:p>
        </w:tc>
      </w:tr>
      <w:tr>
        <w:tc>
          <w:tcPr>
            <w:tcW w:type="dxa" w:w="2232"/>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Feature breadth overwhelms delivery</w:t>
            </w:r>
          </w:p>
        </w:tc>
        <w:tc>
          <w:tcPr>
            <w:tcW w:type="dxa" w:w="2592"/>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Critical paths remain incomplete after week 8</w:t>
            </w:r>
          </w:p>
        </w:tc>
        <w:tc>
          <w:tcPr>
            <w:tcW w:type="dxa" w:w="489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Stop new modules; finish core journey and remove incomplete navigation.</w:t>
            </w:r>
          </w:p>
        </w:tc>
      </w:tr>
      <w:tr>
        <w:tc>
          <w:tcPr>
            <w:tcW w:type="dxa" w:w="2232"/>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Unsupported global claim</w:t>
            </w:r>
          </w:p>
        </w:tc>
        <w:tc>
          <w:tcPr>
            <w:tcW w:type="dxa" w:w="2592"/>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No buyer sample or independent reviews</w:t>
            </w:r>
          </w:p>
        </w:tc>
        <w:tc>
          <w:tcPr>
            <w:tcW w:type="dxa" w:w="4896"/>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Use narrow, evidence-based shortlist language only.</w:t>
            </w:r>
          </w:p>
        </w:tc>
      </w:tr>
      <w:tr>
        <w:tc>
          <w:tcPr>
            <w:tcW w:type="dxa" w:w="2232"/>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Regional complexity</w:t>
            </w:r>
          </w:p>
        </w:tc>
        <w:tc>
          <w:tcPr>
            <w:tcW w:type="dxa" w:w="2592"/>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Translation, hosting or legal requirements exceed capacity</w:t>
            </w:r>
          </w:p>
        </w:tc>
        <w:tc>
          <w:tcPr>
            <w:tcW w:type="dxa" w:w="489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Launch fewer markets with validated support and contracts.</w:t>
            </w:r>
          </w:p>
        </w:tc>
      </w:tr>
      <w:tr>
        <w:tc>
          <w:tcPr>
            <w:tcW w:type="dxa" w:w="2232"/>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Security or data incident</w:t>
            </w:r>
          </w:p>
        </w:tc>
        <w:tc>
          <w:tcPr>
            <w:tcW w:type="dxa" w:w="2592"/>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High severity finding or failed restore</w:t>
            </w:r>
          </w:p>
        </w:tc>
        <w:tc>
          <w:tcPr>
            <w:tcW w:type="dxa" w:w="4896"/>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Block release; remediate and retest with incident ownership.</w:t>
            </w:r>
          </w:p>
        </w:tc>
      </w:tr>
      <w:tr>
        <w:tc>
          <w:tcPr>
            <w:tcW w:type="dxa" w:w="2232"/>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AI trust failure</w:t>
            </w:r>
          </w:p>
        </w:tc>
        <w:tc>
          <w:tcPr>
            <w:tcW w:type="dxa" w:w="2592"/>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Ungrounded output or tenant leakage</w:t>
            </w:r>
          </w:p>
        </w:tc>
        <w:tc>
          <w:tcPr>
            <w:tcW w:type="dxa" w:w="4896"/>
            <w:vAlign w:val="center"/>
            <w:tcMar>
              <w:top w:w="80" w:type="dxa"/>
              <w:left w:w="80" w:type="dxa"/>
              <w:bottom w:w="80" w:type="dxa"/>
              <w:right w:w="80" w:type="dxa"/>
            </w:tcMar>
            <w:shd w:fill="FFFFFF"/>
            <w:tcBorders>
              <w:top w:val="single" w:sz="4" w:color="D9D9D9"/>
              <w:left w:val="single" w:sz="4" w:color="D9D9D9"/>
              <w:bottom w:val="single" w:sz="4" w:color="D9D9D9"/>
              <w:right w:val="single" w:sz="4" w:color="D9D9D9"/>
            </w:tcBorders>
          </w:tcPr>
          <w:p>
            <w:pPr>
              <w:spacing w:after="0"/>
            </w:pPr>
            <w:r>
              <w:rPr>
                <w:color w:val="232A34"/>
                <w:sz w:val="16"/>
              </w:rPr>
              <w:t>Disable affected feature; investigate; add tests and human control.</w:t>
            </w:r>
          </w:p>
        </w:tc>
      </w:tr>
      <w:tr>
        <w:tc>
          <w:tcPr>
            <w:tcW w:type="dxa" w:w="2232"/>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Low product adoption</w:t>
            </w:r>
          </w:p>
        </w:tc>
        <w:tc>
          <w:tcPr>
            <w:tcW w:type="dxa" w:w="2592"/>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Managers and learners abandon core tasks</w:t>
            </w:r>
          </w:p>
        </w:tc>
        <w:tc>
          <w:tcPr>
            <w:tcW w:type="dxa" w:w="4896"/>
            <w:vAlign w:val="center"/>
            <w:tcMar>
              <w:top w:w="80" w:type="dxa"/>
              <w:left w:w="80" w:type="dxa"/>
              <w:bottom w:w="80" w:type="dxa"/>
              <w:right w:w="80" w:type="dxa"/>
            </w:tcMar>
            <w:shd w:fill="F2F6FA"/>
            <w:tcBorders>
              <w:top w:val="single" w:sz="4" w:color="D9D9D9"/>
              <w:left w:val="single" w:sz="4" w:color="D9D9D9"/>
              <w:bottom w:val="single" w:sz="4" w:color="D9D9D9"/>
              <w:right w:val="single" w:sz="4" w:color="D9D9D9"/>
            </w:tcBorders>
          </w:tcPr>
          <w:p>
            <w:pPr>
              <w:spacing w:after="0"/>
            </w:pPr>
            <w:r>
              <w:rPr>
                <w:color w:val="232A34"/>
                <w:sz w:val="16"/>
              </w:rPr>
              <w:t>Observe sessions, simplify workflows and retest before expansion.</w:t>
            </w:r>
          </w:p>
        </w:tc>
      </w:tr>
    </w:tbl>
    <w:p>
      <w:pPr>
        <w:spacing w:after="40"/>
      </w:pPr>
    </w:p>
    <w:p>
      <w:pPr>
        <w:pStyle w:val="Heading1"/>
      </w:pPr>
      <w:r>
        <w:t>12 Immediate decisions for the next 14 days</w:t>
      </w:r>
    </w:p>
    <w:p>
      <w:pPr>
        <w:pStyle w:val="ListNumber"/>
      </w:pPr>
      <w:r>
        <w:t>Confirm the first target segment and two industries from buyer interviews; appoint one accountable product owner.</w:t>
      </w:r>
    </w:p>
    <w:p>
      <w:pPr>
        <w:pStyle w:val="ListNumber"/>
      </w:pPr>
      <w:r>
        <w:t>Create a release branch and inventory every route, API, permission, background job and unfinished workflow; rerun the test suite on the current code.</w:t>
      </w:r>
    </w:p>
    <w:p>
      <w:pPr>
        <w:pStyle w:val="ListNumber"/>
      </w:pPr>
      <w:r>
        <w:t>Prioritize the 11 generic routes and the learner-to-evidence journey; define acceptance scenarios and pilot data boundaries.</w:t>
      </w:r>
    </w:p>
    <w:p>
      <w:pPr>
        <w:pStyle w:val="ListNumber"/>
      </w:pPr>
      <w:r>
        <w:t>Recruit six design partners, obtain baseline workflow timings and agree on measurable pilot outcomes.</w:t>
      </w:r>
    </w:p>
    <w:p>
      <w:pPr>
        <w:pStyle w:val="ListNumber"/>
      </w:pPr>
      <w:r>
        <w:t>Set capacity, budget and region sequencing from actual team and customer constraints; approve the six-month gates.</w:t>
      </w:r>
    </w:p>
    <w:p>
      <w:pPr>
        <w:pStyle w:val="Heading1"/>
      </w:pPr>
      <w:r>
        <w:t>Evidence and source notes</w:t>
      </w:r>
    </w:p>
    <w:p>
      <w:r>
        <w:t>Project evidence reviewed 26 September 2026: [P1] C:\Projects\CorpLMS\docs\02-product\REQUIREMENTS_BASELINE.md; [P2] REQUIREMENTS_TRACEABILITY_MATRIX.md in the same folder; [P3] C:\Projects\CorpLMS\qa\PHASE0_QA_BASELINE_2026-09-25.md; current dashboard route inventory and recovered-workspace component. Repository findings may change as work continues. No independent production penetration test, live user study or sales data was supplied for this document.</w:t>
      </w:r>
    </w:p>
    <w:p>
      <w:r>
        <w:t>Market sources, accessed 26 September 2026: [M1] cornerstoneondemand.com/platform/learning-suite/; [M2] learning.sap.com/courses/sap-successfactors-learning-academy/exploring-sap-successfactors-learning; [M3] workday.com/en-gb/products/talent-management/learning.html; [M4] docebo.com/solutions/enterprise-learning-management/; [M5] absorblms.com and support.absorblms.com; [M6] 360learning.com/enterprise/; [M7] business.adobe.com/products/learning-manager/all-features.html; [M8] talentlms.com/features; [M9] litmos.com/platform/lms/; [M10] learnupon.com/platform/. These vendor materials establish advertised capabilities, not independently measured performance.</w:t>
      </w:r>
    </w:p>
    <w:p>
      <w:r>
        <w:t>Standards: [S1] standards.1edtech.org/lti/guides/implementation_guide/implementation-guide; [S2] adlnet.gov resources on xAPI and Learning Record Stores; [S3] w3.org/TR/wcag/.</w:t>
      </w:r>
    </w:p>
    <w:sectPr w:rsidR="00FC693F" w:rsidRPr="0006063C" w:rsidSect="00034616">
      <w:footerReference w:type="default" r:id="rId9"/>
      <w:pgSz w:w="12240" w:h="15840"/>
      <w:pgMar w:top="1123"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Kognivon strategy  •  26 September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32A3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14A54"/>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