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Сценарии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40165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4016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новой группы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42953" cy="41957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953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88502" cy="41576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502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зачисление студента на первый курс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перевод группы на следующий курс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открывается меню редактирования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условная кнопка перевести на следующий курс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83.46456692913375" w:hanging="1170"/>
        <w:rPr>
          <w:u w:val="none"/>
        </w:rPr>
      </w:pPr>
      <w:r w:rsidDel="00000000" w:rsidR="00000000" w:rsidRPr="00000000">
        <w:rPr>
          <w:rtl w:val="0"/>
        </w:rPr>
        <w:t xml:space="preserve">будет отображен список групп которые переведутся и список групп которые отчисляются в связи с окончанием обучения </w:t>
      </w: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отчисление группы в связи с окончанием обучения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при создании группы у нас генерируется сразу на весь срок обучения кроме будущего времени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